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1AF4CA" w14:textId="1A363BA4" w:rsidR="00194CA7" w:rsidRDefault="00321E09" w:rsidP="003601DE">
      <w:pPr>
        <w:rPr>
          <w:rFonts w:ascii="AvantGarde" w:hAnsi="AvantGarde"/>
          <w:b/>
          <w:sz w:val="36"/>
          <w:szCs w:val="36"/>
        </w:rPr>
      </w:pPr>
      <w:bookmarkStart w:id="0" w:name="_GoBack"/>
      <w:bookmarkEnd w:id="0"/>
      <w:r w:rsidRPr="003601DE">
        <w:rPr>
          <w:rFonts w:ascii="AvantGarde" w:hAnsi="AvantGarde"/>
          <w:b/>
          <w:sz w:val="36"/>
          <w:szCs w:val="36"/>
        </w:rPr>
        <w:t>20</w:t>
      </w:r>
      <w:r w:rsidR="00467BD7">
        <w:rPr>
          <w:rFonts w:ascii="AvantGarde" w:hAnsi="AvantGarde"/>
          <w:b/>
          <w:sz w:val="36"/>
          <w:szCs w:val="36"/>
        </w:rPr>
        <w:t>1</w:t>
      </w:r>
      <w:r w:rsidR="00986D9F">
        <w:rPr>
          <w:rFonts w:ascii="AvantGarde" w:hAnsi="AvantGarde"/>
          <w:b/>
          <w:sz w:val="36"/>
          <w:szCs w:val="36"/>
        </w:rPr>
        <w:t>7</w:t>
      </w:r>
      <w:r w:rsidR="007B05B9">
        <w:rPr>
          <w:rFonts w:ascii="AvantGarde" w:hAnsi="AvantGarde"/>
          <w:b/>
          <w:sz w:val="36"/>
          <w:szCs w:val="36"/>
        </w:rPr>
        <w:t xml:space="preserve"> </w:t>
      </w:r>
      <w:r w:rsidRPr="003601DE">
        <w:rPr>
          <w:rFonts w:ascii="AvantGarde" w:hAnsi="AvantGarde"/>
          <w:b/>
          <w:sz w:val="36"/>
          <w:szCs w:val="36"/>
        </w:rPr>
        <w:t xml:space="preserve">Load Impact Evaluation of California Statewide </w:t>
      </w:r>
      <w:r w:rsidR="00305DDF">
        <w:rPr>
          <w:rFonts w:ascii="AvantGarde" w:hAnsi="AvantGarde"/>
          <w:b/>
          <w:sz w:val="36"/>
          <w:szCs w:val="36"/>
        </w:rPr>
        <w:t>Base Interruptible</w:t>
      </w:r>
      <w:r w:rsidRPr="003601DE">
        <w:rPr>
          <w:rFonts w:ascii="AvantGarde" w:hAnsi="AvantGarde"/>
          <w:b/>
          <w:sz w:val="36"/>
          <w:szCs w:val="36"/>
        </w:rPr>
        <w:t xml:space="preserve"> Programs (B</w:t>
      </w:r>
      <w:r w:rsidR="00305DDF">
        <w:rPr>
          <w:rFonts w:ascii="AvantGarde" w:hAnsi="AvantGarde"/>
          <w:b/>
          <w:sz w:val="36"/>
          <w:szCs w:val="36"/>
        </w:rPr>
        <w:t>I</w:t>
      </w:r>
      <w:r w:rsidRPr="003601DE">
        <w:rPr>
          <w:rFonts w:ascii="AvantGarde" w:hAnsi="AvantGarde"/>
          <w:b/>
          <w:sz w:val="36"/>
          <w:szCs w:val="36"/>
        </w:rPr>
        <w:t xml:space="preserve">P) for Non-Residential Customers:  </w:t>
      </w:r>
    </w:p>
    <w:p w14:paraId="25EC8506" w14:textId="77777777" w:rsidR="002E033B" w:rsidRDefault="00321E09" w:rsidP="003601DE">
      <w:pPr>
        <w:rPr>
          <w:rFonts w:ascii="AvantGarde" w:hAnsi="AvantGarde"/>
          <w:b/>
          <w:sz w:val="36"/>
          <w:szCs w:val="36"/>
        </w:rPr>
      </w:pPr>
      <w:r w:rsidRPr="00C6455B">
        <w:rPr>
          <w:rFonts w:ascii="AvantGarde" w:hAnsi="AvantGarde"/>
          <w:b/>
          <w:i/>
          <w:sz w:val="36"/>
          <w:szCs w:val="36"/>
        </w:rPr>
        <w:t>Ex</w:t>
      </w:r>
      <w:r w:rsidR="00C6455B" w:rsidRPr="00C6455B">
        <w:rPr>
          <w:rFonts w:ascii="AvantGarde" w:hAnsi="AvantGarde"/>
          <w:b/>
          <w:i/>
          <w:sz w:val="36"/>
          <w:szCs w:val="36"/>
        </w:rPr>
        <w:t>-p</w:t>
      </w:r>
      <w:r w:rsidRPr="00C6455B">
        <w:rPr>
          <w:rFonts w:ascii="AvantGarde" w:hAnsi="AvantGarde"/>
          <w:b/>
          <w:i/>
          <w:sz w:val="36"/>
          <w:szCs w:val="36"/>
        </w:rPr>
        <w:t>ost</w:t>
      </w:r>
      <w:r w:rsidR="00746CAA">
        <w:rPr>
          <w:rFonts w:ascii="AvantGarde" w:hAnsi="AvantGarde"/>
          <w:b/>
          <w:sz w:val="36"/>
          <w:szCs w:val="36"/>
        </w:rPr>
        <w:t xml:space="preserve"> </w:t>
      </w:r>
      <w:r w:rsidR="009F7820">
        <w:rPr>
          <w:rFonts w:ascii="AvantGarde" w:hAnsi="AvantGarde"/>
          <w:b/>
          <w:sz w:val="36"/>
          <w:szCs w:val="36"/>
        </w:rPr>
        <w:t xml:space="preserve">and </w:t>
      </w:r>
      <w:r w:rsidR="009F7820" w:rsidRPr="00C6455B">
        <w:rPr>
          <w:rFonts w:ascii="AvantGarde" w:hAnsi="AvantGarde"/>
          <w:b/>
          <w:i/>
          <w:sz w:val="36"/>
          <w:szCs w:val="36"/>
        </w:rPr>
        <w:t>Ex</w:t>
      </w:r>
      <w:r w:rsidR="00C6455B" w:rsidRPr="00C6455B">
        <w:rPr>
          <w:rFonts w:ascii="AvantGarde" w:hAnsi="AvantGarde"/>
          <w:b/>
          <w:i/>
          <w:sz w:val="36"/>
          <w:szCs w:val="36"/>
        </w:rPr>
        <w:t>-a</w:t>
      </w:r>
      <w:r w:rsidR="009F7820" w:rsidRPr="00C6455B">
        <w:rPr>
          <w:rFonts w:ascii="AvantGarde" w:hAnsi="AvantGarde"/>
          <w:b/>
          <w:i/>
          <w:sz w:val="36"/>
          <w:szCs w:val="36"/>
        </w:rPr>
        <w:t>nte</w:t>
      </w:r>
      <w:r w:rsidR="009F7820">
        <w:rPr>
          <w:rFonts w:ascii="AvantGarde" w:hAnsi="AvantGarde"/>
          <w:b/>
          <w:sz w:val="36"/>
          <w:szCs w:val="36"/>
        </w:rPr>
        <w:t xml:space="preserve"> </w:t>
      </w:r>
      <w:r w:rsidR="00047B5B">
        <w:rPr>
          <w:rFonts w:ascii="AvantGarde" w:hAnsi="AvantGarde"/>
          <w:b/>
          <w:sz w:val="36"/>
          <w:szCs w:val="36"/>
        </w:rPr>
        <w:t>Report</w:t>
      </w:r>
    </w:p>
    <w:p w14:paraId="482DF007" w14:textId="7FBA34BD" w:rsidR="00321E09" w:rsidRDefault="00321E09" w:rsidP="003601DE">
      <w:pPr>
        <w:rPr>
          <w:rFonts w:ascii="AvantGarde" w:hAnsi="AvantGarde"/>
          <w:b/>
          <w:sz w:val="36"/>
          <w:szCs w:val="36"/>
        </w:rPr>
      </w:pPr>
    </w:p>
    <w:p w14:paraId="255E261E" w14:textId="77777777" w:rsidR="00467BD7" w:rsidRPr="00467BD7" w:rsidRDefault="00467BD7" w:rsidP="003601DE">
      <w:pPr>
        <w:rPr>
          <w:rFonts w:ascii="AvantGarde" w:hAnsi="AvantGarde"/>
          <w:b/>
          <w:i/>
          <w:sz w:val="36"/>
          <w:szCs w:val="36"/>
        </w:rPr>
      </w:pPr>
    </w:p>
    <w:p w14:paraId="27E9241E" w14:textId="77777777" w:rsidR="00321E09" w:rsidRDefault="00321E09" w:rsidP="003601DE">
      <w:pPr>
        <w:rPr>
          <w:rFonts w:ascii="AvantGarde" w:hAnsi="AvantGarde"/>
        </w:rPr>
      </w:pPr>
    </w:p>
    <w:p w14:paraId="361B56DC" w14:textId="77777777" w:rsidR="00321E09" w:rsidRDefault="00321E09" w:rsidP="003601DE">
      <w:pPr>
        <w:rPr>
          <w:rFonts w:ascii="AvantGarde" w:hAnsi="AvantGarde"/>
        </w:rPr>
      </w:pPr>
    </w:p>
    <w:p w14:paraId="51E00618" w14:textId="28D5D0EE" w:rsidR="00321E09" w:rsidRPr="005651D3" w:rsidRDefault="005651D3" w:rsidP="003601DE">
      <w:pPr>
        <w:rPr>
          <w:rFonts w:ascii="AvantGarde" w:hAnsi="AvantGarde"/>
          <w:b/>
        </w:rPr>
      </w:pPr>
      <w:r w:rsidRPr="00F21F46">
        <w:rPr>
          <w:rFonts w:ascii="AvantGarde" w:hAnsi="AvantGarde"/>
          <w:b/>
          <w:sz w:val="28"/>
          <w:szCs w:val="28"/>
        </w:rPr>
        <w:t xml:space="preserve">CALMAC Study ID </w:t>
      </w:r>
      <w:r w:rsidR="00F21F46">
        <w:rPr>
          <w:rFonts w:ascii="AvantGarde" w:hAnsi="AvantGarde"/>
          <w:b/>
          <w:sz w:val="28"/>
          <w:szCs w:val="28"/>
        </w:rPr>
        <w:t>SCE0416</w:t>
      </w:r>
    </w:p>
    <w:p w14:paraId="1A56AE33" w14:textId="77777777" w:rsidR="00321E09" w:rsidRDefault="00321E09" w:rsidP="003601DE">
      <w:pPr>
        <w:rPr>
          <w:rFonts w:ascii="AvantGarde" w:hAnsi="AvantGarde"/>
        </w:rPr>
      </w:pPr>
    </w:p>
    <w:p w14:paraId="0A658816" w14:textId="77777777" w:rsidR="00321E09" w:rsidRDefault="00321E09" w:rsidP="003601DE">
      <w:pPr>
        <w:rPr>
          <w:rFonts w:ascii="AvantGarde" w:hAnsi="AvantGarde"/>
        </w:rPr>
      </w:pPr>
    </w:p>
    <w:p w14:paraId="74227840" w14:textId="77777777" w:rsidR="000B3C39" w:rsidRDefault="000B3C39" w:rsidP="003601DE">
      <w:pPr>
        <w:rPr>
          <w:rFonts w:ascii="AvantGarde" w:hAnsi="AvantGarde"/>
          <w:lang w:val="nb-NO"/>
        </w:rPr>
      </w:pPr>
      <w:r w:rsidRPr="003601DE">
        <w:rPr>
          <w:rFonts w:ascii="AvantGarde" w:hAnsi="AvantGarde"/>
          <w:lang w:val="nb-NO"/>
        </w:rPr>
        <w:t>Daniel G. Hansen</w:t>
      </w:r>
    </w:p>
    <w:p w14:paraId="15A8C651" w14:textId="2BCB170B" w:rsidR="00305DDF" w:rsidRDefault="00986D9F" w:rsidP="003601DE">
      <w:pPr>
        <w:rPr>
          <w:rFonts w:ascii="AvantGarde" w:hAnsi="AvantGarde"/>
          <w:lang w:val="nb-NO"/>
        </w:rPr>
      </w:pPr>
      <w:r>
        <w:rPr>
          <w:rFonts w:ascii="AvantGarde" w:hAnsi="AvantGarde"/>
          <w:lang w:val="nb-NO"/>
        </w:rPr>
        <w:t>Michael Ty Clark</w:t>
      </w:r>
    </w:p>
    <w:p w14:paraId="4662EE1B" w14:textId="09519BAE" w:rsidR="00214534" w:rsidRPr="003601DE" w:rsidRDefault="00986D9F" w:rsidP="003601DE">
      <w:pPr>
        <w:rPr>
          <w:rFonts w:ascii="AvantGarde" w:hAnsi="AvantGarde"/>
        </w:rPr>
      </w:pPr>
      <w:r>
        <w:rPr>
          <w:rFonts w:ascii="AvantGarde" w:hAnsi="AvantGarde"/>
        </w:rPr>
        <w:t>Nick Crowley</w:t>
      </w:r>
    </w:p>
    <w:p w14:paraId="50DACA4A" w14:textId="7199B6F1" w:rsidR="00321E09" w:rsidRDefault="00321E09" w:rsidP="003601DE">
      <w:pPr>
        <w:rPr>
          <w:rFonts w:ascii="AvantGarde" w:hAnsi="AvantGarde"/>
        </w:rPr>
      </w:pPr>
    </w:p>
    <w:p w14:paraId="10622825" w14:textId="62AD1D86" w:rsidR="0010472A" w:rsidRDefault="00E3061F" w:rsidP="003601DE">
      <w:pPr>
        <w:rPr>
          <w:rFonts w:ascii="AvantGarde" w:hAnsi="AvantGarde"/>
          <w:i/>
        </w:rPr>
      </w:pPr>
      <w:r>
        <w:rPr>
          <w:rFonts w:ascii="AvantGarde" w:hAnsi="AvantGarde"/>
          <w:i/>
        </w:rPr>
        <w:t>April</w:t>
      </w:r>
      <w:r w:rsidR="001310E7">
        <w:rPr>
          <w:rFonts w:ascii="AvantGarde" w:hAnsi="AvantGarde"/>
          <w:i/>
        </w:rPr>
        <w:t xml:space="preserve"> 1</w:t>
      </w:r>
      <w:r w:rsidR="00BB46F8">
        <w:rPr>
          <w:rFonts w:ascii="AvantGarde" w:hAnsi="AvantGarde"/>
          <w:i/>
        </w:rPr>
        <w:t>, 201</w:t>
      </w:r>
      <w:r w:rsidR="00986D9F">
        <w:rPr>
          <w:rFonts w:ascii="AvantGarde" w:hAnsi="AvantGarde"/>
          <w:i/>
        </w:rPr>
        <w:t>8</w:t>
      </w:r>
    </w:p>
    <w:p w14:paraId="0DA89DE9" w14:textId="08E7F645" w:rsidR="0010472A" w:rsidRDefault="00C00820" w:rsidP="003601DE">
      <w:pPr>
        <w:rPr>
          <w:rFonts w:ascii="AvantGarde" w:hAnsi="AvantGarde"/>
          <w:i/>
        </w:rPr>
      </w:pPr>
      <w:r>
        <w:rPr>
          <w:noProof/>
          <w:szCs w:val="32"/>
        </w:rPr>
        <mc:AlternateContent>
          <mc:Choice Requires="wps">
            <w:drawing>
              <wp:anchor distT="0" distB="0" distL="114300" distR="114300" simplePos="0" relativeHeight="251685888" behindDoc="0" locked="0" layoutInCell="1" allowOverlap="1" wp14:anchorId="1F0A0A59" wp14:editId="45DF7488">
                <wp:simplePos x="0" y="0"/>
                <wp:positionH relativeFrom="page">
                  <wp:align>center</wp:align>
                </wp:positionH>
                <wp:positionV relativeFrom="paragraph">
                  <wp:posOffset>404909</wp:posOffset>
                </wp:positionV>
                <wp:extent cx="5422789" cy="262393"/>
                <wp:effectExtent l="0" t="0" r="26035" b="23495"/>
                <wp:wrapNone/>
                <wp:docPr id="2" name="Text Box 2"/>
                <wp:cNvGraphicFramePr/>
                <a:graphic xmlns:a="http://schemas.openxmlformats.org/drawingml/2006/main">
                  <a:graphicData uri="http://schemas.microsoft.com/office/word/2010/wordprocessingShape">
                    <wps:wsp>
                      <wps:cNvSpPr txBox="1"/>
                      <wps:spPr>
                        <a:xfrm>
                          <a:off x="0" y="0"/>
                          <a:ext cx="5422789" cy="262393"/>
                        </a:xfrm>
                        <a:prstGeom prst="rect">
                          <a:avLst/>
                        </a:prstGeom>
                        <a:solidFill>
                          <a:schemeClr val="lt1"/>
                        </a:solidFill>
                        <a:ln w="6350">
                          <a:solidFill>
                            <a:prstClr val="black"/>
                          </a:solidFill>
                        </a:ln>
                      </wps:spPr>
                      <wps:txbx>
                        <w:txbxContent>
                          <w:p w14:paraId="74B8C969" w14:textId="04C8DCDE" w:rsidR="00C00820" w:rsidRPr="00C00820" w:rsidRDefault="00C00820" w:rsidP="00C00820">
                            <w:pPr>
                              <w:rPr>
                                <w:i/>
                                <w:sz w:val="20"/>
                                <w:szCs w:val="20"/>
                              </w:rPr>
                            </w:pPr>
                            <w:r w:rsidRPr="00C00820">
                              <w:rPr>
                                <w:i/>
                                <w:sz w:val="20"/>
                                <w:szCs w:val="20"/>
                              </w:rPr>
                              <w:t xml:space="preserve">Confidential information is redacted and denoted with black highlighting: </w:t>
                            </w:r>
                            <w:r w:rsidRPr="00C00820">
                              <w:rPr>
                                <w:i/>
                                <w:sz w:val="20"/>
                                <w:szCs w:val="20"/>
                                <w:highlight w:val="black"/>
                              </w:rPr>
                              <w:t>---</w:t>
                            </w:r>
                            <w:r>
                              <w:rPr>
                                <w:i/>
                                <w:sz w:val="20"/>
                                <w:szCs w:val="20"/>
                                <w:highlight w:val="black"/>
                              </w:rPr>
                              <w:t>---</w:t>
                            </w:r>
                            <w:r w:rsidRPr="00C00820">
                              <w:rPr>
                                <w:i/>
                                <w:sz w:val="20"/>
                                <w:szCs w:val="20"/>
                                <w:highlight w:val="black"/>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0A0A59" id="_x0000_t202" coordsize="21600,21600" o:spt="202" path="m,l,21600r21600,l21600,xe">
                <v:stroke joinstyle="miter"/>
                <v:path gradientshapeok="t" o:connecttype="rect"/>
              </v:shapetype>
              <v:shape id="Text Box 2" o:spid="_x0000_s1026" type="#_x0000_t202" style="position:absolute;margin-left:0;margin-top:31.9pt;width:427pt;height:20.65pt;z-index:251685888;visibility:visible;mso-wrap-style:square;mso-height-percent:0;mso-wrap-distance-left:9pt;mso-wrap-distance-top:0;mso-wrap-distance-right:9pt;mso-wrap-distance-bottom:0;mso-position-horizontal:center;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" fillcolor="white [3201]" strokeweight=".5pt">
                <v:textbox>
                  <w:txbxContent>
                    <w:p w14:paraId="74B8C969" w14:textId="04C8DCDE" w:rsidR="00C00820" w:rsidRPr="00C00820" w:rsidRDefault="00C00820" w:rsidP="00C00820">
                      <w:pPr>
                        <w:rPr>
                          <w:i/>
                          <w:sz w:val="20"/>
                          <w:szCs w:val="20"/>
                        </w:rPr>
                      </w:pPr>
                      <w:r w:rsidRPr="00C00820">
                        <w:rPr>
                          <w:i/>
                          <w:sz w:val="20"/>
                          <w:szCs w:val="20"/>
                        </w:rPr>
                        <w:t xml:space="preserve">Confidential information is redacted and denoted with black highlighting: </w:t>
                      </w:r>
                      <w:r w:rsidRPr="00C00820">
                        <w:rPr>
                          <w:i/>
                          <w:sz w:val="20"/>
                          <w:szCs w:val="20"/>
                          <w:highlight w:val="black"/>
                        </w:rPr>
                        <w:t>---</w:t>
                      </w:r>
                      <w:r>
                        <w:rPr>
                          <w:i/>
                          <w:sz w:val="20"/>
                          <w:szCs w:val="20"/>
                          <w:highlight w:val="black"/>
                        </w:rPr>
                        <w:t>---</w:t>
                      </w:r>
                      <w:r w:rsidRPr="00C00820">
                        <w:rPr>
                          <w:i/>
                          <w:sz w:val="20"/>
                          <w:szCs w:val="20"/>
                          <w:highlight w:val="black"/>
                        </w:rPr>
                        <w:t>-----</w:t>
                      </w:r>
                    </w:p>
                  </w:txbxContent>
                </v:textbox>
                <w10:wrap anchorx="page"/>
              </v:shape>
            </w:pict>
          </mc:Fallback>
        </mc:AlternateContent>
      </w:r>
    </w:p>
    <w:p w14:paraId="58AECB90" w14:textId="6CF1877F" w:rsidR="0010472A" w:rsidRPr="003601DE" w:rsidRDefault="00C00820" w:rsidP="0010472A">
      <w:pPr>
        <w:ind w:left="-5040" w:right="644"/>
        <w:rPr>
          <w:rFonts w:ascii="AvantGarde" w:hAnsi="AvantGarde"/>
          <w:i/>
        </w:rPr>
        <w:sectPr w:rsidR="0010472A" w:rsidRPr="003601DE" w:rsidSect="003601DE">
          <w:headerReference w:type="default" r:id="rId8"/>
          <w:footerReference w:type="even" r:id="rId9"/>
          <w:footerReference w:type="default" r:id="rId10"/>
          <w:pgSz w:w="12240" w:h="15840"/>
          <w:pgMar w:top="4863" w:right="432" w:bottom="2520" w:left="6754" w:header="2880" w:footer="1890" w:gutter="0"/>
          <w:pgNumType w:fmt="lowerRoman"/>
          <w:cols w:space="720"/>
          <w:docGrid w:linePitch="360"/>
        </w:sectPr>
      </w:pPr>
      <w:r w:rsidRPr="00C00820">
        <w:rPr>
          <w:noProof/>
          <w:szCs w:val="32"/>
        </w:rPr>
        <w:t xml:space="preserve"> </w:t>
      </w:r>
    </w:p>
    <w:p w14:paraId="37CD273E" w14:textId="194776D9" w:rsidR="00321E09" w:rsidRPr="009D1511" w:rsidRDefault="00321E09" w:rsidP="009068D9">
      <w:pPr>
        <w:pStyle w:val="TOC1"/>
      </w:pPr>
      <w:r w:rsidRPr="009D1511">
        <w:lastRenderedPageBreak/>
        <w:t>Table of Contents</w:t>
      </w:r>
    </w:p>
    <w:p w14:paraId="546758A7" w14:textId="77777777" w:rsidR="00321E09" w:rsidRDefault="00321E09" w:rsidP="009D1511">
      <w:pPr>
        <w:pStyle w:val="TOC3"/>
      </w:pPr>
    </w:p>
    <w:p w14:paraId="36CC9707" w14:textId="32F50E62" w:rsidR="00720E96" w:rsidRDefault="00321E09">
      <w:pPr>
        <w:pStyle w:val="TOC1"/>
        <w:rPr>
          <w:rFonts w:asciiTheme="minorHAnsi" w:eastAsiaTheme="minorEastAsia" w:hAnsiTheme="minorHAnsi" w:cstheme="minorBidi"/>
          <w:b w:val="0"/>
          <w:noProof/>
          <w:sz w:val="22"/>
          <w:szCs w:val="22"/>
        </w:rPr>
      </w:pPr>
      <w:r w:rsidRPr="00421999">
        <w:rPr>
          <w:sz w:val="22"/>
          <w:szCs w:val="22"/>
        </w:rPr>
        <w:fldChar w:fldCharType="begin"/>
      </w:r>
      <w:r w:rsidRPr="00421999">
        <w:rPr>
          <w:sz w:val="22"/>
          <w:szCs w:val="22"/>
        </w:rPr>
        <w:instrText xml:space="preserve"> TOC \o "1-3" \h \z \u </w:instrText>
      </w:r>
      <w:r w:rsidRPr="00421999">
        <w:rPr>
          <w:sz w:val="22"/>
          <w:szCs w:val="22"/>
        </w:rPr>
        <w:fldChar w:fldCharType="separate"/>
      </w:r>
      <w:hyperlink w:anchor="_Toc510091086" w:history="1">
        <w:r w:rsidR="00720E96" w:rsidRPr="00480FCF">
          <w:rPr>
            <w:rStyle w:val="Hyperlink"/>
            <w:noProof/>
          </w:rPr>
          <w:t>Abstract</w:t>
        </w:r>
        <w:r w:rsidR="00720E96">
          <w:rPr>
            <w:noProof/>
            <w:webHidden/>
          </w:rPr>
          <w:tab/>
        </w:r>
        <w:r w:rsidR="00720E96">
          <w:rPr>
            <w:noProof/>
            <w:webHidden/>
          </w:rPr>
          <w:fldChar w:fldCharType="begin"/>
        </w:r>
        <w:r w:rsidR="00720E96">
          <w:rPr>
            <w:noProof/>
            <w:webHidden/>
          </w:rPr>
          <w:instrText xml:space="preserve"> PAGEREF _Toc510091086 \h </w:instrText>
        </w:r>
        <w:r w:rsidR="00720E96">
          <w:rPr>
            <w:noProof/>
            <w:webHidden/>
          </w:rPr>
        </w:r>
        <w:r w:rsidR="00720E96">
          <w:rPr>
            <w:noProof/>
            <w:webHidden/>
          </w:rPr>
          <w:fldChar w:fldCharType="separate"/>
        </w:r>
        <w:r w:rsidR="00720E96">
          <w:rPr>
            <w:noProof/>
            <w:webHidden/>
          </w:rPr>
          <w:t>1</w:t>
        </w:r>
        <w:r w:rsidR="00720E96">
          <w:rPr>
            <w:noProof/>
            <w:webHidden/>
          </w:rPr>
          <w:fldChar w:fldCharType="end"/>
        </w:r>
      </w:hyperlink>
    </w:p>
    <w:p w14:paraId="61CAB551" w14:textId="282CC789" w:rsidR="00720E96" w:rsidRDefault="00720E96">
      <w:pPr>
        <w:pStyle w:val="TOC1"/>
        <w:rPr>
          <w:rFonts w:asciiTheme="minorHAnsi" w:eastAsiaTheme="minorEastAsia" w:hAnsiTheme="minorHAnsi" w:cstheme="minorBidi"/>
          <w:b w:val="0"/>
          <w:noProof/>
          <w:sz w:val="22"/>
          <w:szCs w:val="22"/>
        </w:rPr>
      </w:pPr>
      <w:hyperlink w:anchor="_Toc510091087" w:history="1">
        <w:r w:rsidRPr="00480FCF">
          <w:rPr>
            <w:rStyle w:val="Hyperlink"/>
            <w:noProof/>
          </w:rPr>
          <w:t>Executive Summary</w:t>
        </w:r>
        <w:r>
          <w:rPr>
            <w:noProof/>
            <w:webHidden/>
          </w:rPr>
          <w:tab/>
        </w:r>
        <w:r>
          <w:rPr>
            <w:noProof/>
            <w:webHidden/>
          </w:rPr>
          <w:fldChar w:fldCharType="begin"/>
        </w:r>
        <w:r>
          <w:rPr>
            <w:noProof/>
            <w:webHidden/>
          </w:rPr>
          <w:instrText xml:space="preserve"> PAGEREF _Toc510091087 \h </w:instrText>
        </w:r>
        <w:r>
          <w:rPr>
            <w:noProof/>
            <w:webHidden/>
          </w:rPr>
        </w:r>
        <w:r>
          <w:rPr>
            <w:noProof/>
            <w:webHidden/>
          </w:rPr>
          <w:fldChar w:fldCharType="separate"/>
        </w:r>
        <w:r>
          <w:rPr>
            <w:noProof/>
            <w:webHidden/>
          </w:rPr>
          <w:t>3</w:t>
        </w:r>
        <w:r>
          <w:rPr>
            <w:noProof/>
            <w:webHidden/>
          </w:rPr>
          <w:fldChar w:fldCharType="end"/>
        </w:r>
      </w:hyperlink>
    </w:p>
    <w:p w14:paraId="389AD318" w14:textId="788B7BB0"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088" w:history="1">
        <w:r w:rsidRPr="00480FCF">
          <w:rPr>
            <w:rStyle w:val="Hyperlink"/>
            <w:noProof/>
          </w:rPr>
          <w:t>ES.1 Resources Covered</w:t>
        </w:r>
        <w:r>
          <w:rPr>
            <w:noProof/>
            <w:webHidden/>
          </w:rPr>
          <w:tab/>
        </w:r>
        <w:r>
          <w:rPr>
            <w:noProof/>
            <w:webHidden/>
          </w:rPr>
          <w:fldChar w:fldCharType="begin"/>
        </w:r>
        <w:r>
          <w:rPr>
            <w:noProof/>
            <w:webHidden/>
          </w:rPr>
          <w:instrText xml:space="preserve"> PAGEREF _Toc510091088 \h </w:instrText>
        </w:r>
        <w:r>
          <w:rPr>
            <w:noProof/>
            <w:webHidden/>
          </w:rPr>
        </w:r>
        <w:r>
          <w:rPr>
            <w:noProof/>
            <w:webHidden/>
          </w:rPr>
          <w:fldChar w:fldCharType="separate"/>
        </w:r>
        <w:r>
          <w:rPr>
            <w:noProof/>
            <w:webHidden/>
          </w:rPr>
          <w:t>3</w:t>
        </w:r>
        <w:r>
          <w:rPr>
            <w:noProof/>
            <w:webHidden/>
          </w:rPr>
          <w:fldChar w:fldCharType="end"/>
        </w:r>
      </w:hyperlink>
    </w:p>
    <w:p w14:paraId="26A1246D" w14:textId="20A7A8B8" w:rsidR="00720E96" w:rsidRDefault="00720E96">
      <w:pPr>
        <w:pStyle w:val="TOC3"/>
        <w:rPr>
          <w:rFonts w:asciiTheme="minorHAnsi" w:eastAsiaTheme="minorEastAsia" w:hAnsiTheme="minorHAnsi" w:cstheme="minorBidi"/>
          <w:noProof/>
          <w:sz w:val="22"/>
          <w:szCs w:val="22"/>
        </w:rPr>
      </w:pPr>
      <w:hyperlink w:anchor="_Toc510091089" w:history="1">
        <w:r w:rsidRPr="00480FCF">
          <w:rPr>
            <w:rStyle w:val="Hyperlink"/>
            <w:noProof/>
          </w:rPr>
          <w:t>Base Interruptible Program</w:t>
        </w:r>
        <w:r>
          <w:rPr>
            <w:noProof/>
            <w:webHidden/>
          </w:rPr>
          <w:tab/>
        </w:r>
        <w:r>
          <w:rPr>
            <w:noProof/>
            <w:webHidden/>
          </w:rPr>
          <w:fldChar w:fldCharType="begin"/>
        </w:r>
        <w:r>
          <w:rPr>
            <w:noProof/>
            <w:webHidden/>
          </w:rPr>
          <w:instrText xml:space="preserve"> PAGEREF _Toc510091089 \h </w:instrText>
        </w:r>
        <w:r>
          <w:rPr>
            <w:noProof/>
            <w:webHidden/>
          </w:rPr>
        </w:r>
        <w:r>
          <w:rPr>
            <w:noProof/>
            <w:webHidden/>
          </w:rPr>
          <w:fldChar w:fldCharType="separate"/>
        </w:r>
        <w:r>
          <w:rPr>
            <w:noProof/>
            <w:webHidden/>
          </w:rPr>
          <w:t>3</w:t>
        </w:r>
        <w:r>
          <w:rPr>
            <w:noProof/>
            <w:webHidden/>
          </w:rPr>
          <w:fldChar w:fldCharType="end"/>
        </w:r>
      </w:hyperlink>
    </w:p>
    <w:p w14:paraId="0EFF21DF" w14:textId="547D1145" w:rsidR="00720E96" w:rsidRDefault="00720E96">
      <w:pPr>
        <w:pStyle w:val="TOC3"/>
        <w:rPr>
          <w:rFonts w:asciiTheme="minorHAnsi" w:eastAsiaTheme="minorEastAsia" w:hAnsiTheme="minorHAnsi" w:cstheme="minorBidi"/>
          <w:noProof/>
          <w:sz w:val="22"/>
          <w:szCs w:val="22"/>
        </w:rPr>
      </w:pPr>
      <w:hyperlink w:anchor="_Toc510091090" w:history="1">
        <w:r w:rsidRPr="00480FCF">
          <w:rPr>
            <w:rStyle w:val="Hyperlink"/>
            <w:noProof/>
          </w:rPr>
          <w:t>Enrollment</w:t>
        </w:r>
        <w:r>
          <w:rPr>
            <w:noProof/>
            <w:webHidden/>
          </w:rPr>
          <w:tab/>
        </w:r>
        <w:r>
          <w:rPr>
            <w:noProof/>
            <w:webHidden/>
          </w:rPr>
          <w:fldChar w:fldCharType="begin"/>
        </w:r>
        <w:r>
          <w:rPr>
            <w:noProof/>
            <w:webHidden/>
          </w:rPr>
          <w:instrText xml:space="preserve"> PAGEREF _Toc510091090 \h </w:instrText>
        </w:r>
        <w:r>
          <w:rPr>
            <w:noProof/>
            <w:webHidden/>
          </w:rPr>
        </w:r>
        <w:r>
          <w:rPr>
            <w:noProof/>
            <w:webHidden/>
          </w:rPr>
          <w:fldChar w:fldCharType="separate"/>
        </w:r>
        <w:r>
          <w:rPr>
            <w:noProof/>
            <w:webHidden/>
          </w:rPr>
          <w:t>4</w:t>
        </w:r>
        <w:r>
          <w:rPr>
            <w:noProof/>
            <w:webHidden/>
          </w:rPr>
          <w:fldChar w:fldCharType="end"/>
        </w:r>
      </w:hyperlink>
    </w:p>
    <w:p w14:paraId="6CC32B4B" w14:textId="490E8E2C"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091" w:history="1">
        <w:r w:rsidRPr="00480FCF">
          <w:rPr>
            <w:rStyle w:val="Hyperlink"/>
            <w:noProof/>
          </w:rPr>
          <w:t>ES.2 Evaluation Methodology</w:t>
        </w:r>
        <w:r>
          <w:rPr>
            <w:noProof/>
            <w:webHidden/>
          </w:rPr>
          <w:tab/>
        </w:r>
        <w:r>
          <w:rPr>
            <w:noProof/>
            <w:webHidden/>
          </w:rPr>
          <w:fldChar w:fldCharType="begin"/>
        </w:r>
        <w:r>
          <w:rPr>
            <w:noProof/>
            <w:webHidden/>
          </w:rPr>
          <w:instrText xml:space="preserve"> PAGEREF _Toc510091091 \h </w:instrText>
        </w:r>
        <w:r>
          <w:rPr>
            <w:noProof/>
            <w:webHidden/>
          </w:rPr>
        </w:r>
        <w:r>
          <w:rPr>
            <w:noProof/>
            <w:webHidden/>
          </w:rPr>
          <w:fldChar w:fldCharType="separate"/>
        </w:r>
        <w:r>
          <w:rPr>
            <w:noProof/>
            <w:webHidden/>
          </w:rPr>
          <w:t>6</w:t>
        </w:r>
        <w:r>
          <w:rPr>
            <w:noProof/>
            <w:webHidden/>
          </w:rPr>
          <w:fldChar w:fldCharType="end"/>
        </w:r>
      </w:hyperlink>
    </w:p>
    <w:p w14:paraId="1660E0CC" w14:textId="4E44BC96"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092" w:history="1">
        <w:r w:rsidRPr="00480FCF">
          <w:rPr>
            <w:rStyle w:val="Hyperlink"/>
            <w:noProof/>
          </w:rPr>
          <w:t>ES.3 Ex-post Load Impacts</w:t>
        </w:r>
        <w:r>
          <w:rPr>
            <w:noProof/>
            <w:webHidden/>
          </w:rPr>
          <w:tab/>
        </w:r>
        <w:r>
          <w:rPr>
            <w:noProof/>
            <w:webHidden/>
          </w:rPr>
          <w:fldChar w:fldCharType="begin"/>
        </w:r>
        <w:r>
          <w:rPr>
            <w:noProof/>
            <w:webHidden/>
          </w:rPr>
          <w:instrText xml:space="preserve"> PAGEREF _Toc510091092 \h </w:instrText>
        </w:r>
        <w:r>
          <w:rPr>
            <w:noProof/>
            <w:webHidden/>
          </w:rPr>
        </w:r>
        <w:r>
          <w:rPr>
            <w:noProof/>
            <w:webHidden/>
          </w:rPr>
          <w:fldChar w:fldCharType="separate"/>
        </w:r>
        <w:r>
          <w:rPr>
            <w:noProof/>
            <w:webHidden/>
          </w:rPr>
          <w:t>7</w:t>
        </w:r>
        <w:r>
          <w:rPr>
            <w:noProof/>
            <w:webHidden/>
          </w:rPr>
          <w:fldChar w:fldCharType="end"/>
        </w:r>
      </w:hyperlink>
    </w:p>
    <w:p w14:paraId="1D9CB207" w14:textId="1FB7EE96"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093" w:history="1">
        <w:r w:rsidRPr="00480FCF">
          <w:rPr>
            <w:rStyle w:val="Hyperlink"/>
            <w:noProof/>
          </w:rPr>
          <w:t>ES.4 Ex-ante Load Impacts</w:t>
        </w:r>
        <w:r>
          <w:rPr>
            <w:noProof/>
            <w:webHidden/>
          </w:rPr>
          <w:tab/>
        </w:r>
        <w:r>
          <w:rPr>
            <w:noProof/>
            <w:webHidden/>
          </w:rPr>
          <w:fldChar w:fldCharType="begin"/>
        </w:r>
        <w:r>
          <w:rPr>
            <w:noProof/>
            <w:webHidden/>
          </w:rPr>
          <w:instrText xml:space="preserve"> PAGEREF _Toc510091093 \h </w:instrText>
        </w:r>
        <w:r>
          <w:rPr>
            <w:noProof/>
            <w:webHidden/>
          </w:rPr>
        </w:r>
        <w:r>
          <w:rPr>
            <w:noProof/>
            <w:webHidden/>
          </w:rPr>
          <w:fldChar w:fldCharType="separate"/>
        </w:r>
        <w:r>
          <w:rPr>
            <w:noProof/>
            <w:webHidden/>
          </w:rPr>
          <w:t>7</w:t>
        </w:r>
        <w:r>
          <w:rPr>
            <w:noProof/>
            <w:webHidden/>
          </w:rPr>
          <w:fldChar w:fldCharType="end"/>
        </w:r>
      </w:hyperlink>
    </w:p>
    <w:p w14:paraId="1F6667B3" w14:textId="379AE4EF" w:rsidR="00720E96" w:rsidRDefault="00720E96">
      <w:pPr>
        <w:pStyle w:val="TOC1"/>
        <w:rPr>
          <w:rFonts w:asciiTheme="minorHAnsi" w:eastAsiaTheme="minorEastAsia" w:hAnsiTheme="minorHAnsi" w:cstheme="minorBidi"/>
          <w:b w:val="0"/>
          <w:noProof/>
          <w:sz w:val="22"/>
          <w:szCs w:val="22"/>
        </w:rPr>
      </w:pPr>
      <w:hyperlink w:anchor="_Toc510091094" w:history="1">
        <w:r w:rsidRPr="00480FCF">
          <w:rPr>
            <w:rStyle w:val="Hyperlink"/>
            <w:noProof/>
          </w:rPr>
          <w:t>1. Introduction and Purpose of the Study</w:t>
        </w:r>
        <w:r>
          <w:rPr>
            <w:noProof/>
            <w:webHidden/>
          </w:rPr>
          <w:tab/>
        </w:r>
        <w:r>
          <w:rPr>
            <w:noProof/>
            <w:webHidden/>
          </w:rPr>
          <w:fldChar w:fldCharType="begin"/>
        </w:r>
        <w:r>
          <w:rPr>
            <w:noProof/>
            <w:webHidden/>
          </w:rPr>
          <w:instrText xml:space="preserve"> PAGEREF _Toc510091094 \h </w:instrText>
        </w:r>
        <w:r>
          <w:rPr>
            <w:noProof/>
            <w:webHidden/>
          </w:rPr>
        </w:r>
        <w:r>
          <w:rPr>
            <w:noProof/>
            <w:webHidden/>
          </w:rPr>
          <w:fldChar w:fldCharType="separate"/>
        </w:r>
        <w:r>
          <w:rPr>
            <w:noProof/>
            <w:webHidden/>
          </w:rPr>
          <w:t>10</w:t>
        </w:r>
        <w:r>
          <w:rPr>
            <w:noProof/>
            <w:webHidden/>
          </w:rPr>
          <w:fldChar w:fldCharType="end"/>
        </w:r>
      </w:hyperlink>
    </w:p>
    <w:p w14:paraId="36A4F780" w14:textId="1A2D56D1" w:rsidR="00720E96" w:rsidRDefault="00720E96">
      <w:pPr>
        <w:pStyle w:val="TOC1"/>
        <w:rPr>
          <w:rFonts w:asciiTheme="minorHAnsi" w:eastAsiaTheme="minorEastAsia" w:hAnsiTheme="minorHAnsi" w:cstheme="minorBidi"/>
          <w:b w:val="0"/>
          <w:noProof/>
          <w:sz w:val="22"/>
          <w:szCs w:val="22"/>
        </w:rPr>
      </w:pPr>
      <w:hyperlink w:anchor="_Toc510091095" w:history="1">
        <w:r w:rsidRPr="00480FCF">
          <w:rPr>
            <w:rStyle w:val="Hyperlink"/>
            <w:noProof/>
          </w:rPr>
          <w:t>2. Description of Resources Covered in the Study</w:t>
        </w:r>
        <w:r>
          <w:rPr>
            <w:noProof/>
            <w:webHidden/>
          </w:rPr>
          <w:tab/>
        </w:r>
        <w:r>
          <w:rPr>
            <w:noProof/>
            <w:webHidden/>
          </w:rPr>
          <w:fldChar w:fldCharType="begin"/>
        </w:r>
        <w:r>
          <w:rPr>
            <w:noProof/>
            <w:webHidden/>
          </w:rPr>
          <w:instrText xml:space="preserve"> PAGEREF _Toc510091095 \h </w:instrText>
        </w:r>
        <w:r>
          <w:rPr>
            <w:noProof/>
            <w:webHidden/>
          </w:rPr>
        </w:r>
        <w:r>
          <w:rPr>
            <w:noProof/>
            <w:webHidden/>
          </w:rPr>
          <w:fldChar w:fldCharType="separate"/>
        </w:r>
        <w:r>
          <w:rPr>
            <w:noProof/>
            <w:webHidden/>
          </w:rPr>
          <w:t>10</w:t>
        </w:r>
        <w:r>
          <w:rPr>
            <w:noProof/>
            <w:webHidden/>
          </w:rPr>
          <w:fldChar w:fldCharType="end"/>
        </w:r>
      </w:hyperlink>
    </w:p>
    <w:p w14:paraId="71B7A930" w14:textId="6E219301"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096" w:history="1">
        <w:r w:rsidRPr="00480FCF">
          <w:rPr>
            <w:rStyle w:val="Hyperlink"/>
            <w:noProof/>
          </w:rPr>
          <w:t>2.1 Program Descriptions</w:t>
        </w:r>
        <w:r>
          <w:rPr>
            <w:noProof/>
            <w:webHidden/>
          </w:rPr>
          <w:tab/>
        </w:r>
        <w:r>
          <w:rPr>
            <w:noProof/>
            <w:webHidden/>
          </w:rPr>
          <w:fldChar w:fldCharType="begin"/>
        </w:r>
        <w:r>
          <w:rPr>
            <w:noProof/>
            <w:webHidden/>
          </w:rPr>
          <w:instrText xml:space="preserve"> PAGEREF _Toc510091096 \h </w:instrText>
        </w:r>
        <w:r>
          <w:rPr>
            <w:noProof/>
            <w:webHidden/>
          </w:rPr>
        </w:r>
        <w:r>
          <w:rPr>
            <w:noProof/>
            <w:webHidden/>
          </w:rPr>
          <w:fldChar w:fldCharType="separate"/>
        </w:r>
        <w:r>
          <w:rPr>
            <w:noProof/>
            <w:webHidden/>
          </w:rPr>
          <w:t>10</w:t>
        </w:r>
        <w:r>
          <w:rPr>
            <w:noProof/>
            <w:webHidden/>
          </w:rPr>
          <w:fldChar w:fldCharType="end"/>
        </w:r>
      </w:hyperlink>
    </w:p>
    <w:p w14:paraId="2DE27F6A" w14:textId="0ACA92B6" w:rsidR="00720E96" w:rsidRDefault="00720E96">
      <w:pPr>
        <w:pStyle w:val="TOC3"/>
        <w:rPr>
          <w:rFonts w:asciiTheme="minorHAnsi" w:eastAsiaTheme="minorEastAsia" w:hAnsiTheme="minorHAnsi" w:cstheme="minorBidi"/>
          <w:noProof/>
          <w:sz w:val="22"/>
          <w:szCs w:val="22"/>
        </w:rPr>
      </w:pPr>
      <w:hyperlink w:anchor="_Toc510091097" w:history="1">
        <w:r w:rsidRPr="00480FCF">
          <w:rPr>
            <w:rStyle w:val="Hyperlink"/>
            <w:noProof/>
          </w:rPr>
          <w:t>SCE’s Base Interruptible Program</w:t>
        </w:r>
        <w:r>
          <w:rPr>
            <w:noProof/>
            <w:webHidden/>
          </w:rPr>
          <w:tab/>
        </w:r>
        <w:r>
          <w:rPr>
            <w:noProof/>
            <w:webHidden/>
          </w:rPr>
          <w:fldChar w:fldCharType="begin"/>
        </w:r>
        <w:r>
          <w:rPr>
            <w:noProof/>
            <w:webHidden/>
          </w:rPr>
          <w:instrText xml:space="preserve"> PAGEREF _Toc510091097 \h </w:instrText>
        </w:r>
        <w:r>
          <w:rPr>
            <w:noProof/>
            <w:webHidden/>
          </w:rPr>
        </w:r>
        <w:r>
          <w:rPr>
            <w:noProof/>
            <w:webHidden/>
          </w:rPr>
          <w:fldChar w:fldCharType="separate"/>
        </w:r>
        <w:r>
          <w:rPr>
            <w:noProof/>
            <w:webHidden/>
          </w:rPr>
          <w:t>10</w:t>
        </w:r>
        <w:r>
          <w:rPr>
            <w:noProof/>
            <w:webHidden/>
          </w:rPr>
          <w:fldChar w:fldCharType="end"/>
        </w:r>
      </w:hyperlink>
    </w:p>
    <w:p w14:paraId="653ECB6A" w14:textId="6CAE7E38" w:rsidR="00720E96" w:rsidRDefault="00720E96">
      <w:pPr>
        <w:pStyle w:val="TOC3"/>
        <w:rPr>
          <w:rFonts w:asciiTheme="minorHAnsi" w:eastAsiaTheme="minorEastAsia" w:hAnsiTheme="minorHAnsi" w:cstheme="minorBidi"/>
          <w:noProof/>
          <w:sz w:val="22"/>
          <w:szCs w:val="22"/>
        </w:rPr>
      </w:pPr>
      <w:hyperlink w:anchor="_Toc510091098" w:history="1">
        <w:r w:rsidRPr="00480FCF">
          <w:rPr>
            <w:rStyle w:val="Hyperlink"/>
            <w:noProof/>
          </w:rPr>
          <w:t>PG&amp;E’s Base Interruptible Program</w:t>
        </w:r>
        <w:r>
          <w:rPr>
            <w:noProof/>
            <w:webHidden/>
          </w:rPr>
          <w:tab/>
        </w:r>
        <w:r>
          <w:rPr>
            <w:noProof/>
            <w:webHidden/>
          </w:rPr>
          <w:fldChar w:fldCharType="begin"/>
        </w:r>
        <w:r>
          <w:rPr>
            <w:noProof/>
            <w:webHidden/>
          </w:rPr>
          <w:instrText xml:space="preserve"> PAGEREF _Toc510091098 \h </w:instrText>
        </w:r>
        <w:r>
          <w:rPr>
            <w:noProof/>
            <w:webHidden/>
          </w:rPr>
        </w:r>
        <w:r>
          <w:rPr>
            <w:noProof/>
            <w:webHidden/>
          </w:rPr>
          <w:fldChar w:fldCharType="separate"/>
        </w:r>
        <w:r>
          <w:rPr>
            <w:noProof/>
            <w:webHidden/>
          </w:rPr>
          <w:t>11</w:t>
        </w:r>
        <w:r>
          <w:rPr>
            <w:noProof/>
            <w:webHidden/>
          </w:rPr>
          <w:fldChar w:fldCharType="end"/>
        </w:r>
      </w:hyperlink>
    </w:p>
    <w:p w14:paraId="350E8D68" w14:textId="7935F5E4" w:rsidR="00720E96" w:rsidRDefault="00720E96">
      <w:pPr>
        <w:pStyle w:val="TOC3"/>
        <w:rPr>
          <w:rFonts w:asciiTheme="minorHAnsi" w:eastAsiaTheme="minorEastAsia" w:hAnsiTheme="minorHAnsi" w:cstheme="minorBidi"/>
          <w:noProof/>
          <w:sz w:val="22"/>
          <w:szCs w:val="22"/>
        </w:rPr>
      </w:pPr>
      <w:hyperlink w:anchor="_Toc510091099" w:history="1">
        <w:r w:rsidRPr="00480FCF">
          <w:rPr>
            <w:rStyle w:val="Hyperlink"/>
            <w:noProof/>
          </w:rPr>
          <w:t>SDG&amp;E’s Base Interruptible Program</w:t>
        </w:r>
        <w:r>
          <w:rPr>
            <w:noProof/>
            <w:webHidden/>
          </w:rPr>
          <w:tab/>
        </w:r>
        <w:r>
          <w:rPr>
            <w:noProof/>
            <w:webHidden/>
          </w:rPr>
          <w:fldChar w:fldCharType="begin"/>
        </w:r>
        <w:r>
          <w:rPr>
            <w:noProof/>
            <w:webHidden/>
          </w:rPr>
          <w:instrText xml:space="preserve"> PAGEREF _Toc510091099 \h </w:instrText>
        </w:r>
        <w:r>
          <w:rPr>
            <w:noProof/>
            <w:webHidden/>
          </w:rPr>
        </w:r>
        <w:r>
          <w:rPr>
            <w:noProof/>
            <w:webHidden/>
          </w:rPr>
          <w:fldChar w:fldCharType="separate"/>
        </w:r>
        <w:r>
          <w:rPr>
            <w:noProof/>
            <w:webHidden/>
          </w:rPr>
          <w:t>11</w:t>
        </w:r>
        <w:r>
          <w:rPr>
            <w:noProof/>
            <w:webHidden/>
          </w:rPr>
          <w:fldChar w:fldCharType="end"/>
        </w:r>
      </w:hyperlink>
    </w:p>
    <w:p w14:paraId="0A5397D7" w14:textId="29A3D336"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100" w:history="1">
        <w:r w:rsidRPr="00480FCF">
          <w:rPr>
            <w:rStyle w:val="Hyperlink"/>
            <w:noProof/>
          </w:rPr>
          <w:t>2.2 Participant Characteristics</w:t>
        </w:r>
        <w:r>
          <w:rPr>
            <w:noProof/>
            <w:webHidden/>
          </w:rPr>
          <w:tab/>
        </w:r>
        <w:r>
          <w:rPr>
            <w:noProof/>
            <w:webHidden/>
          </w:rPr>
          <w:fldChar w:fldCharType="begin"/>
        </w:r>
        <w:r>
          <w:rPr>
            <w:noProof/>
            <w:webHidden/>
          </w:rPr>
          <w:instrText xml:space="preserve"> PAGEREF _Toc510091100 \h </w:instrText>
        </w:r>
        <w:r>
          <w:rPr>
            <w:noProof/>
            <w:webHidden/>
          </w:rPr>
        </w:r>
        <w:r>
          <w:rPr>
            <w:noProof/>
            <w:webHidden/>
          </w:rPr>
          <w:fldChar w:fldCharType="separate"/>
        </w:r>
        <w:r>
          <w:rPr>
            <w:noProof/>
            <w:webHidden/>
          </w:rPr>
          <w:t>12</w:t>
        </w:r>
        <w:r>
          <w:rPr>
            <w:noProof/>
            <w:webHidden/>
          </w:rPr>
          <w:fldChar w:fldCharType="end"/>
        </w:r>
      </w:hyperlink>
    </w:p>
    <w:p w14:paraId="43F4CA67" w14:textId="22A9976C" w:rsidR="00720E96" w:rsidRDefault="00720E96">
      <w:pPr>
        <w:pStyle w:val="TOC3"/>
        <w:rPr>
          <w:rFonts w:asciiTheme="minorHAnsi" w:eastAsiaTheme="minorEastAsia" w:hAnsiTheme="minorHAnsi" w:cstheme="minorBidi"/>
          <w:noProof/>
          <w:sz w:val="22"/>
          <w:szCs w:val="22"/>
        </w:rPr>
      </w:pPr>
      <w:hyperlink w:anchor="_Toc510091101" w:history="1">
        <w:r w:rsidRPr="00480FCF">
          <w:rPr>
            <w:rStyle w:val="Hyperlink"/>
            <w:noProof/>
          </w:rPr>
          <w:t>2.2.1 Development of Customer Groups</w:t>
        </w:r>
        <w:r>
          <w:rPr>
            <w:noProof/>
            <w:webHidden/>
          </w:rPr>
          <w:tab/>
        </w:r>
        <w:r>
          <w:rPr>
            <w:noProof/>
            <w:webHidden/>
          </w:rPr>
          <w:fldChar w:fldCharType="begin"/>
        </w:r>
        <w:r>
          <w:rPr>
            <w:noProof/>
            <w:webHidden/>
          </w:rPr>
          <w:instrText xml:space="preserve"> PAGEREF _Toc510091101 \h </w:instrText>
        </w:r>
        <w:r>
          <w:rPr>
            <w:noProof/>
            <w:webHidden/>
          </w:rPr>
        </w:r>
        <w:r>
          <w:rPr>
            <w:noProof/>
            <w:webHidden/>
          </w:rPr>
          <w:fldChar w:fldCharType="separate"/>
        </w:r>
        <w:r>
          <w:rPr>
            <w:noProof/>
            <w:webHidden/>
          </w:rPr>
          <w:t>12</w:t>
        </w:r>
        <w:r>
          <w:rPr>
            <w:noProof/>
            <w:webHidden/>
          </w:rPr>
          <w:fldChar w:fldCharType="end"/>
        </w:r>
      </w:hyperlink>
    </w:p>
    <w:p w14:paraId="2105AD35" w14:textId="3BE05618" w:rsidR="00720E96" w:rsidRDefault="00720E96">
      <w:pPr>
        <w:pStyle w:val="TOC3"/>
        <w:rPr>
          <w:rFonts w:asciiTheme="minorHAnsi" w:eastAsiaTheme="minorEastAsia" w:hAnsiTheme="minorHAnsi" w:cstheme="minorBidi"/>
          <w:noProof/>
          <w:sz w:val="22"/>
          <w:szCs w:val="22"/>
        </w:rPr>
      </w:pPr>
      <w:hyperlink w:anchor="_Toc510091102" w:history="1">
        <w:r w:rsidRPr="00480FCF">
          <w:rPr>
            <w:rStyle w:val="Hyperlink"/>
            <w:noProof/>
          </w:rPr>
          <w:t>2.2.2 Program Participants by Type</w:t>
        </w:r>
        <w:r>
          <w:rPr>
            <w:noProof/>
            <w:webHidden/>
          </w:rPr>
          <w:tab/>
        </w:r>
        <w:r>
          <w:rPr>
            <w:noProof/>
            <w:webHidden/>
          </w:rPr>
          <w:fldChar w:fldCharType="begin"/>
        </w:r>
        <w:r>
          <w:rPr>
            <w:noProof/>
            <w:webHidden/>
          </w:rPr>
          <w:instrText xml:space="preserve"> PAGEREF _Toc510091102 \h </w:instrText>
        </w:r>
        <w:r>
          <w:rPr>
            <w:noProof/>
            <w:webHidden/>
          </w:rPr>
        </w:r>
        <w:r>
          <w:rPr>
            <w:noProof/>
            <w:webHidden/>
          </w:rPr>
          <w:fldChar w:fldCharType="separate"/>
        </w:r>
        <w:r>
          <w:rPr>
            <w:noProof/>
            <w:webHidden/>
          </w:rPr>
          <w:t>12</w:t>
        </w:r>
        <w:r>
          <w:rPr>
            <w:noProof/>
            <w:webHidden/>
          </w:rPr>
          <w:fldChar w:fldCharType="end"/>
        </w:r>
      </w:hyperlink>
    </w:p>
    <w:p w14:paraId="71D29149" w14:textId="338495C2"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103" w:history="1">
        <w:r w:rsidRPr="00480FCF">
          <w:rPr>
            <w:rStyle w:val="Hyperlink"/>
            <w:noProof/>
          </w:rPr>
          <w:t>2.3 Event Days</w:t>
        </w:r>
        <w:r>
          <w:rPr>
            <w:noProof/>
            <w:webHidden/>
          </w:rPr>
          <w:tab/>
        </w:r>
        <w:r>
          <w:rPr>
            <w:noProof/>
            <w:webHidden/>
          </w:rPr>
          <w:fldChar w:fldCharType="begin"/>
        </w:r>
        <w:r>
          <w:rPr>
            <w:noProof/>
            <w:webHidden/>
          </w:rPr>
          <w:instrText xml:space="preserve"> PAGEREF _Toc510091103 \h </w:instrText>
        </w:r>
        <w:r>
          <w:rPr>
            <w:noProof/>
            <w:webHidden/>
          </w:rPr>
        </w:r>
        <w:r>
          <w:rPr>
            <w:noProof/>
            <w:webHidden/>
          </w:rPr>
          <w:fldChar w:fldCharType="separate"/>
        </w:r>
        <w:r>
          <w:rPr>
            <w:noProof/>
            <w:webHidden/>
          </w:rPr>
          <w:t>15</w:t>
        </w:r>
        <w:r>
          <w:rPr>
            <w:noProof/>
            <w:webHidden/>
          </w:rPr>
          <w:fldChar w:fldCharType="end"/>
        </w:r>
      </w:hyperlink>
    </w:p>
    <w:p w14:paraId="361C7EDA" w14:textId="0DAB3D06" w:rsidR="00720E96" w:rsidRDefault="00720E96">
      <w:pPr>
        <w:pStyle w:val="TOC1"/>
        <w:rPr>
          <w:rFonts w:asciiTheme="minorHAnsi" w:eastAsiaTheme="minorEastAsia" w:hAnsiTheme="minorHAnsi" w:cstheme="minorBidi"/>
          <w:b w:val="0"/>
          <w:noProof/>
          <w:sz w:val="22"/>
          <w:szCs w:val="22"/>
        </w:rPr>
      </w:pPr>
      <w:hyperlink w:anchor="_Toc510091104" w:history="1">
        <w:r w:rsidRPr="00480FCF">
          <w:rPr>
            <w:rStyle w:val="Hyperlink"/>
            <w:noProof/>
          </w:rPr>
          <w:t>3. Study Methodology</w:t>
        </w:r>
        <w:r>
          <w:rPr>
            <w:noProof/>
            <w:webHidden/>
          </w:rPr>
          <w:tab/>
        </w:r>
        <w:r>
          <w:rPr>
            <w:noProof/>
            <w:webHidden/>
          </w:rPr>
          <w:fldChar w:fldCharType="begin"/>
        </w:r>
        <w:r>
          <w:rPr>
            <w:noProof/>
            <w:webHidden/>
          </w:rPr>
          <w:instrText xml:space="preserve"> PAGEREF _Toc510091104 \h </w:instrText>
        </w:r>
        <w:r>
          <w:rPr>
            <w:noProof/>
            <w:webHidden/>
          </w:rPr>
        </w:r>
        <w:r>
          <w:rPr>
            <w:noProof/>
            <w:webHidden/>
          </w:rPr>
          <w:fldChar w:fldCharType="separate"/>
        </w:r>
        <w:r>
          <w:rPr>
            <w:noProof/>
            <w:webHidden/>
          </w:rPr>
          <w:t>15</w:t>
        </w:r>
        <w:r>
          <w:rPr>
            <w:noProof/>
            <w:webHidden/>
          </w:rPr>
          <w:fldChar w:fldCharType="end"/>
        </w:r>
      </w:hyperlink>
    </w:p>
    <w:p w14:paraId="7E3B493C" w14:textId="22A185BA"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105" w:history="1">
        <w:r w:rsidRPr="00480FCF">
          <w:rPr>
            <w:rStyle w:val="Hyperlink"/>
            <w:noProof/>
          </w:rPr>
          <w:t>3.1 Overview</w:t>
        </w:r>
        <w:r>
          <w:rPr>
            <w:noProof/>
            <w:webHidden/>
          </w:rPr>
          <w:tab/>
        </w:r>
        <w:r>
          <w:rPr>
            <w:noProof/>
            <w:webHidden/>
          </w:rPr>
          <w:fldChar w:fldCharType="begin"/>
        </w:r>
        <w:r>
          <w:rPr>
            <w:noProof/>
            <w:webHidden/>
          </w:rPr>
          <w:instrText xml:space="preserve"> PAGEREF _Toc510091105 \h </w:instrText>
        </w:r>
        <w:r>
          <w:rPr>
            <w:noProof/>
            <w:webHidden/>
          </w:rPr>
        </w:r>
        <w:r>
          <w:rPr>
            <w:noProof/>
            <w:webHidden/>
          </w:rPr>
          <w:fldChar w:fldCharType="separate"/>
        </w:r>
        <w:r>
          <w:rPr>
            <w:noProof/>
            <w:webHidden/>
          </w:rPr>
          <w:t>15</w:t>
        </w:r>
        <w:r>
          <w:rPr>
            <w:noProof/>
            <w:webHidden/>
          </w:rPr>
          <w:fldChar w:fldCharType="end"/>
        </w:r>
      </w:hyperlink>
    </w:p>
    <w:p w14:paraId="43756D0C" w14:textId="75F9E2E3"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106" w:history="1">
        <w:r w:rsidRPr="00480FCF">
          <w:rPr>
            <w:rStyle w:val="Hyperlink"/>
            <w:noProof/>
          </w:rPr>
          <w:t>3.2 Description of methods</w:t>
        </w:r>
        <w:r>
          <w:rPr>
            <w:noProof/>
            <w:webHidden/>
          </w:rPr>
          <w:tab/>
        </w:r>
        <w:r>
          <w:rPr>
            <w:noProof/>
            <w:webHidden/>
          </w:rPr>
          <w:fldChar w:fldCharType="begin"/>
        </w:r>
        <w:r>
          <w:rPr>
            <w:noProof/>
            <w:webHidden/>
          </w:rPr>
          <w:instrText xml:space="preserve"> PAGEREF _Toc510091106 \h </w:instrText>
        </w:r>
        <w:r>
          <w:rPr>
            <w:noProof/>
            <w:webHidden/>
          </w:rPr>
        </w:r>
        <w:r>
          <w:rPr>
            <w:noProof/>
            <w:webHidden/>
          </w:rPr>
          <w:fldChar w:fldCharType="separate"/>
        </w:r>
        <w:r>
          <w:rPr>
            <w:noProof/>
            <w:webHidden/>
          </w:rPr>
          <w:t>16</w:t>
        </w:r>
        <w:r>
          <w:rPr>
            <w:noProof/>
            <w:webHidden/>
          </w:rPr>
          <w:fldChar w:fldCharType="end"/>
        </w:r>
      </w:hyperlink>
    </w:p>
    <w:p w14:paraId="0AE52EB8" w14:textId="576041CB" w:rsidR="00720E96" w:rsidRDefault="00720E96">
      <w:pPr>
        <w:pStyle w:val="TOC3"/>
        <w:rPr>
          <w:rFonts w:asciiTheme="minorHAnsi" w:eastAsiaTheme="minorEastAsia" w:hAnsiTheme="minorHAnsi" w:cstheme="minorBidi"/>
          <w:noProof/>
          <w:sz w:val="22"/>
          <w:szCs w:val="22"/>
        </w:rPr>
      </w:pPr>
      <w:hyperlink w:anchor="_Toc510091107" w:history="1">
        <w:r w:rsidRPr="00480FCF">
          <w:rPr>
            <w:rStyle w:val="Hyperlink"/>
            <w:noProof/>
          </w:rPr>
          <w:t>3.2.1 Regression Model</w:t>
        </w:r>
        <w:r>
          <w:rPr>
            <w:noProof/>
            <w:webHidden/>
          </w:rPr>
          <w:tab/>
        </w:r>
        <w:r>
          <w:rPr>
            <w:noProof/>
            <w:webHidden/>
          </w:rPr>
          <w:fldChar w:fldCharType="begin"/>
        </w:r>
        <w:r>
          <w:rPr>
            <w:noProof/>
            <w:webHidden/>
          </w:rPr>
          <w:instrText xml:space="preserve"> PAGEREF _Toc510091107 \h </w:instrText>
        </w:r>
        <w:r>
          <w:rPr>
            <w:noProof/>
            <w:webHidden/>
          </w:rPr>
        </w:r>
        <w:r>
          <w:rPr>
            <w:noProof/>
            <w:webHidden/>
          </w:rPr>
          <w:fldChar w:fldCharType="separate"/>
        </w:r>
        <w:r>
          <w:rPr>
            <w:noProof/>
            <w:webHidden/>
          </w:rPr>
          <w:t>16</w:t>
        </w:r>
        <w:r>
          <w:rPr>
            <w:noProof/>
            <w:webHidden/>
          </w:rPr>
          <w:fldChar w:fldCharType="end"/>
        </w:r>
      </w:hyperlink>
    </w:p>
    <w:p w14:paraId="153DF5A7" w14:textId="3E7A591F" w:rsidR="00720E96" w:rsidRDefault="00720E96">
      <w:pPr>
        <w:pStyle w:val="TOC3"/>
        <w:rPr>
          <w:rFonts w:asciiTheme="minorHAnsi" w:eastAsiaTheme="minorEastAsia" w:hAnsiTheme="minorHAnsi" w:cstheme="minorBidi"/>
          <w:noProof/>
          <w:sz w:val="22"/>
          <w:szCs w:val="22"/>
        </w:rPr>
      </w:pPr>
      <w:hyperlink w:anchor="_Toc510091108" w:history="1">
        <w:r w:rsidRPr="00480FCF">
          <w:rPr>
            <w:rStyle w:val="Hyperlink"/>
            <w:noProof/>
          </w:rPr>
          <w:t>3.2.2 Development of Uncertainty-Adjusted Load Impacts</w:t>
        </w:r>
        <w:r>
          <w:rPr>
            <w:noProof/>
            <w:webHidden/>
          </w:rPr>
          <w:tab/>
        </w:r>
        <w:r>
          <w:rPr>
            <w:noProof/>
            <w:webHidden/>
          </w:rPr>
          <w:fldChar w:fldCharType="begin"/>
        </w:r>
        <w:r>
          <w:rPr>
            <w:noProof/>
            <w:webHidden/>
          </w:rPr>
          <w:instrText xml:space="preserve"> PAGEREF _Toc510091108 \h </w:instrText>
        </w:r>
        <w:r>
          <w:rPr>
            <w:noProof/>
            <w:webHidden/>
          </w:rPr>
        </w:r>
        <w:r>
          <w:rPr>
            <w:noProof/>
            <w:webHidden/>
          </w:rPr>
          <w:fldChar w:fldCharType="separate"/>
        </w:r>
        <w:r>
          <w:rPr>
            <w:noProof/>
            <w:webHidden/>
          </w:rPr>
          <w:t>18</w:t>
        </w:r>
        <w:r>
          <w:rPr>
            <w:noProof/>
            <w:webHidden/>
          </w:rPr>
          <w:fldChar w:fldCharType="end"/>
        </w:r>
      </w:hyperlink>
    </w:p>
    <w:p w14:paraId="0505D2FA" w14:textId="2FD2777B" w:rsidR="00720E96" w:rsidRDefault="00720E96">
      <w:pPr>
        <w:pStyle w:val="TOC1"/>
        <w:rPr>
          <w:rFonts w:asciiTheme="minorHAnsi" w:eastAsiaTheme="minorEastAsia" w:hAnsiTheme="minorHAnsi" w:cstheme="minorBidi"/>
          <w:b w:val="0"/>
          <w:noProof/>
          <w:sz w:val="22"/>
          <w:szCs w:val="22"/>
        </w:rPr>
      </w:pPr>
      <w:hyperlink w:anchor="_Toc510091109" w:history="1">
        <w:r w:rsidRPr="00480FCF">
          <w:rPr>
            <w:rStyle w:val="Hyperlink"/>
            <w:noProof/>
          </w:rPr>
          <w:t>4. Detailed Study Findings</w:t>
        </w:r>
        <w:r>
          <w:rPr>
            <w:noProof/>
            <w:webHidden/>
          </w:rPr>
          <w:tab/>
        </w:r>
        <w:r>
          <w:rPr>
            <w:noProof/>
            <w:webHidden/>
          </w:rPr>
          <w:fldChar w:fldCharType="begin"/>
        </w:r>
        <w:r>
          <w:rPr>
            <w:noProof/>
            <w:webHidden/>
          </w:rPr>
          <w:instrText xml:space="preserve"> PAGEREF _Toc510091109 \h </w:instrText>
        </w:r>
        <w:r>
          <w:rPr>
            <w:noProof/>
            <w:webHidden/>
          </w:rPr>
        </w:r>
        <w:r>
          <w:rPr>
            <w:noProof/>
            <w:webHidden/>
          </w:rPr>
          <w:fldChar w:fldCharType="separate"/>
        </w:r>
        <w:r>
          <w:rPr>
            <w:noProof/>
            <w:webHidden/>
          </w:rPr>
          <w:t>18</w:t>
        </w:r>
        <w:r>
          <w:rPr>
            <w:noProof/>
            <w:webHidden/>
          </w:rPr>
          <w:fldChar w:fldCharType="end"/>
        </w:r>
      </w:hyperlink>
    </w:p>
    <w:p w14:paraId="4B7B62FD" w14:textId="24DF4815"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110" w:history="1">
        <w:r w:rsidRPr="00480FCF">
          <w:rPr>
            <w:rStyle w:val="Hyperlink"/>
            <w:noProof/>
          </w:rPr>
          <w:t>4.1 PG&amp;E Load Impacts</w:t>
        </w:r>
        <w:r>
          <w:rPr>
            <w:noProof/>
            <w:webHidden/>
          </w:rPr>
          <w:tab/>
        </w:r>
        <w:r>
          <w:rPr>
            <w:noProof/>
            <w:webHidden/>
          </w:rPr>
          <w:fldChar w:fldCharType="begin"/>
        </w:r>
        <w:r>
          <w:rPr>
            <w:noProof/>
            <w:webHidden/>
          </w:rPr>
          <w:instrText xml:space="preserve"> PAGEREF _Toc510091110 \h </w:instrText>
        </w:r>
        <w:r>
          <w:rPr>
            <w:noProof/>
            <w:webHidden/>
          </w:rPr>
        </w:r>
        <w:r>
          <w:rPr>
            <w:noProof/>
            <w:webHidden/>
          </w:rPr>
          <w:fldChar w:fldCharType="separate"/>
        </w:r>
        <w:r>
          <w:rPr>
            <w:noProof/>
            <w:webHidden/>
          </w:rPr>
          <w:t>19</w:t>
        </w:r>
        <w:r>
          <w:rPr>
            <w:noProof/>
            <w:webHidden/>
          </w:rPr>
          <w:fldChar w:fldCharType="end"/>
        </w:r>
      </w:hyperlink>
    </w:p>
    <w:p w14:paraId="57915728" w14:textId="7ECD0801" w:rsidR="00720E96" w:rsidRDefault="00720E96">
      <w:pPr>
        <w:pStyle w:val="TOC3"/>
        <w:rPr>
          <w:rFonts w:asciiTheme="minorHAnsi" w:eastAsiaTheme="minorEastAsia" w:hAnsiTheme="minorHAnsi" w:cstheme="minorBidi"/>
          <w:noProof/>
          <w:sz w:val="22"/>
          <w:szCs w:val="22"/>
        </w:rPr>
      </w:pPr>
      <w:hyperlink w:anchor="_Toc510091111" w:history="1">
        <w:r w:rsidRPr="00480FCF">
          <w:rPr>
            <w:rStyle w:val="Hyperlink"/>
            <w:noProof/>
          </w:rPr>
          <w:t>4.1.1 Average Event-hour Load Impacts by Industry Group and LCA</w:t>
        </w:r>
        <w:r>
          <w:rPr>
            <w:noProof/>
            <w:webHidden/>
          </w:rPr>
          <w:tab/>
        </w:r>
        <w:r>
          <w:rPr>
            <w:noProof/>
            <w:webHidden/>
          </w:rPr>
          <w:fldChar w:fldCharType="begin"/>
        </w:r>
        <w:r>
          <w:rPr>
            <w:noProof/>
            <w:webHidden/>
          </w:rPr>
          <w:instrText xml:space="preserve"> PAGEREF _Toc510091111 \h </w:instrText>
        </w:r>
        <w:r>
          <w:rPr>
            <w:noProof/>
            <w:webHidden/>
          </w:rPr>
        </w:r>
        <w:r>
          <w:rPr>
            <w:noProof/>
            <w:webHidden/>
          </w:rPr>
          <w:fldChar w:fldCharType="separate"/>
        </w:r>
        <w:r>
          <w:rPr>
            <w:noProof/>
            <w:webHidden/>
          </w:rPr>
          <w:t>19</w:t>
        </w:r>
        <w:r>
          <w:rPr>
            <w:noProof/>
            <w:webHidden/>
          </w:rPr>
          <w:fldChar w:fldCharType="end"/>
        </w:r>
      </w:hyperlink>
    </w:p>
    <w:p w14:paraId="7DC96BCD" w14:textId="6C16A81E" w:rsidR="00720E96" w:rsidRDefault="00720E96">
      <w:pPr>
        <w:pStyle w:val="TOC3"/>
        <w:rPr>
          <w:rFonts w:asciiTheme="minorHAnsi" w:eastAsiaTheme="minorEastAsia" w:hAnsiTheme="minorHAnsi" w:cstheme="minorBidi"/>
          <w:noProof/>
          <w:sz w:val="22"/>
          <w:szCs w:val="22"/>
        </w:rPr>
      </w:pPr>
      <w:hyperlink w:anchor="_Toc510091112" w:history="1">
        <w:r w:rsidRPr="00480FCF">
          <w:rPr>
            <w:rStyle w:val="Hyperlink"/>
            <w:noProof/>
          </w:rPr>
          <w:t>4.1.2 Hourly Load Impacts</w:t>
        </w:r>
        <w:r>
          <w:rPr>
            <w:noProof/>
            <w:webHidden/>
          </w:rPr>
          <w:tab/>
        </w:r>
        <w:r>
          <w:rPr>
            <w:noProof/>
            <w:webHidden/>
          </w:rPr>
          <w:fldChar w:fldCharType="begin"/>
        </w:r>
        <w:r>
          <w:rPr>
            <w:noProof/>
            <w:webHidden/>
          </w:rPr>
          <w:instrText xml:space="preserve"> PAGEREF _Toc510091112 \h </w:instrText>
        </w:r>
        <w:r>
          <w:rPr>
            <w:noProof/>
            <w:webHidden/>
          </w:rPr>
        </w:r>
        <w:r>
          <w:rPr>
            <w:noProof/>
            <w:webHidden/>
          </w:rPr>
          <w:fldChar w:fldCharType="separate"/>
        </w:r>
        <w:r>
          <w:rPr>
            <w:noProof/>
            <w:webHidden/>
          </w:rPr>
          <w:t>21</w:t>
        </w:r>
        <w:r>
          <w:rPr>
            <w:noProof/>
            <w:webHidden/>
          </w:rPr>
          <w:fldChar w:fldCharType="end"/>
        </w:r>
      </w:hyperlink>
    </w:p>
    <w:p w14:paraId="3339823F" w14:textId="390F0018"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113" w:history="1">
        <w:r w:rsidRPr="00480FCF">
          <w:rPr>
            <w:rStyle w:val="Hyperlink"/>
            <w:noProof/>
          </w:rPr>
          <w:t>4.2 SCE Load Impacts</w:t>
        </w:r>
        <w:r>
          <w:rPr>
            <w:noProof/>
            <w:webHidden/>
          </w:rPr>
          <w:tab/>
        </w:r>
        <w:r>
          <w:rPr>
            <w:noProof/>
            <w:webHidden/>
          </w:rPr>
          <w:fldChar w:fldCharType="begin"/>
        </w:r>
        <w:r>
          <w:rPr>
            <w:noProof/>
            <w:webHidden/>
          </w:rPr>
          <w:instrText xml:space="preserve"> PAGEREF _Toc510091113 \h </w:instrText>
        </w:r>
        <w:r>
          <w:rPr>
            <w:noProof/>
            <w:webHidden/>
          </w:rPr>
        </w:r>
        <w:r>
          <w:rPr>
            <w:noProof/>
            <w:webHidden/>
          </w:rPr>
          <w:fldChar w:fldCharType="separate"/>
        </w:r>
        <w:r>
          <w:rPr>
            <w:noProof/>
            <w:webHidden/>
          </w:rPr>
          <w:t>22</w:t>
        </w:r>
        <w:r>
          <w:rPr>
            <w:noProof/>
            <w:webHidden/>
          </w:rPr>
          <w:fldChar w:fldCharType="end"/>
        </w:r>
      </w:hyperlink>
    </w:p>
    <w:p w14:paraId="40467E95" w14:textId="543CA63F" w:rsidR="00720E96" w:rsidRDefault="00720E96">
      <w:pPr>
        <w:pStyle w:val="TOC3"/>
        <w:rPr>
          <w:rFonts w:asciiTheme="minorHAnsi" w:eastAsiaTheme="minorEastAsia" w:hAnsiTheme="minorHAnsi" w:cstheme="minorBidi"/>
          <w:noProof/>
          <w:sz w:val="22"/>
          <w:szCs w:val="22"/>
        </w:rPr>
      </w:pPr>
      <w:hyperlink w:anchor="_Toc510091114" w:history="1">
        <w:r w:rsidRPr="00480FCF">
          <w:rPr>
            <w:rStyle w:val="Hyperlink"/>
            <w:noProof/>
          </w:rPr>
          <w:t>4.2.1 Average Event-hour Load Impacts by Industry Group and LCA</w:t>
        </w:r>
        <w:r>
          <w:rPr>
            <w:noProof/>
            <w:webHidden/>
          </w:rPr>
          <w:tab/>
        </w:r>
        <w:r>
          <w:rPr>
            <w:noProof/>
            <w:webHidden/>
          </w:rPr>
          <w:fldChar w:fldCharType="begin"/>
        </w:r>
        <w:r>
          <w:rPr>
            <w:noProof/>
            <w:webHidden/>
          </w:rPr>
          <w:instrText xml:space="preserve"> PAGEREF _Toc510091114 \h </w:instrText>
        </w:r>
        <w:r>
          <w:rPr>
            <w:noProof/>
            <w:webHidden/>
          </w:rPr>
        </w:r>
        <w:r>
          <w:rPr>
            <w:noProof/>
            <w:webHidden/>
          </w:rPr>
          <w:fldChar w:fldCharType="separate"/>
        </w:r>
        <w:r>
          <w:rPr>
            <w:noProof/>
            <w:webHidden/>
          </w:rPr>
          <w:t>22</w:t>
        </w:r>
        <w:r>
          <w:rPr>
            <w:noProof/>
            <w:webHidden/>
          </w:rPr>
          <w:fldChar w:fldCharType="end"/>
        </w:r>
      </w:hyperlink>
    </w:p>
    <w:p w14:paraId="6B72EFD8" w14:textId="4BDEFCF3" w:rsidR="00720E96" w:rsidRDefault="00720E96">
      <w:pPr>
        <w:pStyle w:val="TOC3"/>
        <w:rPr>
          <w:rFonts w:asciiTheme="minorHAnsi" w:eastAsiaTheme="minorEastAsia" w:hAnsiTheme="minorHAnsi" w:cstheme="minorBidi"/>
          <w:noProof/>
          <w:sz w:val="22"/>
          <w:szCs w:val="22"/>
        </w:rPr>
      </w:pPr>
      <w:hyperlink w:anchor="_Toc510091115" w:history="1">
        <w:r w:rsidRPr="00480FCF">
          <w:rPr>
            <w:rStyle w:val="Hyperlink"/>
            <w:noProof/>
          </w:rPr>
          <w:t>4.2.2 Hourly Load Impacts</w:t>
        </w:r>
        <w:r>
          <w:rPr>
            <w:noProof/>
            <w:webHidden/>
          </w:rPr>
          <w:tab/>
        </w:r>
        <w:r>
          <w:rPr>
            <w:noProof/>
            <w:webHidden/>
          </w:rPr>
          <w:fldChar w:fldCharType="begin"/>
        </w:r>
        <w:r>
          <w:rPr>
            <w:noProof/>
            <w:webHidden/>
          </w:rPr>
          <w:instrText xml:space="preserve"> PAGEREF _Toc510091115 \h </w:instrText>
        </w:r>
        <w:r>
          <w:rPr>
            <w:noProof/>
            <w:webHidden/>
          </w:rPr>
        </w:r>
        <w:r>
          <w:rPr>
            <w:noProof/>
            <w:webHidden/>
          </w:rPr>
          <w:fldChar w:fldCharType="separate"/>
        </w:r>
        <w:r>
          <w:rPr>
            <w:noProof/>
            <w:webHidden/>
          </w:rPr>
          <w:t>24</w:t>
        </w:r>
        <w:r>
          <w:rPr>
            <w:noProof/>
            <w:webHidden/>
          </w:rPr>
          <w:fldChar w:fldCharType="end"/>
        </w:r>
      </w:hyperlink>
    </w:p>
    <w:p w14:paraId="336829E1" w14:textId="5E8612E9"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116" w:history="1">
        <w:r w:rsidRPr="00480FCF">
          <w:rPr>
            <w:rStyle w:val="Hyperlink"/>
            <w:noProof/>
          </w:rPr>
          <w:t>4.3 SDG&amp;E Load Impacts</w:t>
        </w:r>
        <w:r>
          <w:rPr>
            <w:noProof/>
            <w:webHidden/>
          </w:rPr>
          <w:tab/>
        </w:r>
        <w:r>
          <w:rPr>
            <w:noProof/>
            <w:webHidden/>
          </w:rPr>
          <w:fldChar w:fldCharType="begin"/>
        </w:r>
        <w:r>
          <w:rPr>
            <w:noProof/>
            <w:webHidden/>
          </w:rPr>
          <w:instrText xml:space="preserve"> PAGEREF _Toc510091116 \h </w:instrText>
        </w:r>
        <w:r>
          <w:rPr>
            <w:noProof/>
            <w:webHidden/>
          </w:rPr>
        </w:r>
        <w:r>
          <w:rPr>
            <w:noProof/>
            <w:webHidden/>
          </w:rPr>
          <w:fldChar w:fldCharType="separate"/>
        </w:r>
        <w:r>
          <w:rPr>
            <w:noProof/>
            <w:webHidden/>
          </w:rPr>
          <w:t>25</w:t>
        </w:r>
        <w:r>
          <w:rPr>
            <w:noProof/>
            <w:webHidden/>
          </w:rPr>
          <w:fldChar w:fldCharType="end"/>
        </w:r>
      </w:hyperlink>
    </w:p>
    <w:p w14:paraId="3E1B72AE" w14:textId="74925264" w:rsidR="00720E96" w:rsidRDefault="00720E96">
      <w:pPr>
        <w:pStyle w:val="TOC3"/>
        <w:rPr>
          <w:rFonts w:asciiTheme="minorHAnsi" w:eastAsiaTheme="minorEastAsia" w:hAnsiTheme="minorHAnsi" w:cstheme="minorBidi"/>
          <w:noProof/>
          <w:sz w:val="22"/>
          <w:szCs w:val="22"/>
        </w:rPr>
      </w:pPr>
      <w:hyperlink w:anchor="_Toc510091117" w:history="1">
        <w:r w:rsidRPr="00480FCF">
          <w:rPr>
            <w:rStyle w:val="Hyperlink"/>
            <w:noProof/>
          </w:rPr>
          <w:t>4.3.1 Average Event-hour Load Impacts</w:t>
        </w:r>
        <w:r>
          <w:rPr>
            <w:noProof/>
            <w:webHidden/>
          </w:rPr>
          <w:tab/>
        </w:r>
        <w:r>
          <w:rPr>
            <w:noProof/>
            <w:webHidden/>
          </w:rPr>
          <w:fldChar w:fldCharType="begin"/>
        </w:r>
        <w:r>
          <w:rPr>
            <w:noProof/>
            <w:webHidden/>
          </w:rPr>
          <w:instrText xml:space="preserve"> PAGEREF _Toc510091117 \h </w:instrText>
        </w:r>
        <w:r>
          <w:rPr>
            <w:noProof/>
            <w:webHidden/>
          </w:rPr>
        </w:r>
        <w:r>
          <w:rPr>
            <w:noProof/>
            <w:webHidden/>
          </w:rPr>
          <w:fldChar w:fldCharType="separate"/>
        </w:r>
        <w:r>
          <w:rPr>
            <w:noProof/>
            <w:webHidden/>
          </w:rPr>
          <w:t>25</w:t>
        </w:r>
        <w:r>
          <w:rPr>
            <w:noProof/>
            <w:webHidden/>
          </w:rPr>
          <w:fldChar w:fldCharType="end"/>
        </w:r>
      </w:hyperlink>
    </w:p>
    <w:p w14:paraId="3E0B642A" w14:textId="210CB44E" w:rsidR="00720E96" w:rsidRDefault="00720E96">
      <w:pPr>
        <w:pStyle w:val="TOC3"/>
        <w:rPr>
          <w:rFonts w:asciiTheme="minorHAnsi" w:eastAsiaTheme="minorEastAsia" w:hAnsiTheme="minorHAnsi" w:cstheme="minorBidi"/>
          <w:noProof/>
          <w:sz w:val="22"/>
          <w:szCs w:val="22"/>
        </w:rPr>
      </w:pPr>
      <w:hyperlink w:anchor="_Toc510091118" w:history="1">
        <w:r w:rsidRPr="00480FCF">
          <w:rPr>
            <w:rStyle w:val="Hyperlink"/>
            <w:noProof/>
          </w:rPr>
          <w:t>4.3.2 Hourly Load Impacts</w:t>
        </w:r>
        <w:r>
          <w:rPr>
            <w:noProof/>
            <w:webHidden/>
          </w:rPr>
          <w:tab/>
        </w:r>
        <w:r>
          <w:rPr>
            <w:noProof/>
            <w:webHidden/>
          </w:rPr>
          <w:fldChar w:fldCharType="begin"/>
        </w:r>
        <w:r>
          <w:rPr>
            <w:noProof/>
            <w:webHidden/>
          </w:rPr>
          <w:instrText xml:space="preserve"> PAGEREF _Toc510091118 \h </w:instrText>
        </w:r>
        <w:r>
          <w:rPr>
            <w:noProof/>
            <w:webHidden/>
          </w:rPr>
        </w:r>
        <w:r>
          <w:rPr>
            <w:noProof/>
            <w:webHidden/>
          </w:rPr>
          <w:fldChar w:fldCharType="separate"/>
        </w:r>
        <w:r>
          <w:rPr>
            <w:noProof/>
            <w:webHidden/>
          </w:rPr>
          <w:t>26</w:t>
        </w:r>
        <w:r>
          <w:rPr>
            <w:noProof/>
            <w:webHidden/>
          </w:rPr>
          <w:fldChar w:fldCharType="end"/>
        </w:r>
      </w:hyperlink>
    </w:p>
    <w:p w14:paraId="560E68C3" w14:textId="020010FE" w:rsidR="00720E96" w:rsidRDefault="00720E96">
      <w:pPr>
        <w:pStyle w:val="TOC1"/>
        <w:rPr>
          <w:rFonts w:asciiTheme="minorHAnsi" w:eastAsiaTheme="minorEastAsia" w:hAnsiTheme="minorHAnsi" w:cstheme="minorBidi"/>
          <w:b w:val="0"/>
          <w:noProof/>
          <w:sz w:val="22"/>
          <w:szCs w:val="22"/>
        </w:rPr>
      </w:pPr>
      <w:hyperlink w:anchor="_Toc510091119" w:history="1">
        <w:r w:rsidRPr="00480FCF">
          <w:rPr>
            <w:rStyle w:val="Hyperlink"/>
            <w:noProof/>
          </w:rPr>
          <w:t>5. Ex-ante Load Impact Forecast</w:t>
        </w:r>
        <w:r>
          <w:rPr>
            <w:noProof/>
            <w:webHidden/>
          </w:rPr>
          <w:tab/>
        </w:r>
        <w:r>
          <w:rPr>
            <w:noProof/>
            <w:webHidden/>
          </w:rPr>
          <w:fldChar w:fldCharType="begin"/>
        </w:r>
        <w:r>
          <w:rPr>
            <w:noProof/>
            <w:webHidden/>
          </w:rPr>
          <w:instrText xml:space="preserve"> PAGEREF _Toc510091119 \h </w:instrText>
        </w:r>
        <w:r>
          <w:rPr>
            <w:noProof/>
            <w:webHidden/>
          </w:rPr>
        </w:r>
        <w:r>
          <w:rPr>
            <w:noProof/>
            <w:webHidden/>
          </w:rPr>
          <w:fldChar w:fldCharType="separate"/>
        </w:r>
        <w:r>
          <w:rPr>
            <w:noProof/>
            <w:webHidden/>
          </w:rPr>
          <w:t>28</w:t>
        </w:r>
        <w:r>
          <w:rPr>
            <w:noProof/>
            <w:webHidden/>
          </w:rPr>
          <w:fldChar w:fldCharType="end"/>
        </w:r>
      </w:hyperlink>
    </w:p>
    <w:p w14:paraId="01D5E1F3" w14:textId="458D3718"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120" w:history="1">
        <w:r w:rsidRPr="00480FCF">
          <w:rPr>
            <w:rStyle w:val="Hyperlink"/>
            <w:noProof/>
          </w:rPr>
          <w:t>5.1 Ex-ante Load Impact Requirements</w:t>
        </w:r>
        <w:r>
          <w:rPr>
            <w:noProof/>
            <w:webHidden/>
          </w:rPr>
          <w:tab/>
        </w:r>
        <w:r>
          <w:rPr>
            <w:noProof/>
            <w:webHidden/>
          </w:rPr>
          <w:fldChar w:fldCharType="begin"/>
        </w:r>
        <w:r>
          <w:rPr>
            <w:noProof/>
            <w:webHidden/>
          </w:rPr>
          <w:instrText xml:space="preserve"> PAGEREF _Toc510091120 \h </w:instrText>
        </w:r>
        <w:r>
          <w:rPr>
            <w:noProof/>
            <w:webHidden/>
          </w:rPr>
        </w:r>
        <w:r>
          <w:rPr>
            <w:noProof/>
            <w:webHidden/>
          </w:rPr>
          <w:fldChar w:fldCharType="separate"/>
        </w:r>
        <w:r>
          <w:rPr>
            <w:noProof/>
            <w:webHidden/>
          </w:rPr>
          <w:t>28</w:t>
        </w:r>
        <w:r>
          <w:rPr>
            <w:noProof/>
            <w:webHidden/>
          </w:rPr>
          <w:fldChar w:fldCharType="end"/>
        </w:r>
      </w:hyperlink>
    </w:p>
    <w:p w14:paraId="0549EA58" w14:textId="4F8BA3AC"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121" w:history="1">
        <w:r w:rsidRPr="00480FCF">
          <w:rPr>
            <w:rStyle w:val="Hyperlink"/>
            <w:noProof/>
          </w:rPr>
          <w:t>5.2 Description of Methods</w:t>
        </w:r>
        <w:r>
          <w:rPr>
            <w:noProof/>
            <w:webHidden/>
          </w:rPr>
          <w:tab/>
        </w:r>
        <w:r>
          <w:rPr>
            <w:noProof/>
            <w:webHidden/>
          </w:rPr>
          <w:fldChar w:fldCharType="begin"/>
        </w:r>
        <w:r>
          <w:rPr>
            <w:noProof/>
            <w:webHidden/>
          </w:rPr>
          <w:instrText xml:space="preserve"> PAGEREF _Toc510091121 \h </w:instrText>
        </w:r>
        <w:r>
          <w:rPr>
            <w:noProof/>
            <w:webHidden/>
          </w:rPr>
        </w:r>
        <w:r>
          <w:rPr>
            <w:noProof/>
            <w:webHidden/>
          </w:rPr>
          <w:fldChar w:fldCharType="separate"/>
        </w:r>
        <w:r>
          <w:rPr>
            <w:noProof/>
            <w:webHidden/>
          </w:rPr>
          <w:t>29</w:t>
        </w:r>
        <w:r>
          <w:rPr>
            <w:noProof/>
            <w:webHidden/>
          </w:rPr>
          <w:fldChar w:fldCharType="end"/>
        </w:r>
      </w:hyperlink>
    </w:p>
    <w:p w14:paraId="7FAFD4E2" w14:textId="43B6104A" w:rsidR="00720E96" w:rsidRDefault="00720E96">
      <w:pPr>
        <w:pStyle w:val="TOC3"/>
        <w:rPr>
          <w:rFonts w:asciiTheme="minorHAnsi" w:eastAsiaTheme="minorEastAsia" w:hAnsiTheme="minorHAnsi" w:cstheme="minorBidi"/>
          <w:noProof/>
          <w:sz w:val="22"/>
          <w:szCs w:val="22"/>
        </w:rPr>
      </w:pPr>
      <w:hyperlink w:anchor="_Toc510091122" w:history="1">
        <w:r w:rsidRPr="00480FCF">
          <w:rPr>
            <w:rStyle w:val="Hyperlink"/>
            <w:noProof/>
          </w:rPr>
          <w:t>5.2.1 Development of Customer Groups</w:t>
        </w:r>
        <w:r>
          <w:rPr>
            <w:noProof/>
            <w:webHidden/>
          </w:rPr>
          <w:tab/>
        </w:r>
        <w:r>
          <w:rPr>
            <w:noProof/>
            <w:webHidden/>
          </w:rPr>
          <w:fldChar w:fldCharType="begin"/>
        </w:r>
        <w:r>
          <w:rPr>
            <w:noProof/>
            <w:webHidden/>
          </w:rPr>
          <w:instrText xml:space="preserve"> PAGEREF _Toc510091122 \h </w:instrText>
        </w:r>
        <w:r>
          <w:rPr>
            <w:noProof/>
            <w:webHidden/>
          </w:rPr>
        </w:r>
        <w:r>
          <w:rPr>
            <w:noProof/>
            <w:webHidden/>
          </w:rPr>
          <w:fldChar w:fldCharType="separate"/>
        </w:r>
        <w:r>
          <w:rPr>
            <w:noProof/>
            <w:webHidden/>
          </w:rPr>
          <w:t>29</w:t>
        </w:r>
        <w:r>
          <w:rPr>
            <w:noProof/>
            <w:webHidden/>
          </w:rPr>
          <w:fldChar w:fldCharType="end"/>
        </w:r>
      </w:hyperlink>
    </w:p>
    <w:p w14:paraId="1786EBAA" w14:textId="6453B1A2" w:rsidR="00720E96" w:rsidRDefault="00720E96">
      <w:pPr>
        <w:pStyle w:val="TOC3"/>
        <w:rPr>
          <w:rFonts w:asciiTheme="minorHAnsi" w:eastAsiaTheme="minorEastAsia" w:hAnsiTheme="minorHAnsi" w:cstheme="minorBidi"/>
          <w:noProof/>
          <w:sz w:val="22"/>
          <w:szCs w:val="22"/>
        </w:rPr>
      </w:pPr>
      <w:hyperlink w:anchor="_Toc510091123" w:history="1">
        <w:r w:rsidRPr="00480FCF">
          <w:rPr>
            <w:rStyle w:val="Hyperlink"/>
            <w:noProof/>
          </w:rPr>
          <w:t>5.2.2 Development of Reference Loads and Load Impacts</w:t>
        </w:r>
        <w:r>
          <w:rPr>
            <w:noProof/>
            <w:webHidden/>
          </w:rPr>
          <w:tab/>
        </w:r>
        <w:r>
          <w:rPr>
            <w:noProof/>
            <w:webHidden/>
          </w:rPr>
          <w:fldChar w:fldCharType="begin"/>
        </w:r>
        <w:r>
          <w:rPr>
            <w:noProof/>
            <w:webHidden/>
          </w:rPr>
          <w:instrText xml:space="preserve"> PAGEREF _Toc510091123 \h </w:instrText>
        </w:r>
        <w:r>
          <w:rPr>
            <w:noProof/>
            <w:webHidden/>
          </w:rPr>
        </w:r>
        <w:r>
          <w:rPr>
            <w:noProof/>
            <w:webHidden/>
          </w:rPr>
          <w:fldChar w:fldCharType="separate"/>
        </w:r>
        <w:r>
          <w:rPr>
            <w:noProof/>
            <w:webHidden/>
          </w:rPr>
          <w:t>29</w:t>
        </w:r>
        <w:r>
          <w:rPr>
            <w:noProof/>
            <w:webHidden/>
          </w:rPr>
          <w:fldChar w:fldCharType="end"/>
        </w:r>
      </w:hyperlink>
    </w:p>
    <w:p w14:paraId="2E0B8FFB" w14:textId="49E37228"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124" w:history="1">
        <w:r w:rsidRPr="00480FCF">
          <w:rPr>
            <w:rStyle w:val="Hyperlink"/>
            <w:noProof/>
          </w:rPr>
          <w:t>5.3 Enrollment Forecasts</w:t>
        </w:r>
        <w:r>
          <w:rPr>
            <w:noProof/>
            <w:webHidden/>
          </w:rPr>
          <w:tab/>
        </w:r>
        <w:r>
          <w:rPr>
            <w:noProof/>
            <w:webHidden/>
          </w:rPr>
          <w:fldChar w:fldCharType="begin"/>
        </w:r>
        <w:r>
          <w:rPr>
            <w:noProof/>
            <w:webHidden/>
          </w:rPr>
          <w:instrText xml:space="preserve"> PAGEREF _Toc510091124 \h </w:instrText>
        </w:r>
        <w:r>
          <w:rPr>
            <w:noProof/>
            <w:webHidden/>
          </w:rPr>
        </w:r>
        <w:r>
          <w:rPr>
            <w:noProof/>
            <w:webHidden/>
          </w:rPr>
          <w:fldChar w:fldCharType="separate"/>
        </w:r>
        <w:r>
          <w:rPr>
            <w:noProof/>
            <w:webHidden/>
          </w:rPr>
          <w:t>33</w:t>
        </w:r>
        <w:r>
          <w:rPr>
            <w:noProof/>
            <w:webHidden/>
          </w:rPr>
          <w:fldChar w:fldCharType="end"/>
        </w:r>
      </w:hyperlink>
    </w:p>
    <w:p w14:paraId="0C9F6502" w14:textId="015519CA"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125" w:history="1">
        <w:r w:rsidRPr="00480FCF">
          <w:rPr>
            <w:rStyle w:val="Hyperlink"/>
            <w:noProof/>
          </w:rPr>
          <w:t>5.4 Reference Loads and Load Impacts</w:t>
        </w:r>
        <w:r>
          <w:rPr>
            <w:noProof/>
            <w:webHidden/>
          </w:rPr>
          <w:tab/>
        </w:r>
        <w:r>
          <w:rPr>
            <w:noProof/>
            <w:webHidden/>
          </w:rPr>
          <w:fldChar w:fldCharType="begin"/>
        </w:r>
        <w:r>
          <w:rPr>
            <w:noProof/>
            <w:webHidden/>
          </w:rPr>
          <w:instrText xml:space="preserve"> PAGEREF _Toc510091125 \h </w:instrText>
        </w:r>
        <w:r>
          <w:rPr>
            <w:noProof/>
            <w:webHidden/>
          </w:rPr>
        </w:r>
        <w:r>
          <w:rPr>
            <w:noProof/>
            <w:webHidden/>
          </w:rPr>
          <w:fldChar w:fldCharType="separate"/>
        </w:r>
        <w:r>
          <w:rPr>
            <w:noProof/>
            <w:webHidden/>
          </w:rPr>
          <w:t>34</w:t>
        </w:r>
        <w:r>
          <w:rPr>
            <w:noProof/>
            <w:webHidden/>
          </w:rPr>
          <w:fldChar w:fldCharType="end"/>
        </w:r>
      </w:hyperlink>
    </w:p>
    <w:p w14:paraId="59F2A284" w14:textId="1796FDEA" w:rsidR="00720E96" w:rsidRDefault="00720E96">
      <w:pPr>
        <w:pStyle w:val="TOC3"/>
        <w:rPr>
          <w:rFonts w:asciiTheme="minorHAnsi" w:eastAsiaTheme="minorEastAsia" w:hAnsiTheme="minorHAnsi" w:cstheme="minorBidi"/>
          <w:noProof/>
          <w:sz w:val="22"/>
          <w:szCs w:val="22"/>
        </w:rPr>
      </w:pPr>
      <w:hyperlink w:anchor="_Toc510091126" w:history="1">
        <w:r w:rsidRPr="00480FCF">
          <w:rPr>
            <w:rStyle w:val="Hyperlink"/>
            <w:noProof/>
          </w:rPr>
          <w:t>5.4.1 PG&amp;E</w:t>
        </w:r>
        <w:r>
          <w:rPr>
            <w:noProof/>
            <w:webHidden/>
          </w:rPr>
          <w:tab/>
        </w:r>
        <w:r>
          <w:rPr>
            <w:noProof/>
            <w:webHidden/>
          </w:rPr>
          <w:fldChar w:fldCharType="begin"/>
        </w:r>
        <w:r>
          <w:rPr>
            <w:noProof/>
            <w:webHidden/>
          </w:rPr>
          <w:instrText xml:space="preserve"> PAGEREF _Toc510091126 \h </w:instrText>
        </w:r>
        <w:r>
          <w:rPr>
            <w:noProof/>
            <w:webHidden/>
          </w:rPr>
        </w:r>
        <w:r>
          <w:rPr>
            <w:noProof/>
            <w:webHidden/>
          </w:rPr>
          <w:fldChar w:fldCharType="separate"/>
        </w:r>
        <w:r>
          <w:rPr>
            <w:noProof/>
            <w:webHidden/>
          </w:rPr>
          <w:t>34</w:t>
        </w:r>
        <w:r>
          <w:rPr>
            <w:noProof/>
            <w:webHidden/>
          </w:rPr>
          <w:fldChar w:fldCharType="end"/>
        </w:r>
      </w:hyperlink>
    </w:p>
    <w:p w14:paraId="4C5182E9" w14:textId="45ADFACF" w:rsidR="00720E96" w:rsidRDefault="00720E96">
      <w:pPr>
        <w:pStyle w:val="TOC3"/>
        <w:rPr>
          <w:rFonts w:asciiTheme="minorHAnsi" w:eastAsiaTheme="minorEastAsia" w:hAnsiTheme="minorHAnsi" w:cstheme="minorBidi"/>
          <w:noProof/>
          <w:sz w:val="22"/>
          <w:szCs w:val="22"/>
        </w:rPr>
      </w:pPr>
      <w:hyperlink w:anchor="_Toc510091127" w:history="1">
        <w:r w:rsidRPr="00480FCF">
          <w:rPr>
            <w:rStyle w:val="Hyperlink"/>
            <w:noProof/>
          </w:rPr>
          <w:t>5.4.2 SCE</w:t>
        </w:r>
        <w:r>
          <w:rPr>
            <w:noProof/>
            <w:webHidden/>
          </w:rPr>
          <w:tab/>
        </w:r>
        <w:r>
          <w:rPr>
            <w:noProof/>
            <w:webHidden/>
          </w:rPr>
          <w:fldChar w:fldCharType="begin"/>
        </w:r>
        <w:r>
          <w:rPr>
            <w:noProof/>
            <w:webHidden/>
          </w:rPr>
          <w:instrText xml:space="preserve"> PAGEREF _Toc510091127 \h </w:instrText>
        </w:r>
        <w:r>
          <w:rPr>
            <w:noProof/>
            <w:webHidden/>
          </w:rPr>
        </w:r>
        <w:r>
          <w:rPr>
            <w:noProof/>
            <w:webHidden/>
          </w:rPr>
          <w:fldChar w:fldCharType="separate"/>
        </w:r>
        <w:r>
          <w:rPr>
            <w:noProof/>
            <w:webHidden/>
          </w:rPr>
          <w:t>36</w:t>
        </w:r>
        <w:r>
          <w:rPr>
            <w:noProof/>
            <w:webHidden/>
          </w:rPr>
          <w:fldChar w:fldCharType="end"/>
        </w:r>
      </w:hyperlink>
    </w:p>
    <w:p w14:paraId="6E180021" w14:textId="176CA48A" w:rsidR="00720E96" w:rsidRDefault="00720E96">
      <w:pPr>
        <w:pStyle w:val="TOC3"/>
        <w:rPr>
          <w:rFonts w:asciiTheme="minorHAnsi" w:eastAsiaTheme="minorEastAsia" w:hAnsiTheme="minorHAnsi" w:cstheme="minorBidi"/>
          <w:noProof/>
          <w:sz w:val="22"/>
          <w:szCs w:val="22"/>
        </w:rPr>
      </w:pPr>
      <w:hyperlink w:anchor="_Toc510091128" w:history="1">
        <w:r w:rsidRPr="00480FCF">
          <w:rPr>
            <w:rStyle w:val="Hyperlink"/>
            <w:noProof/>
          </w:rPr>
          <w:t>5.4.3 SDG&amp;E</w:t>
        </w:r>
        <w:r>
          <w:rPr>
            <w:noProof/>
            <w:webHidden/>
          </w:rPr>
          <w:tab/>
        </w:r>
        <w:r>
          <w:rPr>
            <w:noProof/>
            <w:webHidden/>
          </w:rPr>
          <w:fldChar w:fldCharType="begin"/>
        </w:r>
        <w:r>
          <w:rPr>
            <w:noProof/>
            <w:webHidden/>
          </w:rPr>
          <w:instrText xml:space="preserve"> PAGEREF _Toc510091128 \h </w:instrText>
        </w:r>
        <w:r>
          <w:rPr>
            <w:noProof/>
            <w:webHidden/>
          </w:rPr>
        </w:r>
        <w:r>
          <w:rPr>
            <w:noProof/>
            <w:webHidden/>
          </w:rPr>
          <w:fldChar w:fldCharType="separate"/>
        </w:r>
        <w:r>
          <w:rPr>
            <w:noProof/>
            <w:webHidden/>
          </w:rPr>
          <w:t>39</w:t>
        </w:r>
        <w:r>
          <w:rPr>
            <w:noProof/>
            <w:webHidden/>
          </w:rPr>
          <w:fldChar w:fldCharType="end"/>
        </w:r>
      </w:hyperlink>
    </w:p>
    <w:p w14:paraId="29C9E9E0" w14:textId="0E664164" w:rsidR="00720E96" w:rsidRDefault="00720E96">
      <w:pPr>
        <w:pStyle w:val="TOC1"/>
        <w:rPr>
          <w:rFonts w:asciiTheme="minorHAnsi" w:eastAsiaTheme="minorEastAsia" w:hAnsiTheme="minorHAnsi" w:cstheme="minorBidi"/>
          <w:b w:val="0"/>
          <w:noProof/>
          <w:sz w:val="22"/>
          <w:szCs w:val="22"/>
        </w:rPr>
      </w:pPr>
      <w:hyperlink w:anchor="_Toc510091129" w:history="1">
        <w:r w:rsidRPr="00480FCF">
          <w:rPr>
            <w:rStyle w:val="Hyperlink"/>
            <w:noProof/>
          </w:rPr>
          <w:t>6. Comparisons of Results</w:t>
        </w:r>
        <w:r>
          <w:rPr>
            <w:noProof/>
            <w:webHidden/>
          </w:rPr>
          <w:tab/>
        </w:r>
        <w:r>
          <w:rPr>
            <w:noProof/>
            <w:webHidden/>
          </w:rPr>
          <w:fldChar w:fldCharType="begin"/>
        </w:r>
        <w:r>
          <w:rPr>
            <w:noProof/>
            <w:webHidden/>
          </w:rPr>
          <w:instrText xml:space="preserve"> PAGEREF _Toc510091129 \h </w:instrText>
        </w:r>
        <w:r>
          <w:rPr>
            <w:noProof/>
            <w:webHidden/>
          </w:rPr>
        </w:r>
        <w:r>
          <w:rPr>
            <w:noProof/>
            <w:webHidden/>
          </w:rPr>
          <w:fldChar w:fldCharType="separate"/>
        </w:r>
        <w:r>
          <w:rPr>
            <w:noProof/>
            <w:webHidden/>
          </w:rPr>
          <w:t>41</w:t>
        </w:r>
        <w:r>
          <w:rPr>
            <w:noProof/>
            <w:webHidden/>
          </w:rPr>
          <w:fldChar w:fldCharType="end"/>
        </w:r>
      </w:hyperlink>
    </w:p>
    <w:p w14:paraId="421E01D4" w14:textId="108E46D7"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130" w:history="1">
        <w:r w:rsidRPr="00480FCF">
          <w:rPr>
            <w:rStyle w:val="Hyperlink"/>
            <w:noProof/>
          </w:rPr>
          <w:t>6.1 PG&amp;E</w:t>
        </w:r>
        <w:r>
          <w:rPr>
            <w:noProof/>
            <w:webHidden/>
          </w:rPr>
          <w:tab/>
        </w:r>
        <w:r>
          <w:rPr>
            <w:noProof/>
            <w:webHidden/>
          </w:rPr>
          <w:fldChar w:fldCharType="begin"/>
        </w:r>
        <w:r>
          <w:rPr>
            <w:noProof/>
            <w:webHidden/>
          </w:rPr>
          <w:instrText xml:space="preserve"> PAGEREF _Toc510091130 \h </w:instrText>
        </w:r>
        <w:r>
          <w:rPr>
            <w:noProof/>
            <w:webHidden/>
          </w:rPr>
        </w:r>
        <w:r>
          <w:rPr>
            <w:noProof/>
            <w:webHidden/>
          </w:rPr>
          <w:fldChar w:fldCharType="separate"/>
        </w:r>
        <w:r>
          <w:rPr>
            <w:noProof/>
            <w:webHidden/>
          </w:rPr>
          <w:t>41</w:t>
        </w:r>
        <w:r>
          <w:rPr>
            <w:noProof/>
            <w:webHidden/>
          </w:rPr>
          <w:fldChar w:fldCharType="end"/>
        </w:r>
      </w:hyperlink>
    </w:p>
    <w:p w14:paraId="1438F87C" w14:textId="406FB049" w:rsidR="00720E96" w:rsidRDefault="00720E96">
      <w:pPr>
        <w:pStyle w:val="TOC3"/>
        <w:rPr>
          <w:rFonts w:asciiTheme="minorHAnsi" w:eastAsiaTheme="minorEastAsia" w:hAnsiTheme="minorHAnsi" w:cstheme="minorBidi"/>
          <w:noProof/>
          <w:sz w:val="22"/>
          <w:szCs w:val="22"/>
        </w:rPr>
      </w:pPr>
      <w:hyperlink w:anchor="_Toc510091131" w:history="1">
        <w:r w:rsidRPr="00480FCF">
          <w:rPr>
            <w:rStyle w:val="Hyperlink"/>
            <w:noProof/>
          </w:rPr>
          <w:t>6.1.1 Previous versus current ex-post</w:t>
        </w:r>
        <w:r>
          <w:rPr>
            <w:noProof/>
            <w:webHidden/>
          </w:rPr>
          <w:tab/>
        </w:r>
        <w:r>
          <w:rPr>
            <w:noProof/>
            <w:webHidden/>
          </w:rPr>
          <w:fldChar w:fldCharType="begin"/>
        </w:r>
        <w:r>
          <w:rPr>
            <w:noProof/>
            <w:webHidden/>
          </w:rPr>
          <w:instrText xml:space="preserve"> PAGEREF _Toc510091131 \h </w:instrText>
        </w:r>
        <w:r>
          <w:rPr>
            <w:noProof/>
            <w:webHidden/>
          </w:rPr>
        </w:r>
        <w:r>
          <w:rPr>
            <w:noProof/>
            <w:webHidden/>
          </w:rPr>
          <w:fldChar w:fldCharType="separate"/>
        </w:r>
        <w:r>
          <w:rPr>
            <w:noProof/>
            <w:webHidden/>
          </w:rPr>
          <w:t>41</w:t>
        </w:r>
        <w:r>
          <w:rPr>
            <w:noProof/>
            <w:webHidden/>
          </w:rPr>
          <w:fldChar w:fldCharType="end"/>
        </w:r>
      </w:hyperlink>
    </w:p>
    <w:p w14:paraId="68A1780C" w14:textId="6709BDAB" w:rsidR="00720E96" w:rsidRDefault="00720E96">
      <w:pPr>
        <w:pStyle w:val="TOC3"/>
        <w:rPr>
          <w:rFonts w:asciiTheme="minorHAnsi" w:eastAsiaTheme="minorEastAsia" w:hAnsiTheme="minorHAnsi" w:cstheme="minorBidi"/>
          <w:noProof/>
          <w:sz w:val="22"/>
          <w:szCs w:val="22"/>
        </w:rPr>
      </w:pPr>
      <w:hyperlink w:anchor="_Toc510091132" w:history="1">
        <w:r w:rsidRPr="00480FCF">
          <w:rPr>
            <w:rStyle w:val="Hyperlink"/>
            <w:noProof/>
          </w:rPr>
          <w:t>6.1.2 Previous versus current ex-ante</w:t>
        </w:r>
        <w:r>
          <w:rPr>
            <w:noProof/>
            <w:webHidden/>
          </w:rPr>
          <w:tab/>
        </w:r>
        <w:r>
          <w:rPr>
            <w:noProof/>
            <w:webHidden/>
          </w:rPr>
          <w:fldChar w:fldCharType="begin"/>
        </w:r>
        <w:r>
          <w:rPr>
            <w:noProof/>
            <w:webHidden/>
          </w:rPr>
          <w:instrText xml:space="preserve"> PAGEREF _Toc510091132 \h </w:instrText>
        </w:r>
        <w:r>
          <w:rPr>
            <w:noProof/>
            <w:webHidden/>
          </w:rPr>
        </w:r>
        <w:r>
          <w:rPr>
            <w:noProof/>
            <w:webHidden/>
          </w:rPr>
          <w:fldChar w:fldCharType="separate"/>
        </w:r>
        <w:r>
          <w:rPr>
            <w:noProof/>
            <w:webHidden/>
          </w:rPr>
          <w:t>42</w:t>
        </w:r>
        <w:r>
          <w:rPr>
            <w:noProof/>
            <w:webHidden/>
          </w:rPr>
          <w:fldChar w:fldCharType="end"/>
        </w:r>
      </w:hyperlink>
    </w:p>
    <w:p w14:paraId="15875DBF" w14:textId="17249FED" w:rsidR="00720E96" w:rsidRDefault="00720E96">
      <w:pPr>
        <w:pStyle w:val="TOC3"/>
        <w:rPr>
          <w:rFonts w:asciiTheme="minorHAnsi" w:eastAsiaTheme="minorEastAsia" w:hAnsiTheme="minorHAnsi" w:cstheme="minorBidi"/>
          <w:noProof/>
          <w:sz w:val="22"/>
          <w:szCs w:val="22"/>
        </w:rPr>
      </w:pPr>
      <w:hyperlink w:anchor="_Toc510091133" w:history="1">
        <w:r w:rsidRPr="00480FCF">
          <w:rPr>
            <w:rStyle w:val="Hyperlink"/>
            <w:noProof/>
          </w:rPr>
          <w:t>6.1.3 Previous ex-ante versus current ex-post</w:t>
        </w:r>
        <w:r>
          <w:rPr>
            <w:noProof/>
            <w:webHidden/>
          </w:rPr>
          <w:tab/>
        </w:r>
        <w:r>
          <w:rPr>
            <w:noProof/>
            <w:webHidden/>
          </w:rPr>
          <w:fldChar w:fldCharType="begin"/>
        </w:r>
        <w:r>
          <w:rPr>
            <w:noProof/>
            <w:webHidden/>
          </w:rPr>
          <w:instrText xml:space="preserve"> PAGEREF _Toc510091133 \h </w:instrText>
        </w:r>
        <w:r>
          <w:rPr>
            <w:noProof/>
            <w:webHidden/>
          </w:rPr>
        </w:r>
        <w:r>
          <w:rPr>
            <w:noProof/>
            <w:webHidden/>
          </w:rPr>
          <w:fldChar w:fldCharType="separate"/>
        </w:r>
        <w:r>
          <w:rPr>
            <w:noProof/>
            <w:webHidden/>
          </w:rPr>
          <w:t>42</w:t>
        </w:r>
        <w:r>
          <w:rPr>
            <w:noProof/>
            <w:webHidden/>
          </w:rPr>
          <w:fldChar w:fldCharType="end"/>
        </w:r>
      </w:hyperlink>
    </w:p>
    <w:p w14:paraId="052425C2" w14:textId="583C5C01" w:rsidR="00720E96" w:rsidRDefault="00720E96">
      <w:pPr>
        <w:pStyle w:val="TOC3"/>
        <w:rPr>
          <w:rFonts w:asciiTheme="minorHAnsi" w:eastAsiaTheme="minorEastAsia" w:hAnsiTheme="minorHAnsi" w:cstheme="minorBidi"/>
          <w:noProof/>
          <w:sz w:val="22"/>
          <w:szCs w:val="22"/>
        </w:rPr>
      </w:pPr>
      <w:hyperlink w:anchor="_Toc510091134" w:history="1">
        <w:r w:rsidRPr="00480FCF">
          <w:rPr>
            <w:rStyle w:val="Hyperlink"/>
            <w:noProof/>
          </w:rPr>
          <w:t>6.1.4 Current ex-post versus current ex-ante</w:t>
        </w:r>
        <w:r>
          <w:rPr>
            <w:noProof/>
            <w:webHidden/>
          </w:rPr>
          <w:tab/>
        </w:r>
        <w:r>
          <w:rPr>
            <w:noProof/>
            <w:webHidden/>
          </w:rPr>
          <w:fldChar w:fldCharType="begin"/>
        </w:r>
        <w:r>
          <w:rPr>
            <w:noProof/>
            <w:webHidden/>
          </w:rPr>
          <w:instrText xml:space="preserve"> PAGEREF _Toc510091134 \h </w:instrText>
        </w:r>
        <w:r>
          <w:rPr>
            <w:noProof/>
            <w:webHidden/>
          </w:rPr>
        </w:r>
        <w:r>
          <w:rPr>
            <w:noProof/>
            <w:webHidden/>
          </w:rPr>
          <w:fldChar w:fldCharType="separate"/>
        </w:r>
        <w:r>
          <w:rPr>
            <w:noProof/>
            <w:webHidden/>
          </w:rPr>
          <w:t>43</w:t>
        </w:r>
        <w:r>
          <w:rPr>
            <w:noProof/>
            <w:webHidden/>
          </w:rPr>
          <w:fldChar w:fldCharType="end"/>
        </w:r>
      </w:hyperlink>
    </w:p>
    <w:p w14:paraId="56C92DE3" w14:textId="43F4C33E"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135" w:history="1">
        <w:r w:rsidRPr="00480FCF">
          <w:rPr>
            <w:rStyle w:val="Hyperlink"/>
            <w:noProof/>
          </w:rPr>
          <w:t>6.2 SCE</w:t>
        </w:r>
        <w:r>
          <w:rPr>
            <w:noProof/>
            <w:webHidden/>
          </w:rPr>
          <w:tab/>
        </w:r>
        <w:r>
          <w:rPr>
            <w:noProof/>
            <w:webHidden/>
          </w:rPr>
          <w:fldChar w:fldCharType="begin"/>
        </w:r>
        <w:r>
          <w:rPr>
            <w:noProof/>
            <w:webHidden/>
          </w:rPr>
          <w:instrText xml:space="preserve"> PAGEREF _Toc510091135 \h </w:instrText>
        </w:r>
        <w:r>
          <w:rPr>
            <w:noProof/>
            <w:webHidden/>
          </w:rPr>
        </w:r>
        <w:r>
          <w:rPr>
            <w:noProof/>
            <w:webHidden/>
          </w:rPr>
          <w:fldChar w:fldCharType="separate"/>
        </w:r>
        <w:r>
          <w:rPr>
            <w:noProof/>
            <w:webHidden/>
          </w:rPr>
          <w:t>44</w:t>
        </w:r>
        <w:r>
          <w:rPr>
            <w:noProof/>
            <w:webHidden/>
          </w:rPr>
          <w:fldChar w:fldCharType="end"/>
        </w:r>
      </w:hyperlink>
    </w:p>
    <w:p w14:paraId="7EF22FF5" w14:textId="70F7CF3A" w:rsidR="00720E96" w:rsidRDefault="00720E96">
      <w:pPr>
        <w:pStyle w:val="TOC3"/>
        <w:rPr>
          <w:rFonts w:asciiTheme="minorHAnsi" w:eastAsiaTheme="minorEastAsia" w:hAnsiTheme="minorHAnsi" w:cstheme="minorBidi"/>
          <w:noProof/>
          <w:sz w:val="22"/>
          <w:szCs w:val="22"/>
        </w:rPr>
      </w:pPr>
      <w:hyperlink w:anchor="_Toc510091136" w:history="1">
        <w:r w:rsidRPr="00480FCF">
          <w:rPr>
            <w:rStyle w:val="Hyperlink"/>
            <w:noProof/>
          </w:rPr>
          <w:t>6.2.1 Previous versus current ex-post</w:t>
        </w:r>
        <w:r>
          <w:rPr>
            <w:noProof/>
            <w:webHidden/>
          </w:rPr>
          <w:tab/>
        </w:r>
        <w:r>
          <w:rPr>
            <w:noProof/>
            <w:webHidden/>
          </w:rPr>
          <w:fldChar w:fldCharType="begin"/>
        </w:r>
        <w:r>
          <w:rPr>
            <w:noProof/>
            <w:webHidden/>
          </w:rPr>
          <w:instrText xml:space="preserve"> PAGEREF _Toc510091136 \h </w:instrText>
        </w:r>
        <w:r>
          <w:rPr>
            <w:noProof/>
            <w:webHidden/>
          </w:rPr>
        </w:r>
        <w:r>
          <w:rPr>
            <w:noProof/>
            <w:webHidden/>
          </w:rPr>
          <w:fldChar w:fldCharType="separate"/>
        </w:r>
        <w:r>
          <w:rPr>
            <w:noProof/>
            <w:webHidden/>
          </w:rPr>
          <w:t>44</w:t>
        </w:r>
        <w:r>
          <w:rPr>
            <w:noProof/>
            <w:webHidden/>
          </w:rPr>
          <w:fldChar w:fldCharType="end"/>
        </w:r>
      </w:hyperlink>
    </w:p>
    <w:p w14:paraId="2C26C9AF" w14:textId="5AFD2F88" w:rsidR="00720E96" w:rsidRDefault="00720E96">
      <w:pPr>
        <w:pStyle w:val="TOC3"/>
        <w:rPr>
          <w:rFonts w:asciiTheme="minorHAnsi" w:eastAsiaTheme="minorEastAsia" w:hAnsiTheme="minorHAnsi" w:cstheme="minorBidi"/>
          <w:noProof/>
          <w:sz w:val="22"/>
          <w:szCs w:val="22"/>
        </w:rPr>
      </w:pPr>
      <w:hyperlink w:anchor="_Toc510091137" w:history="1">
        <w:r w:rsidRPr="00480FCF">
          <w:rPr>
            <w:rStyle w:val="Hyperlink"/>
            <w:noProof/>
          </w:rPr>
          <w:t>6.2.2 Previous versus current ex-ante</w:t>
        </w:r>
        <w:r>
          <w:rPr>
            <w:noProof/>
            <w:webHidden/>
          </w:rPr>
          <w:tab/>
        </w:r>
        <w:r>
          <w:rPr>
            <w:noProof/>
            <w:webHidden/>
          </w:rPr>
          <w:fldChar w:fldCharType="begin"/>
        </w:r>
        <w:r>
          <w:rPr>
            <w:noProof/>
            <w:webHidden/>
          </w:rPr>
          <w:instrText xml:space="preserve"> PAGEREF _Toc510091137 \h </w:instrText>
        </w:r>
        <w:r>
          <w:rPr>
            <w:noProof/>
            <w:webHidden/>
          </w:rPr>
        </w:r>
        <w:r>
          <w:rPr>
            <w:noProof/>
            <w:webHidden/>
          </w:rPr>
          <w:fldChar w:fldCharType="separate"/>
        </w:r>
        <w:r>
          <w:rPr>
            <w:noProof/>
            <w:webHidden/>
          </w:rPr>
          <w:t>45</w:t>
        </w:r>
        <w:r>
          <w:rPr>
            <w:noProof/>
            <w:webHidden/>
          </w:rPr>
          <w:fldChar w:fldCharType="end"/>
        </w:r>
      </w:hyperlink>
    </w:p>
    <w:p w14:paraId="671405D4" w14:textId="05D369F6" w:rsidR="00720E96" w:rsidRDefault="00720E96">
      <w:pPr>
        <w:pStyle w:val="TOC3"/>
        <w:rPr>
          <w:rFonts w:asciiTheme="minorHAnsi" w:eastAsiaTheme="minorEastAsia" w:hAnsiTheme="minorHAnsi" w:cstheme="minorBidi"/>
          <w:noProof/>
          <w:sz w:val="22"/>
          <w:szCs w:val="22"/>
        </w:rPr>
      </w:pPr>
      <w:hyperlink w:anchor="_Toc510091138" w:history="1">
        <w:r w:rsidRPr="00480FCF">
          <w:rPr>
            <w:rStyle w:val="Hyperlink"/>
            <w:noProof/>
          </w:rPr>
          <w:t>6.2.3 Previous ex-ante versus current ex-post</w:t>
        </w:r>
        <w:r>
          <w:rPr>
            <w:noProof/>
            <w:webHidden/>
          </w:rPr>
          <w:tab/>
        </w:r>
        <w:r>
          <w:rPr>
            <w:noProof/>
            <w:webHidden/>
          </w:rPr>
          <w:fldChar w:fldCharType="begin"/>
        </w:r>
        <w:r>
          <w:rPr>
            <w:noProof/>
            <w:webHidden/>
          </w:rPr>
          <w:instrText xml:space="preserve"> PAGEREF _Toc510091138 \h </w:instrText>
        </w:r>
        <w:r>
          <w:rPr>
            <w:noProof/>
            <w:webHidden/>
          </w:rPr>
        </w:r>
        <w:r>
          <w:rPr>
            <w:noProof/>
            <w:webHidden/>
          </w:rPr>
          <w:fldChar w:fldCharType="separate"/>
        </w:r>
        <w:r>
          <w:rPr>
            <w:noProof/>
            <w:webHidden/>
          </w:rPr>
          <w:t>45</w:t>
        </w:r>
        <w:r>
          <w:rPr>
            <w:noProof/>
            <w:webHidden/>
          </w:rPr>
          <w:fldChar w:fldCharType="end"/>
        </w:r>
      </w:hyperlink>
    </w:p>
    <w:p w14:paraId="06308C42" w14:textId="7BB74F8D" w:rsidR="00720E96" w:rsidRDefault="00720E96">
      <w:pPr>
        <w:pStyle w:val="TOC3"/>
        <w:rPr>
          <w:rFonts w:asciiTheme="minorHAnsi" w:eastAsiaTheme="minorEastAsia" w:hAnsiTheme="minorHAnsi" w:cstheme="minorBidi"/>
          <w:noProof/>
          <w:sz w:val="22"/>
          <w:szCs w:val="22"/>
        </w:rPr>
      </w:pPr>
      <w:hyperlink w:anchor="_Toc510091139" w:history="1">
        <w:r w:rsidRPr="00480FCF">
          <w:rPr>
            <w:rStyle w:val="Hyperlink"/>
            <w:noProof/>
          </w:rPr>
          <w:t>6.2.4 Current ex-post versus current ex-ante</w:t>
        </w:r>
        <w:r>
          <w:rPr>
            <w:noProof/>
            <w:webHidden/>
          </w:rPr>
          <w:tab/>
        </w:r>
        <w:r>
          <w:rPr>
            <w:noProof/>
            <w:webHidden/>
          </w:rPr>
          <w:fldChar w:fldCharType="begin"/>
        </w:r>
        <w:r>
          <w:rPr>
            <w:noProof/>
            <w:webHidden/>
          </w:rPr>
          <w:instrText xml:space="preserve"> PAGEREF _Toc510091139 \h </w:instrText>
        </w:r>
        <w:r>
          <w:rPr>
            <w:noProof/>
            <w:webHidden/>
          </w:rPr>
        </w:r>
        <w:r>
          <w:rPr>
            <w:noProof/>
            <w:webHidden/>
          </w:rPr>
          <w:fldChar w:fldCharType="separate"/>
        </w:r>
        <w:r>
          <w:rPr>
            <w:noProof/>
            <w:webHidden/>
          </w:rPr>
          <w:t>46</w:t>
        </w:r>
        <w:r>
          <w:rPr>
            <w:noProof/>
            <w:webHidden/>
          </w:rPr>
          <w:fldChar w:fldCharType="end"/>
        </w:r>
      </w:hyperlink>
    </w:p>
    <w:p w14:paraId="0F816538" w14:textId="0287D533"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140" w:history="1">
        <w:r w:rsidRPr="00480FCF">
          <w:rPr>
            <w:rStyle w:val="Hyperlink"/>
            <w:noProof/>
          </w:rPr>
          <w:t>6.3 SDG&amp;E</w:t>
        </w:r>
        <w:r>
          <w:rPr>
            <w:noProof/>
            <w:webHidden/>
          </w:rPr>
          <w:tab/>
        </w:r>
        <w:r>
          <w:rPr>
            <w:noProof/>
            <w:webHidden/>
          </w:rPr>
          <w:fldChar w:fldCharType="begin"/>
        </w:r>
        <w:r>
          <w:rPr>
            <w:noProof/>
            <w:webHidden/>
          </w:rPr>
          <w:instrText xml:space="preserve"> PAGEREF _Toc510091140 \h </w:instrText>
        </w:r>
        <w:r>
          <w:rPr>
            <w:noProof/>
            <w:webHidden/>
          </w:rPr>
        </w:r>
        <w:r>
          <w:rPr>
            <w:noProof/>
            <w:webHidden/>
          </w:rPr>
          <w:fldChar w:fldCharType="separate"/>
        </w:r>
        <w:r>
          <w:rPr>
            <w:noProof/>
            <w:webHidden/>
          </w:rPr>
          <w:t>47</w:t>
        </w:r>
        <w:r>
          <w:rPr>
            <w:noProof/>
            <w:webHidden/>
          </w:rPr>
          <w:fldChar w:fldCharType="end"/>
        </w:r>
      </w:hyperlink>
    </w:p>
    <w:p w14:paraId="7214D362" w14:textId="15B0E795" w:rsidR="00720E96" w:rsidRDefault="00720E96">
      <w:pPr>
        <w:pStyle w:val="TOC3"/>
        <w:rPr>
          <w:rFonts w:asciiTheme="minorHAnsi" w:eastAsiaTheme="minorEastAsia" w:hAnsiTheme="minorHAnsi" w:cstheme="minorBidi"/>
          <w:noProof/>
          <w:sz w:val="22"/>
          <w:szCs w:val="22"/>
        </w:rPr>
      </w:pPr>
      <w:hyperlink w:anchor="_Toc510091141" w:history="1">
        <w:r w:rsidRPr="00480FCF">
          <w:rPr>
            <w:rStyle w:val="Hyperlink"/>
            <w:noProof/>
          </w:rPr>
          <w:t>6.3.1 Previous versus current ex-post</w:t>
        </w:r>
        <w:r>
          <w:rPr>
            <w:noProof/>
            <w:webHidden/>
          </w:rPr>
          <w:tab/>
        </w:r>
        <w:r>
          <w:rPr>
            <w:noProof/>
            <w:webHidden/>
          </w:rPr>
          <w:fldChar w:fldCharType="begin"/>
        </w:r>
        <w:r>
          <w:rPr>
            <w:noProof/>
            <w:webHidden/>
          </w:rPr>
          <w:instrText xml:space="preserve"> PAGEREF _Toc510091141 \h </w:instrText>
        </w:r>
        <w:r>
          <w:rPr>
            <w:noProof/>
            <w:webHidden/>
          </w:rPr>
        </w:r>
        <w:r>
          <w:rPr>
            <w:noProof/>
            <w:webHidden/>
          </w:rPr>
          <w:fldChar w:fldCharType="separate"/>
        </w:r>
        <w:r>
          <w:rPr>
            <w:noProof/>
            <w:webHidden/>
          </w:rPr>
          <w:t>47</w:t>
        </w:r>
        <w:r>
          <w:rPr>
            <w:noProof/>
            <w:webHidden/>
          </w:rPr>
          <w:fldChar w:fldCharType="end"/>
        </w:r>
      </w:hyperlink>
    </w:p>
    <w:p w14:paraId="23FE3FBA" w14:textId="5841603E" w:rsidR="00720E96" w:rsidRDefault="00720E96">
      <w:pPr>
        <w:pStyle w:val="TOC3"/>
        <w:rPr>
          <w:rFonts w:asciiTheme="minorHAnsi" w:eastAsiaTheme="minorEastAsia" w:hAnsiTheme="minorHAnsi" w:cstheme="minorBidi"/>
          <w:noProof/>
          <w:sz w:val="22"/>
          <w:szCs w:val="22"/>
        </w:rPr>
      </w:pPr>
      <w:hyperlink w:anchor="_Toc510091142" w:history="1">
        <w:r w:rsidRPr="00480FCF">
          <w:rPr>
            <w:rStyle w:val="Hyperlink"/>
            <w:noProof/>
          </w:rPr>
          <w:t>6.3.2 Previous versus current ex-ante</w:t>
        </w:r>
        <w:r>
          <w:rPr>
            <w:noProof/>
            <w:webHidden/>
          </w:rPr>
          <w:tab/>
        </w:r>
        <w:r>
          <w:rPr>
            <w:noProof/>
            <w:webHidden/>
          </w:rPr>
          <w:fldChar w:fldCharType="begin"/>
        </w:r>
        <w:r>
          <w:rPr>
            <w:noProof/>
            <w:webHidden/>
          </w:rPr>
          <w:instrText xml:space="preserve"> PAGEREF _Toc510091142 \h </w:instrText>
        </w:r>
        <w:r>
          <w:rPr>
            <w:noProof/>
            <w:webHidden/>
          </w:rPr>
        </w:r>
        <w:r>
          <w:rPr>
            <w:noProof/>
            <w:webHidden/>
          </w:rPr>
          <w:fldChar w:fldCharType="separate"/>
        </w:r>
        <w:r>
          <w:rPr>
            <w:noProof/>
            <w:webHidden/>
          </w:rPr>
          <w:t>48</w:t>
        </w:r>
        <w:r>
          <w:rPr>
            <w:noProof/>
            <w:webHidden/>
          </w:rPr>
          <w:fldChar w:fldCharType="end"/>
        </w:r>
      </w:hyperlink>
    </w:p>
    <w:p w14:paraId="6BDF966A" w14:textId="219C4BE8" w:rsidR="00720E96" w:rsidRDefault="00720E96">
      <w:pPr>
        <w:pStyle w:val="TOC3"/>
        <w:rPr>
          <w:rFonts w:asciiTheme="minorHAnsi" w:eastAsiaTheme="minorEastAsia" w:hAnsiTheme="minorHAnsi" w:cstheme="minorBidi"/>
          <w:noProof/>
          <w:sz w:val="22"/>
          <w:szCs w:val="22"/>
        </w:rPr>
      </w:pPr>
      <w:hyperlink w:anchor="_Toc510091143" w:history="1">
        <w:r w:rsidRPr="00480FCF">
          <w:rPr>
            <w:rStyle w:val="Hyperlink"/>
            <w:noProof/>
          </w:rPr>
          <w:t>6.3.3 Previous ex-ante versus current ex-post</w:t>
        </w:r>
        <w:r>
          <w:rPr>
            <w:noProof/>
            <w:webHidden/>
          </w:rPr>
          <w:tab/>
        </w:r>
        <w:r>
          <w:rPr>
            <w:noProof/>
            <w:webHidden/>
          </w:rPr>
          <w:fldChar w:fldCharType="begin"/>
        </w:r>
        <w:r>
          <w:rPr>
            <w:noProof/>
            <w:webHidden/>
          </w:rPr>
          <w:instrText xml:space="preserve"> PAGEREF _Toc510091143 \h </w:instrText>
        </w:r>
        <w:r>
          <w:rPr>
            <w:noProof/>
            <w:webHidden/>
          </w:rPr>
        </w:r>
        <w:r>
          <w:rPr>
            <w:noProof/>
            <w:webHidden/>
          </w:rPr>
          <w:fldChar w:fldCharType="separate"/>
        </w:r>
        <w:r>
          <w:rPr>
            <w:noProof/>
            <w:webHidden/>
          </w:rPr>
          <w:t>48</w:t>
        </w:r>
        <w:r>
          <w:rPr>
            <w:noProof/>
            <w:webHidden/>
          </w:rPr>
          <w:fldChar w:fldCharType="end"/>
        </w:r>
      </w:hyperlink>
    </w:p>
    <w:p w14:paraId="7B9A4429" w14:textId="4C5BE354" w:rsidR="00720E96" w:rsidRDefault="00720E96">
      <w:pPr>
        <w:pStyle w:val="TOC3"/>
        <w:rPr>
          <w:rFonts w:asciiTheme="minorHAnsi" w:eastAsiaTheme="minorEastAsia" w:hAnsiTheme="minorHAnsi" w:cstheme="minorBidi"/>
          <w:noProof/>
          <w:sz w:val="22"/>
          <w:szCs w:val="22"/>
        </w:rPr>
      </w:pPr>
      <w:hyperlink w:anchor="_Toc510091144" w:history="1">
        <w:r w:rsidRPr="00480FCF">
          <w:rPr>
            <w:rStyle w:val="Hyperlink"/>
            <w:noProof/>
          </w:rPr>
          <w:t>6.3.4 Current ex-post versus current ex-ante</w:t>
        </w:r>
        <w:r>
          <w:rPr>
            <w:noProof/>
            <w:webHidden/>
          </w:rPr>
          <w:tab/>
        </w:r>
        <w:r>
          <w:rPr>
            <w:noProof/>
            <w:webHidden/>
          </w:rPr>
          <w:fldChar w:fldCharType="begin"/>
        </w:r>
        <w:r>
          <w:rPr>
            <w:noProof/>
            <w:webHidden/>
          </w:rPr>
          <w:instrText xml:space="preserve"> PAGEREF _Toc510091144 \h </w:instrText>
        </w:r>
        <w:r>
          <w:rPr>
            <w:noProof/>
            <w:webHidden/>
          </w:rPr>
        </w:r>
        <w:r>
          <w:rPr>
            <w:noProof/>
            <w:webHidden/>
          </w:rPr>
          <w:fldChar w:fldCharType="separate"/>
        </w:r>
        <w:r>
          <w:rPr>
            <w:noProof/>
            <w:webHidden/>
          </w:rPr>
          <w:t>49</w:t>
        </w:r>
        <w:r>
          <w:rPr>
            <w:noProof/>
            <w:webHidden/>
          </w:rPr>
          <w:fldChar w:fldCharType="end"/>
        </w:r>
      </w:hyperlink>
    </w:p>
    <w:p w14:paraId="6835C936" w14:textId="6B74DA25" w:rsidR="00720E96" w:rsidRDefault="00720E96">
      <w:pPr>
        <w:pStyle w:val="TOC1"/>
        <w:rPr>
          <w:rFonts w:asciiTheme="minorHAnsi" w:eastAsiaTheme="minorEastAsia" w:hAnsiTheme="minorHAnsi" w:cstheme="minorBidi"/>
          <w:b w:val="0"/>
          <w:noProof/>
          <w:sz w:val="22"/>
          <w:szCs w:val="22"/>
        </w:rPr>
      </w:pPr>
      <w:hyperlink w:anchor="_Toc510091145" w:history="1">
        <w:r w:rsidRPr="00480FCF">
          <w:rPr>
            <w:rStyle w:val="Hyperlink"/>
            <w:noProof/>
          </w:rPr>
          <w:t>7. Recommendations</w:t>
        </w:r>
        <w:r>
          <w:rPr>
            <w:noProof/>
            <w:webHidden/>
          </w:rPr>
          <w:tab/>
        </w:r>
        <w:r>
          <w:rPr>
            <w:noProof/>
            <w:webHidden/>
          </w:rPr>
          <w:fldChar w:fldCharType="begin"/>
        </w:r>
        <w:r>
          <w:rPr>
            <w:noProof/>
            <w:webHidden/>
          </w:rPr>
          <w:instrText xml:space="preserve"> PAGEREF _Toc510091145 \h </w:instrText>
        </w:r>
        <w:r>
          <w:rPr>
            <w:noProof/>
            <w:webHidden/>
          </w:rPr>
        </w:r>
        <w:r>
          <w:rPr>
            <w:noProof/>
            <w:webHidden/>
          </w:rPr>
          <w:fldChar w:fldCharType="separate"/>
        </w:r>
        <w:r>
          <w:rPr>
            <w:noProof/>
            <w:webHidden/>
          </w:rPr>
          <w:t>50</w:t>
        </w:r>
        <w:r>
          <w:rPr>
            <w:noProof/>
            <w:webHidden/>
          </w:rPr>
          <w:fldChar w:fldCharType="end"/>
        </w:r>
      </w:hyperlink>
    </w:p>
    <w:p w14:paraId="7275013E" w14:textId="54C20EBE" w:rsidR="00720E96" w:rsidRDefault="00720E96">
      <w:pPr>
        <w:pStyle w:val="TOC1"/>
        <w:rPr>
          <w:rFonts w:asciiTheme="minorHAnsi" w:eastAsiaTheme="minorEastAsia" w:hAnsiTheme="minorHAnsi" w:cstheme="minorBidi"/>
          <w:b w:val="0"/>
          <w:noProof/>
          <w:sz w:val="22"/>
          <w:szCs w:val="22"/>
        </w:rPr>
      </w:pPr>
      <w:hyperlink w:anchor="_Toc510091146" w:history="1">
        <w:r w:rsidRPr="00480FCF">
          <w:rPr>
            <w:rStyle w:val="Hyperlink"/>
            <w:noProof/>
          </w:rPr>
          <w:t>Appendices</w:t>
        </w:r>
        <w:r>
          <w:rPr>
            <w:noProof/>
            <w:webHidden/>
          </w:rPr>
          <w:tab/>
        </w:r>
        <w:r>
          <w:rPr>
            <w:noProof/>
            <w:webHidden/>
          </w:rPr>
          <w:fldChar w:fldCharType="begin"/>
        </w:r>
        <w:r>
          <w:rPr>
            <w:noProof/>
            <w:webHidden/>
          </w:rPr>
          <w:instrText xml:space="preserve"> PAGEREF _Toc510091146 \h </w:instrText>
        </w:r>
        <w:r>
          <w:rPr>
            <w:noProof/>
            <w:webHidden/>
          </w:rPr>
        </w:r>
        <w:r>
          <w:rPr>
            <w:noProof/>
            <w:webHidden/>
          </w:rPr>
          <w:fldChar w:fldCharType="separate"/>
        </w:r>
        <w:r>
          <w:rPr>
            <w:noProof/>
            <w:webHidden/>
          </w:rPr>
          <w:t>51</w:t>
        </w:r>
        <w:r>
          <w:rPr>
            <w:noProof/>
            <w:webHidden/>
          </w:rPr>
          <w:fldChar w:fldCharType="end"/>
        </w:r>
      </w:hyperlink>
    </w:p>
    <w:p w14:paraId="0DBDA58E" w14:textId="3B14DF95" w:rsidR="00720E96" w:rsidRDefault="00720E96">
      <w:pPr>
        <w:pStyle w:val="TOC1"/>
        <w:rPr>
          <w:rFonts w:asciiTheme="minorHAnsi" w:eastAsiaTheme="minorEastAsia" w:hAnsiTheme="minorHAnsi" w:cstheme="minorBidi"/>
          <w:b w:val="0"/>
          <w:noProof/>
          <w:sz w:val="22"/>
          <w:szCs w:val="22"/>
        </w:rPr>
      </w:pPr>
      <w:hyperlink w:anchor="_Toc510091147" w:history="1">
        <w:r w:rsidRPr="00480FCF">
          <w:rPr>
            <w:rStyle w:val="Hyperlink"/>
            <w:noProof/>
          </w:rPr>
          <w:t>Appendix A. Validity Assessment</w:t>
        </w:r>
        <w:r>
          <w:rPr>
            <w:noProof/>
            <w:webHidden/>
          </w:rPr>
          <w:tab/>
        </w:r>
        <w:r>
          <w:rPr>
            <w:noProof/>
            <w:webHidden/>
          </w:rPr>
          <w:fldChar w:fldCharType="begin"/>
        </w:r>
        <w:r>
          <w:rPr>
            <w:noProof/>
            <w:webHidden/>
          </w:rPr>
          <w:instrText xml:space="preserve"> PAGEREF _Toc510091147 \h </w:instrText>
        </w:r>
        <w:r>
          <w:rPr>
            <w:noProof/>
            <w:webHidden/>
          </w:rPr>
        </w:r>
        <w:r>
          <w:rPr>
            <w:noProof/>
            <w:webHidden/>
          </w:rPr>
          <w:fldChar w:fldCharType="separate"/>
        </w:r>
        <w:r>
          <w:rPr>
            <w:noProof/>
            <w:webHidden/>
          </w:rPr>
          <w:t>52</w:t>
        </w:r>
        <w:r>
          <w:rPr>
            <w:noProof/>
            <w:webHidden/>
          </w:rPr>
          <w:fldChar w:fldCharType="end"/>
        </w:r>
      </w:hyperlink>
    </w:p>
    <w:p w14:paraId="3F850025" w14:textId="4B8B523A"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148" w:history="1">
        <w:r w:rsidRPr="00480FCF">
          <w:rPr>
            <w:rStyle w:val="Hyperlink"/>
            <w:noProof/>
          </w:rPr>
          <w:t>A.1 Customer Weather Sensitivity</w:t>
        </w:r>
        <w:r>
          <w:rPr>
            <w:noProof/>
            <w:webHidden/>
          </w:rPr>
          <w:tab/>
        </w:r>
        <w:r>
          <w:rPr>
            <w:noProof/>
            <w:webHidden/>
          </w:rPr>
          <w:fldChar w:fldCharType="begin"/>
        </w:r>
        <w:r>
          <w:rPr>
            <w:noProof/>
            <w:webHidden/>
          </w:rPr>
          <w:instrText xml:space="preserve"> PAGEREF _Toc510091148 \h </w:instrText>
        </w:r>
        <w:r>
          <w:rPr>
            <w:noProof/>
            <w:webHidden/>
          </w:rPr>
        </w:r>
        <w:r>
          <w:rPr>
            <w:noProof/>
            <w:webHidden/>
          </w:rPr>
          <w:fldChar w:fldCharType="separate"/>
        </w:r>
        <w:r>
          <w:rPr>
            <w:noProof/>
            <w:webHidden/>
          </w:rPr>
          <w:t>52</w:t>
        </w:r>
        <w:r>
          <w:rPr>
            <w:noProof/>
            <w:webHidden/>
          </w:rPr>
          <w:fldChar w:fldCharType="end"/>
        </w:r>
      </w:hyperlink>
    </w:p>
    <w:p w14:paraId="6C6350D3" w14:textId="6F7734FD"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149" w:history="1">
        <w:r w:rsidRPr="00480FCF">
          <w:rPr>
            <w:rStyle w:val="Hyperlink"/>
            <w:noProof/>
          </w:rPr>
          <w:t>A.2 Model Specification Tests</w:t>
        </w:r>
        <w:r>
          <w:rPr>
            <w:noProof/>
            <w:webHidden/>
          </w:rPr>
          <w:tab/>
        </w:r>
        <w:r>
          <w:rPr>
            <w:noProof/>
            <w:webHidden/>
          </w:rPr>
          <w:fldChar w:fldCharType="begin"/>
        </w:r>
        <w:r>
          <w:rPr>
            <w:noProof/>
            <w:webHidden/>
          </w:rPr>
          <w:instrText xml:space="preserve"> PAGEREF _Toc510091149 \h </w:instrText>
        </w:r>
        <w:r>
          <w:rPr>
            <w:noProof/>
            <w:webHidden/>
          </w:rPr>
        </w:r>
        <w:r>
          <w:rPr>
            <w:noProof/>
            <w:webHidden/>
          </w:rPr>
          <w:fldChar w:fldCharType="separate"/>
        </w:r>
        <w:r>
          <w:rPr>
            <w:noProof/>
            <w:webHidden/>
          </w:rPr>
          <w:t>53</w:t>
        </w:r>
        <w:r>
          <w:rPr>
            <w:noProof/>
            <w:webHidden/>
          </w:rPr>
          <w:fldChar w:fldCharType="end"/>
        </w:r>
      </w:hyperlink>
    </w:p>
    <w:p w14:paraId="39209023" w14:textId="013C4D4A" w:rsidR="00720E96" w:rsidRDefault="00720E96">
      <w:pPr>
        <w:pStyle w:val="TOC3"/>
        <w:rPr>
          <w:rFonts w:asciiTheme="minorHAnsi" w:eastAsiaTheme="minorEastAsia" w:hAnsiTheme="minorHAnsi" w:cstheme="minorBidi"/>
          <w:noProof/>
          <w:sz w:val="22"/>
          <w:szCs w:val="22"/>
        </w:rPr>
      </w:pPr>
      <w:hyperlink w:anchor="_Toc510091150" w:history="1">
        <w:r w:rsidRPr="00480FCF">
          <w:rPr>
            <w:rStyle w:val="Hyperlink"/>
            <w:noProof/>
          </w:rPr>
          <w:t>A.2.1 Selection of Event-Like Non-Event Days</w:t>
        </w:r>
        <w:r>
          <w:rPr>
            <w:noProof/>
            <w:webHidden/>
          </w:rPr>
          <w:tab/>
        </w:r>
        <w:r>
          <w:rPr>
            <w:noProof/>
            <w:webHidden/>
          </w:rPr>
          <w:fldChar w:fldCharType="begin"/>
        </w:r>
        <w:r>
          <w:rPr>
            <w:noProof/>
            <w:webHidden/>
          </w:rPr>
          <w:instrText xml:space="preserve"> PAGEREF _Toc510091150 \h </w:instrText>
        </w:r>
        <w:r>
          <w:rPr>
            <w:noProof/>
            <w:webHidden/>
          </w:rPr>
        </w:r>
        <w:r>
          <w:rPr>
            <w:noProof/>
            <w:webHidden/>
          </w:rPr>
          <w:fldChar w:fldCharType="separate"/>
        </w:r>
        <w:r>
          <w:rPr>
            <w:noProof/>
            <w:webHidden/>
          </w:rPr>
          <w:t>55</w:t>
        </w:r>
        <w:r>
          <w:rPr>
            <w:noProof/>
            <w:webHidden/>
          </w:rPr>
          <w:fldChar w:fldCharType="end"/>
        </w:r>
      </w:hyperlink>
    </w:p>
    <w:p w14:paraId="31464E55" w14:textId="13792982" w:rsidR="00720E96" w:rsidRDefault="00720E96">
      <w:pPr>
        <w:pStyle w:val="TOC3"/>
        <w:rPr>
          <w:rFonts w:asciiTheme="minorHAnsi" w:eastAsiaTheme="minorEastAsia" w:hAnsiTheme="minorHAnsi" w:cstheme="minorBidi"/>
          <w:noProof/>
          <w:sz w:val="22"/>
          <w:szCs w:val="22"/>
        </w:rPr>
      </w:pPr>
      <w:hyperlink w:anchor="_Toc510091151" w:history="1">
        <w:r w:rsidRPr="00480FCF">
          <w:rPr>
            <w:rStyle w:val="Hyperlink"/>
            <w:noProof/>
          </w:rPr>
          <w:t>A.2.2 Results from Tests of Alternative Weather Specifications</w:t>
        </w:r>
        <w:r>
          <w:rPr>
            <w:noProof/>
            <w:webHidden/>
          </w:rPr>
          <w:tab/>
        </w:r>
        <w:r>
          <w:rPr>
            <w:noProof/>
            <w:webHidden/>
          </w:rPr>
          <w:fldChar w:fldCharType="begin"/>
        </w:r>
        <w:r>
          <w:rPr>
            <w:noProof/>
            <w:webHidden/>
          </w:rPr>
          <w:instrText xml:space="preserve"> PAGEREF _Toc510091151 \h </w:instrText>
        </w:r>
        <w:r>
          <w:rPr>
            <w:noProof/>
            <w:webHidden/>
          </w:rPr>
        </w:r>
        <w:r>
          <w:rPr>
            <w:noProof/>
            <w:webHidden/>
          </w:rPr>
          <w:fldChar w:fldCharType="separate"/>
        </w:r>
        <w:r>
          <w:rPr>
            <w:noProof/>
            <w:webHidden/>
          </w:rPr>
          <w:t>56</w:t>
        </w:r>
        <w:r>
          <w:rPr>
            <w:noProof/>
            <w:webHidden/>
          </w:rPr>
          <w:fldChar w:fldCharType="end"/>
        </w:r>
      </w:hyperlink>
    </w:p>
    <w:p w14:paraId="7137CE85" w14:textId="59F41A6D" w:rsidR="00720E96" w:rsidRDefault="00720E96">
      <w:pPr>
        <w:pStyle w:val="TOC3"/>
        <w:rPr>
          <w:rFonts w:asciiTheme="minorHAnsi" w:eastAsiaTheme="minorEastAsia" w:hAnsiTheme="minorHAnsi" w:cstheme="minorBidi"/>
          <w:noProof/>
          <w:sz w:val="22"/>
          <w:szCs w:val="22"/>
        </w:rPr>
      </w:pPr>
      <w:hyperlink w:anchor="_Toc510091152" w:history="1">
        <w:r w:rsidRPr="00480FCF">
          <w:rPr>
            <w:rStyle w:val="Hyperlink"/>
            <w:noProof/>
          </w:rPr>
          <w:t>A.2.3 Synthetic Event Day Tests</w:t>
        </w:r>
        <w:r>
          <w:rPr>
            <w:noProof/>
            <w:webHidden/>
          </w:rPr>
          <w:tab/>
        </w:r>
        <w:r>
          <w:rPr>
            <w:noProof/>
            <w:webHidden/>
          </w:rPr>
          <w:fldChar w:fldCharType="begin"/>
        </w:r>
        <w:r>
          <w:rPr>
            <w:noProof/>
            <w:webHidden/>
          </w:rPr>
          <w:instrText xml:space="preserve"> PAGEREF _Toc510091152 \h </w:instrText>
        </w:r>
        <w:r>
          <w:rPr>
            <w:noProof/>
            <w:webHidden/>
          </w:rPr>
        </w:r>
        <w:r>
          <w:rPr>
            <w:noProof/>
            <w:webHidden/>
          </w:rPr>
          <w:fldChar w:fldCharType="separate"/>
        </w:r>
        <w:r>
          <w:rPr>
            <w:noProof/>
            <w:webHidden/>
          </w:rPr>
          <w:t>59</w:t>
        </w:r>
        <w:r>
          <w:rPr>
            <w:noProof/>
            <w:webHidden/>
          </w:rPr>
          <w:fldChar w:fldCharType="end"/>
        </w:r>
      </w:hyperlink>
    </w:p>
    <w:p w14:paraId="04FAB4A3" w14:textId="2D003896" w:rsidR="00720E96" w:rsidRDefault="00720E96">
      <w:pPr>
        <w:pStyle w:val="TOC2"/>
        <w:tabs>
          <w:tab w:val="right" w:leader="dot" w:pos="8630"/>
        </w:tabs>
        <w:rPr>
          <w:rFonts w:asciiTheme="minorHAnsi" w:eastAsiaTheme="minorEastAsia" w:hAnsiTheme="minorHAnsi" w:cstheme="minorBidi"/>
          <w:noProof/>
          <w:sz w:val="22"/>
          <w:szCs w:val="22"/>
        </w:rPr>
      </w:pPr>
      <w:hyperlink w:anchor="_Toc510091153" w:history="1">
        <w:r w:rsidRPr="00480FCF">
          <w:rPr>
            <w:rStyle w:val="Hyperlink"/>
            <w:noProof/>
          </w:rPr>
          <w:t>A.3 Comparison of Predicted and Observed Loads on Event-like Days</w:t>
        </w:r>
        <w:r>
          <w:rPr>
            <w:noProof/>
            <w:webHidden/>
          </w:rPr>
          <w:tab/>
        </w:r>
        <w:r>
          <w:rPr>
            <w:noProof/>
            <w:webHidden/>
          </w:rPr>
          <w:fldChar w:fldCharType="begin"/>
        </w:r>
        <w:r>
          <w:rPr>
            <w:noProof/>
            <w:webHidden/>
          </w:rPr>
          <w:instrText xml:space="preserve"> PAGEREF _Toc510091153 \h </w:instrText>
        </w:r>
        <w:r>
          <w:rPr>
            <w:noProof/>
            <w:webHidden/>
          </w:rPr>
        </w:r>
        <w:r>
          <w:rPr>
            <w:noProof/>
            <w:webHidden/>
          </w:rPr>
          <w:fldChar w:fldCharType="separate"/>
        </w:r>
        <w:r>
          <w:rPr>
            <w:noProof/>
            <w:webHidden/>
          </w:rPr>
          <w:t>60</w:t>
        </w:r>
        <w:r>
          <w:rPr>
            <w:noProof/>
            <w:webHidden/>
          </w:rPr>
          <w:fldChar w:fldCharType="end"/>
        </w:r>
      </w:hyperlink>
    </w:p>
    <w:p w14:paraId="20F08F7C" w14:textId="2A50C0B3" w:rsidR="00720E96" w:rsidRDefault="00720E96">
      <w:pPr>
        <w:pStyle w:val="TOC1"/>
        <w:rPr>
          <w:rFonts w:asciiTheme="minorHAnsi" w:eastAsiaTheme="minorEastAsia" w:hAnsiTheme="minorHAnsi" w:cstheme="minorBidi"/>
          <w:b w:val="0"/>
          <w:noProof/>
          <w:sz w:val="22"/>
          <w:szCs w:val="22"/>
        </w:rPr>
      </w:pPr>
      <w:hyperlink w:anchor="_Toc510091154" w:history="1">
        <w:r w:rsidRPr="00480FCF">
          <w:rPr>
            <w:rStyle w:val="Hyperlink"/>
            <w:noProof/>
          </w:rPr>
          <w:t>Appendix B. FSL Achievement by Industry Group</w:t>
        </w:r>
        <w:r>
          <w:rPr>
            <w:noProof/>
            <w:webHidden/>
          </w:rPr>
          <w:tab/>
        </w:r>
        <w:r>
          <w:rPr>
            <w:noProof/>
            <w:webHidden/>
          </w:rPr>
          <w:fldChar w:fldCharType="begin"/>
        </w:r>
        <w:r>
          <w:rPr>
            <w:noProof/>
            <w:webHidden/>
          </w:rPr>
          <w:instrText xml:space="preserve"> PAGEREF _Toc510091154 \h </w:instrText>
        </w:r>
        <w:r>
          <w:rPr>
            <w:noProof/>
            <w:webHidden/>
          </w:rPr>
        </w:r>
        <w:r>
          <w:rPr>
            <w:noProof/>
            <w:webHidden/>
          </w:rPr>
          <w:fldChar w:fldCharType="separate"/>
        </w:r>
        <w:r>
          <w:rPr>
            <w:noProof/>
            <w:webHidden/>
          </w:rPr>
          <w:t>62</w:t>
        </w:r>
        <w:r>
          <w:rPr>
            <w:noProof/>
            <w:webHidden/>
          </w:rPr>
          <w:fldChar w:fldCharType="end"/>
        </w:r>
      </w:hyperlink>
    </w:p>
    <w:p w14:paraId="73E122E8" w14:textId="477D8E65" w:rsidR="00321E09" w:rsidRDefault="00321E09" w:rsidP="003F442E">
      <w:pPr>
        <w:jc w:val="center"/>
        <w:rPr>
          <w:b/>
          <w:sz w:val="28"/>
          <w:szCs w:val="28"/>
        </w:rPr>
        <w:sectPr w:rsidR="00321E09" w:rsidSect="00656C04">
          <w:headerReference w:type="default" r:id="rId11"/>
          <w:footerReference w:type="default" r:id="rId12"/>
          <w:pgSz w:w="12240" w:h="15840"/>
          <w:pgMar w:top="1440" w:right="1800" w:bottom="1296" w:left="1800" w:header="720" w:footer="720" w:gutter="0"/>
          <w:pgNumType w:fmt="lowerRoman" w:start="1"/>
          <w:cols w:space="720"/>
          <w:docGrid w:linePitch="360"/>
        </w:sectPr>
      </w:pPr>
      <w:r w:rsidRPr="00421999">
        <w:rPr>
          <w:sz w:val="22"/>
          <w:szCs w:val="22"/>
        </w:rPr>
        <w:fldChar w:fldCharType="end"/>
      </w:r>
    </w:p>
    <w:p w14:paraId="1F051F03" w14:textId="77777777" w:rsidR="00321E09" w:rsidRPr="00131108" w:rsidRDefault="00321E09" w:rsidP="00131108">
      <w:pPr>
        <w:jc w:val="center"/>
        <w:rPr>
          <w:b/>
        </w:rPr>
      </w:pPr>
      <w:r w:rsidRPr="00131108">
        <w:rPr>
          <w:b/>
        </w:rPr>
        <w:lastRenderedPageBreak/>
        <w:t>Tables</w:t>
      </w:r>
    </w:p>
    <w:p w14:paraId="21E677E9" w14:textId="649C55C5" w:rsidR="0086367A" w:rsidRDefault="00321E09">
      <w:pPr>
        <w:pStyle w:val="TableofFigures"/>
        <w:tabs>
          <w:tab w:val="right" w:leader="dot" w:pos="9350"/>
        </w:tabs>
        <w:rPr>
          <w:rFonts w:asciiTheme="minorHAnsi" w:eastAsiaTheme="minorEastAsia" w:hAnsiTheme="minorHAnsi" w:cstheme="minorBidi"/>
          <w:noProof/>
          <w:sz w:val="22"/>
          <w:szCs w:val="22"/>
        </w:rPr>
      </w:pPr>
      <w:r>
        <w:rPr>
          <w:b/>
          <w:sz w:val="28"/>
          <w:szCs w:val="28"/>
        </w:rPr>
        <w:fldChar w:fldCharType="begin"/>
      </w:r>
      <w:r>
        <w:rPr>
          <w:b/>
          <w:sz w:val="28"/>
          <w:szCs w:val="28"/>
        </w:rPr>
        <w:instrText xml:space="preserve"> TOC \h \z \t "Table Caption" \c </w:instrText>
      </w:r>
      <w:r>
        <w:rPr>
          <w:b/>
          <w:sz w:val="28"/>
          <w:szCs w:val="28"/>
        </w:rPr>
        <w:fldChar w:fldCharType="separate"/>
      </w:r>
      <w:hyperlink w:anchor="_Toc508800208" w:history="1">
        <w:r w:rsidR="0086367A" w:rsidRPr="0038227D">
          <w:rPr>
            <w:rStyle w:val="Hyperlink"/>
            <w:noProof/>
          </w:rPr>
          <w:t>Table 2.1: BIP Enrollees by Industry Group, PG&amp;E</w:t>
        </w:r>
        <w:r w:rsidR="0086367A">
          <w:rPr>
            <w:noProof/>
            <w:webHidden/>
          </w:rPr>
          <w:tab/>
        </w:r>
        <w:r w:rsidR="0086367A">
          <w:rPr>
            <w:noProof/>
            <w:webHidden/>
          </w:rPr>
          <w:fldChar w:fldCharType="begin"/>
        </w:r>
        <w:r w:rsidR="0086367A">
          <w:rPr>
            <w:noProof/>
            <w:webHidden/>
          </w:rPr>
          <w:instrText xml:space="preserve"> PAGEREF _Toc508800208 \h </w:instrText>
        </w:r>
        <w:r w:rsidR="0086367A">
          <w:rPr>
            <w:noProof/>
            <w:webHidden/>
          </w:rPr>
        </w:r>
        <w:r w:rsidR="0086367A">
          <w:rPr>
            <w:noProof/>
            <w:webHidden/>
          </w:rPr>
          <w:fldChar w:fldCharType="separate"/>
        </w:r>
        <w:r w:rsidR="00720E96">
          <w:rPr>
            <w:noProof/>
            <w:webHidden/>
          </w:rPr>
          <w:t>13</w:t>
        </w:r>
        <w:r w:rsidR="0086367A">
          <w:rPr>
            <w:noProof/>
            <w:webHidden/>
          </w:rPr>
          <w:fldChar w:fldCharType="end"/>
        </w:r>
      </w:hyperlink>
    </w:p>
    <w:p w14:paraId="2192DB25" w14:textId="1C0CCCE2"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09" w:history="1">
        <w:r w:rsidR="0086367A" w:rsidRPr="0038227D">
          <w:rPr>
            <w:rStyle w:val="Hyperlink"/>
            <w:noProof/>
          </w:rPr>
          <w:t>Table 2.2: BIP Enrollees by Industry Group, SCE</w:t>
        </w:r>
        <w:r w:rsidR="0086367A">
          <w:rPr>
            <w:noProof/>
            <w:webHidden/>
          </w:rPr>
          <w:tab/>
        </w:r>
        <w:r w:rsidR="0086367A">
          <w:rPr>
            <w:noProof/>
            <w:webHidden/>
          </w:rPr>
          <w:fldChar w:fldCharType="begin"/>
        </w:r>
        <w:r w:rsidR="0086367A">
          <w:rPr>
            <w:noProof/>
            <w:webHidden/>
          </w:rPr>
          <w:instrText xml:space="preserve"> PAGEREF _Toc508800209 \h </w:instrText>
        </w:r>
        <w:r w:rsidR="0086367A">
          <w:rPr>
            <w:noProof/>
            <w:webHidden/>
          </w:rPr>
        </w:r>
        <w:r w:rsidR="0086367A">
          <w:rPr>
            <w:noProof/>
            <w:webHidden/>
          </w:rPr>
          <w:fldChar w:fldCharType="separate"/>
        </w:r>
        <w:r>
          <w:rPr>
            <w:noProof/>
            <w:webHidden/>
          </w:rPr>
          <w:t>13</w:t>
        </w:r>
        <w:r w:rsidR="0086367A">
          <w:rPr>
            <w:noProof/>
            <w:webHidden/>
          </w:rPr>
          <w:fldChar w:fldCharType="end"/>
        </w:r>
      </w:hyperlink>
    </w:p>
    <w:p w14:paraId="19EDE872" w14:textId="62C2B4C2"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10" w:history="1">
        <w:r w:rsidR="0086367A" w:rsidRPr="0038227D">
          <w:rPr>
            <w:rStyle w:val="Hyperlink"/>
            <w:noProof/>
          </w:rPr>
          <w:t>Table 2.3: BIP Enrollees by Industry Group, SDG&amp;E</w:t>
        </w:r>
        <w:r w:rsidR="0086367A">
          <w:rPr>
            <w:noProof/>
            <w:webHidden/>
          </w:rPr>
          <w:tab/>
        </w:r>
        <w:r w:rsidR="0086367A">
          <w:rPr>
            <w:noProof/>
            <w:webHidden/>
          </w:rPr>
          <w:fldChar w:fldCharType="begin"/>
        </w:r>
        <w:r w:rsidR="0086367A">
          <w:rPr>
            <w:noProof/>
            <w:webHidden/>
          </w:rPr>
          <w:instrText xml:space="preserve"> PAGEREF _Toc508800210 \h </w:instrText>
        </w:r>
        <w:r w:rsidR="0086367A">
          <w:rPr>
            <w:noProof/>
            <w:webHidden/>
          </w:rPr>
        </w:r>
        <w:r w:rsidR="0086367A">
          <w:rPr>
            <w:noProof/>
            <w:webHidden/>
          </w:rPr>
          <w:fldChar w:fldCharType="separate"/>
        </w:r>
        <w:r>
          <w:rPr>
            <w:noProof/>
            <w:webHidden/>
          </w:rPr>
          <w:t>14</w:t>
        </w:r>
        <w:r w:rsidR="0086367A">
          <w:rPr>
            <w:noProof/>
            <w:webHidden/>
          </w:rPr>
          <w:fldChar w:fldCharType="end"/>
        </w:r>
      </w:hyperlink>
    </w:p>
    <w:p w14:paraId="56FB1443" w14:textId="38FFC1CD"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11" w:history="1">
        <w:r w:rsidR="0086367A" w:rsidRPr="0038227D">
          <w:rPr>
            <w:rStyle w:val="Hyperlink"/>
            <w:noProof/>
          </w:rPr>
          <w:t>Table 2.4: BIP Enrollees by Local Capacity Area, PG&amp;E</w:t>
        </w:r>
        <w:r w:rsidR="0086367A">
          <w:rPr>
            <w:noProof/>
            <w:webHidden/>
          </w:rPr>
          <w:tab/>
        </w:r>
        <w:r w:rsidR="0086367A">
          <w:rPr>
            <w:noProof/>
            <w:webHidden/>
          </w:rPr>
          <w:fldChar w:fldCharType="begin"/>
        </w:r>
        <w:r w:rsidR="0086367A">
          <w:rPr>
            <w:noProof/>
            <w:webHidden/>
          </w:rPr>
          <w:instrText xml:space="preserve"> PAGEREF _Toc508800211 \h </w:instrText>
        </w:r>
        <w:r w:rsidR="0086367A">
          <w:rPr>
            <w:noProof/>
            <w:webHidden/>
          </w:rPr>
        </w:r>
        <w:r w:rsidR="0086367A">
          <w:rPr>
            <w:noProof/>
            <w:webHidden/>
          </w:rPr>
          <w:fldChar w:fldCharType="separate"/>
        </w:r>
        <w:r>
          <w:rPr>
            <w:noProof/>
            <w:webHidden/>
          </w:rPr>
          <w:t>14</w:t>
        </w:r>
        <w:r w:rsidR="0086367A">
          <w:rPr>
            <w:noProof/>
            <w:webHidden/>
          </w:rPr>
          <w:fldChar w:fldCharType="end"/>
        </w:r>
      </w:hyperlink>
    </w:p>
    <w:p w14:paraId="794526AD" w14:textId="2632BF34"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12" w:history="1">
        <w:r w:rsidR="0086367A" w:rsidRPr="0038227D">
          <w:rPr>
            <w:rStyle w:val="Hyperlink"/>
            <w:noProof/>
          </w:rPr>
          <w:t>Table 2.5: BIP Enrollees by Local Capacity Area, SCE</w:t>
        </w:r>
        <w:r w:rsidR="0086367A">
          <w:rPr>
            <w:noProof/>
            <w:webHidden/>
          </w:rPr>
          <w:tab/>
        </w:r>
        <w:r w:rsidR="0086367A">
          <w:rPr>
            <w:noProof/>
            <w:webHidden/>
          </w:rPr>
          <w:fldChar w:fldCharType="begin"/>
        </w:r>
        <w:r w:rsidR="0086367A">
          <w:rPr>
            <w:noProof/>
            <w:webHidden/>
          </w:rPr>
          <w:instrText xml:space="preserve"> PAGEREF _Toc508800212 \h </w:instrText>
        </w:r>
        <w:r w:rsidR="0086367A">
          <w:rPr>
            <w:noProof/>
            <w:webHidden/>
          </w:rPr>
        </w:r>
        <w:r w:rsidR="0086367A">
          <w:rPr>
            <w:noProof/>
            <w:webHidden/>
          </w:rPr>
          <w:fldChar w:fldCharType="separate"/>
        </w:r>
        <w:r>
          <w:rPr>
            <w:noProof/>
            <w:webHidden/>
          </w:rPr>
          <w:t>14</w:t>
        </w:r>
        <w:r w:rsidR="0086367A">
          <w:rPr>
            <w:noProof/>
            <w:webHidden/>
          </w:rPr>
          <w:fldChar w:fldCharType="end"/>
        </w:r>
      </w:hyperlink>
    </w:p>
    <w:p w14:paraId="6CE9C0F8" w14:textId="6B917783"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13" w:history="1">
        <w:r w:rsidR="0086367A" w:rsidRPr="0038227D">
          <w:rPr>
            <w:rStyle w:val="Hyperlink"/>
            <w:noProof/>
          </w:rPr>
          <w:t>Table 2.6: BIP Event Days</w:t>
        </w:r>
        <w:r w:rsidR="0086367A">
          <w:rPr>
            <w:noProof/>
            <w:webHidden/>
          </w:rPr>
          <w:tab/>
        </w:r>
        <w:r w:rsidR="0086367A">
          <w:rPr>
            <w:noProof/>
            <w:webHidden/>
          </w:rPr>
          <w:fldChar w:fldCharType="begin"/>
        </w:r>
        <w:r w:rsidR="0086367A">
          <w:rPr>
            <w:noProof/>
            <w:webHidden/>
          </w:rPr>
          <w:instrText xml:space="preserve"> PAGEREF _Toc508800213 \h </w:instrText>
        </w:r>
        <w:r w:rsidR="0086367A">
          <w:rPr>
            <w:noProof/>
            <w:webHidden/>
          </w:rPr>
        </w:r>
        <w:r w:rsidR="0086367A">
          <w:rPr>
            <w:noProof/>
            <w:webHidden/>
          </w:rPr>
          <w:fldChar w:fldCharType="separate"/>
        </w:r>
        <w:r>
          <w:rPr>
            <w:noProof/>
            <w:webHidden/>
          </w:rPr>
          <w:t>15</w:t>
        </w:r>
        <w:r w:rsidR="0086367A">
          <w:rPr>
            <w:noProof/>
            <w:webHidden/>
          </w:rPr>
          <w:fldChar w:fldCharType="end"/>
        </w:r>
      </w:hyperlink>
    </w:p>
    <w:p w14:paraId="5E9CC953" w14:textId="2F47DA52"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14" w:history="1">
        <w:r w:rsidR="0086367A" w:rsidRPr="0038227D">
          <w:rPr>
            <w:rStyle w:val="Hyperlink"/>
            <w:noProof/>
          </w:rPr>
          <w:t>Table 3.1: Descriptions of Variables included in the Ex-post Regression Equation</w:t>
        </w:r>
        <w:r w:rsidR="0086367A">
          <w:rPr>
            <w:noProof/>
            <w:webHidden/>
          </w:rPr>
          <w:tab/>
        </w:r>
        <w:r w:rsidR="0086367A">
          <w:rPr>
            <w:noProof/>
            <w:webHidden/>
          </w:rPr>
          <w:fldChar w:fldCharType="begin"/>
        </w:r>
        <w:r w:rsidR="0086367A">
          <w:rPr>
            <w:noProof/>
            <w:webHidden/>
          </w:rPr>
          <w:instrText xml:space="preserve"> PAGEREF _Toc508800214 \h </w:instrText>
        </w:r>
        <w:r w:rsidR="0086367A">
          <w:rPr>
            <w:noProof/>
            <w:webHidden/>
          </w:rPr>
        </w:r>
        <w:r w:rsidR="0086367A">
          <w:rPr>
            <w:noProof/>
            <w:webHidden/>
          </w:rPr>
          <w:fldChar w:fldCharType="separate"/>
        </w:r>
        <w:r>
          <w:rPr>
            <w:noProof/>
            <w:webHidden/>
          </w:rPr>
          <w:t>17</w:t>
        </w:r>
        <w:r w:rsidR="0086367A">
          <w:rPr>
            <w:noProof/>
            <w:webHidden/>
          </w:rPr>
          <w:fldChar w:fldCharType="end"/>
        </w:r>
      </w:hyperlink>
    </w:p>
    <w:p w14:paraId="3FE47043" w14:textId="4E029C1F"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15" w:history="1">
        <w:r w:rsidR="0086367A" w:rsidRPr="0038227D">
          <w:rPr>
            <w:rStyle w:val="Hyperlink"/>
            <w:noProof/>
          </w:rPr>
          <w:t>Table 4.1: Average Event-hour Load Impacts by Event, PG&amp;E</w:t>
        </w:r>
        <w:r w:rsidR="0086367A">
          <w:rPr>
            <w:noProof/>
            <w:webHidden/>
          </w:rPr>
          <w:tab/>
        </w:r>
        <w:r w:rsidR="0086367A">
          <w:rPr>
            <w:noProof/>
            <w:webHidden/>
          </w:rPr>
          <w:fldChar w:fldCharType="begin"/>
        </w:r>
        <w:r w:rsidR="0086367A">
          <w:rPr>
            <w:noProof/>
            <w:webHidden/>
          </w:rPr>
          <w:instrText xml:space="preserve"> PAGEREF _Toc508800215 \h </w:instrText>
        </w:r>
        <w:r w:rsidR="0086367A">
          <w:rPr>
            <w:noProof/>
            <w:webHidden/>
          </w:rPr>
        </w:r>
        <w:r w:rsidR="0086367A">
          <w:rPr>
            <w:noProof/>
            <w:webHidden/>
          </w:rPr>
          <w:fldChar w:fldCharType="separate"/>
        </w:r>
        <w:r>
          <w:rPr>
            <w:noProof/>
            <w:webHidden/>
          </w:rPr>
          <w:t>19</w:t>
        </w:r>
        <w:r w:rsidR="0086367A">
          <w:rPr>
            <w:noProof/>
            <w:webHidden/>
          </w:rPr>
          <w:fldChar w:fldCharType="end"/>
        </w:r>
      </w:hyperlink>
    </w:p>
    <w:p w14:paraId="39B37E86" w14:textId="1D08A43B"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16" w:history="1">
        <w:r w:rsidR="0086367A" w:rsidRPr="0038227D">
          <w:rPr>
            <w:rStyle w:val="Hyperlink"/>
            <w:noProof/>
          </w:rPr>
          <w:t>Table 4.2: Average Event-hour Observed Loads and FSLs by Event, PG&amp;E</w:t>
        </w:r>
        <w:r w:rsidR="0086367A">
          <w:rPr>
            <w:noProof/>
            <w:webHidden/>
          </w:rPr>
          <w:tab/>
        </w:r>
        <w:r w:rsidR="0086367A">
          <w:rPr>
            <w:noProof/>
            <w:webHidden/>
          </w:rPr>
          <w:fldChar w:fldCharType="begin"/>
        </w:r>
        <w:r w:rsidR="0086367A">
          <w:rPr>
            <w:noProof/>
            <w:webHidden/>
          </w:rPr>
          <w:instrText xml:space="preserve"> PAGEREF _Toc508800216 \h </w:instrText>
        </w:r>
        <w:r w:rsidR="0086367A">
          <w:rPr>
            <w:noProof/>
            <w:webHidden/>
          </w:rPr>
        </w:r>
        <w:r w:rsidR="0086367A">
          <w:rPr>
            <w:noProof/>
            <w:webHidden/>
          </w:rPr>
          <w:fldChar w:fldCharType="separate"/>
        </w:r>
        <w:r>
          <w:rPr>
            <w:noProof/>
            <w:webHidden/>
          </w:rPr>
          <w:t>20</w:t>
        </w:r>
        <w:r w:rsidR="0086367A">
          <w:rPr>
            <w:noProof/>
            <w:webHidden/>
          </w:rPr>
          <w:fldChar w:fldCharType="end"/>
        </w:r>
      </w:hyperlink>
    </w:p>
    <w:p w14:paraId="3609BFC2" w14:textId="1152FF8C"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17" w:history="1">
        <w:r w:rsidR="0086367A" w:rsidRPr="0038227D">
          <w:rPr>
            <w:rStyle w:val="Hyperlink"/>
            <w:noProof/>
          </w:rPr>
          <w:t>Table 4.3: May 3, 2017 Load Impacts – PG&amp;E BIP, by Industry Group</w:t>
        </w:r>
        <w:r w:rsidR="0086367A">
          <w:rPr>
            <w:noProof/>
            <w:webHidden/>
          </w:rPr>
          <w:tab/>
        </w:r>
        <w:r w:rsidR="0086367A">
          <w:rPr>
            <w:noProof/>
            <w:webHidden/>
          </w:rPr>
          <w:fldChar w:fldCharType="begin"/>
        </w:r>
        <w:r w:rsidR="0086367A">
          <w:rPr>
            <w:noProof/>
            <w:webHidden/>
          </w:rPr>
          <w:instrText xml:space="preserve"> PAGEREF _Toc508800217 \h </w:instrText>
        </w:r>
        <w:r w:rsidR="0086367A">
          <w:rPr>
            <w:noProof/>
            <w:webHidden/>
          </w:rPr>
        </w:r>
        <w:r w:rsidR="0086367A">
          <w:rPr>
            <w:noProof/>
            <w:webHidden/>
          </w:rPr>
          <w:fldChar w:fldCharType="separate"/>
        </w:r>
        <w:r>
          <w:rPr>
            <w:noProof/>
            <w:webHidden/>
          </w:rPr>
          <w:t>20</w:t>
        </w:r>
        <w:r w:rsidR="0086367A">
          <w:rPr>
            <w:noProof/>
            <w:webHidden/>
          </w:rPr>
          <w:fldChar w:fldCharType="end"/>
        </w:r>
      </w:hyperlink>
    </w:p>
    <w:p w14:paraId="2F0E5097" w14:textId="29E8B561"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18" w:history="1">
        <w:r w:rsidR="0086367A" w:rsidRPr="0038227D">
          <w:rPr>
            <w:rStyle w:val="Hyperlink"/>
            <w:noProof/>
          </w:rPr>
          <w:t>Table 4.4: May 3, 2017 Load Impacts – PG&amp;E BIP, by LCA</w:t>
        </w:r>
        <w:r w:rsidR="0086367A">
          <w:rPr>
            <w:noProof/>
            <w:webHidden/>
          </w:rPr>
          <w:tab/>
        </w:r>
        <w:r w:rsidR="0086367A">
          <w:rPr>
            <w:noProof/>
            <w:webHidden/>
          </w:rPr>
          <w:fldChar w:fldCharType="begin"/>
        </w:r>
        <w:r w:rsidR="0086367A">
          <w:rPr>
            <w:noProof/>
            <w:webHidden/>
          </w:rPr>
          <w:instrText xml:space="preserve"> PAGEREF _Toc508800218 \h </w:instrText>
        </w:r>
        <w:r w:rsidR="0086367A">
          <w:rPr>
            <w:noProof/>
            <w:webHidden/>
          </w:rPr>
        </w:r>
        <w:r w:rsidR="0086367A">
          <w:rPr>
            <w:noProof/>
            <w:webHidden/>
          </w:rPr>
          <w:fldChar w:fldCharType="separate"/>
        </w:r>
        <w:r>
          <w:rPr>
            <w:noProof/>
            <w:webHidden/>
          </w:rPr>
          <w:t>20</w:t>
        </w:r>
        <w:r w:rsidR="0086367A">
          <w:rPr>
            <w:noProof/>
            <w:webHidden/>
          </w:rPr>
          <w:fldChar w:fldCharType="end"/>
        </w:r>
      </w:hyperlink>
    </w:p>
    <w:p w14:paraId="533685E6" w14:textId="02275575"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19" w:history="1">
        <w:r w:rsidR="0086367A" w:rsidRPr="0038227D">
          <w:rPr>
            <w:rStyle w:val="Hyperlink"/>
            <w:noProof/>
          </w:rPr>
          <w:t>Table 4.5: BIP Hourly Load Impacts for the May 3, 2017 Event Day, PG&amp;E</w:t>
        </w:r>
        <w:r w:rsidR="0086367A">
          <w:rPr>
            <w:noProof/>
            <w:webHidden/>
          </w:rPr>
          <w:tab/>
        </w:r>
        <w:r w:rsidR="0086367A">
          <w:rPr>
            <w:noProof/>
            <w:webHidden/>
          </w:rPr>
          <w:fldChar w:fldCharType="begin"/>
        </w:r>
        <w:r w:rsidR="0086367A">
          <w:rPr>
            <w:noProof/>
            <w:webHidden/>
          </w:rPr>
          <w:instrText xml:space="preserve"> PAGEREF _Toc508800219 \h </w:instrText>
        </w:r>
        <w:r w:rsidR="0086367A">
          <w:rPr>
            <w:noProof/>
            <w:webHidden/>
          </w:rPr>
        </w:r>
        <w:r w:rsidR="0086367A">
          <w:rPr>
            <w:noProof/>
            <w:webHidden/>
          </w:rPr>
          <w:fldChar w:fldCharType="separate"/>
        </w:r>
        <w:r>
          <w:rPr>
            <w:noProof/>
            <w:webHidden/>
          </w:rPr>
          <w:t>21</w:t>
        </w:r>
        <w:r w:rsidR="0086367A">
          <w:rPr>
            <w:noProof/>
            <w:webHidden/>
          </w:rPr>
          <w:fldChar w:fldCharType="end"/>
        </w:r>
      </w:hyperlink>
    </w:p>
    <w:p w14:paraId="6DBBA89C" w14:textId="6EA90B45"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20" w:history="1">
        <w:r w:rsidR="0086367A" w:rsidRPr="0038227D">
          <w:rPr>
            <w:rStyle w:val="Hyperlink"/>
            <w:noProof/>
          </w:rPr>
          <w:t>Table 4.6: Average Event-hour Load Impacts – SCE BIP, by Industry Group</w:t>
        </w:r>
        <w:r w:rsidR="0086367A">
          <w:rPr>
            <w:noProof/>
            <w:webHidden/>
          </w:rPr>
          <w:tab/>
        </w:r>
        <w:r w:rsidR="0086367A">
          <w:rPr>
            <w:noProof/>
            <w:webHidden/>
          </w:rPr>
          <w:fldChar w:fldCharType="begin"/>
        </w:r>
        <w:r w:rsidR="0086367A">
          <w:rPr>
            <w:noProof/>
            <w:webHidden/>
          </w:rPr>
          <w:instrText xml:space="preserve"> PAGEREF _Toc508800220 \h </w:instrText>
        </w:r>
        <w:r w:rsidR="0086367A">
          <w:rPr>
            <w:noProof/>
            <w:webHidden/>
          </w:rPr>
        </w:r>
        <w:r w:rsidR="0086367A">
          <w:rPr>
            <w:noProof/>
            <w:webHidden/>
          </w:rPr>
          <w:fldChar w:fldCharType="separate"/>
        </w:r>
        <w:r>
          <w:rPr>
            <w:noProof/>
            <w:webHidden/>
          </w:rPr>
          <w:t>23</w:t>
        </w:r>
        <w:r w:rsidR="0086367A">
          <w:rPr>
            <w:noProof/>
            <w:webHidden/>
          </w:rPr>
          <w:fldChar w:fldCharType="end"/>
        </w:r>
      </w:hyperlink>
    </w:p>
    <w:p w14:paraId="534063A1" w14:textId="4E8654DE"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21" w:history="1">
        <w:r w:rsidR="0086367A" w:rsidRPr="0038227D">
          <w:rPr>
            <w:rStyle w:val="Hyperlink"/>
            <w:noProof/>
          </w:rPr>
          <w:t>Table 4.7: Average Event-hour Observed Loads and FSLs, SCE</w:t>
        </w:r>
        <w:r w:rsidR="0086367A">
          <w:rPr>
            <w:noProof/>
            <w:webHidden/>
          </w:rPr>
          <w:tab/>
        </w:r>
        <w:r w:rsidR="0086367A">
          <w:rPr>
            <w:noProof/>
            <w:webHidden/>
          </w:rPr>
          <w:fldChar w:fldCharType="begin"/>
        </w:r>
        <w:r w:rsidR="0086367A">
          <w:rPr>
            <w:noProof/>
            <w:webHidden/>
          </w:rPr>
          <w:instrText xml:space="preserve"> PAGEREF _Toc508800221 \h </w:instrText>
        </w:r>
        <w:r w:rsidR="0086367A">
          <w:rPr>
            <w:noProof/>
            <w:webHidden/>
          </w:rPr>
        </w:r>
        <w:r w:rsidR="0086367A">
          <w:rPr>
            <w:noProof/>
            <w:webHidden/>
          </w:rPr>
          <w:fldChar w:fldCharType="separate"/>
        </w:r>
        <w:r>
          <w:rPr>
            <w:noProof/>
            <w:webHidden/>
          </w:rPr>
          <w:t>23</w:t>
        </w:r>
        <w:r w:rsidR="0086367A">
          <w:rPr>
            <w:noProof/>
            <w:webHidden/>
          </w:rPr>
          <w:fldChar w:fldCharType="end"/>
        </w:r>
      </w:hyperlink>
    </w:p>
    <w:p w14:paraId="683AF42C" w14:textId="17B92B20"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22" w:history="1">
        <w:r w:rsidR="0086367A" w:rsidRPr="0038227D">
          <w:rPr>
            <w:rStyle w:val="Hyperlink"/>
            <w:noProof/>
          </w:rPr>
          <w:t>Table 4.8: Average Event-hour Load Impacts – SCE BIP, by LCA</w:t>
        </w:r>
        <w:r w:rsidR="0086367A">
          <w:rPr>
            <w:noProof/>
            <w:webHidden/>
          </w:rPr>
          <w:tab/>
        </w:r>
        <w:r w:rsidR="0086367A">
          <w:rPr>
            <w:noProof/>
            <w:webHidden/>
          </w:rPr>
          <w:fldChar w:fldCharType="begin"/>
        </w:r>
        <w:r w:rsidR="0086367A">
          <w:rPr>
            <w:noProof/>
            <w:webHidden/>
          </w:rPr>
          <w:instrText xml:space="preserve"> PAGEREF _Toc508800222 \h </w:instrText>
        </w:r>
        <w:r w:rsidR="0086367A">
          <w:rPr>
            <w:noProof/>
            <w:webHidden/>
          </w:rPr>
        </w:r>
        <w:r w:rsidR="0086367A">
          <w:rPr>
            <w:noProof/>
            <w:webHidden/>
          </w:rPr>
          <w:fldChar w:fldCharType="separate"/>
        </w:r>
        <w:r>
          <w:rPr>
            <w:noProof/>
            <w:webHidden/>
          </w:rPr>
          <w:t>24</w:t>
        </w:r>
        <w:r w:rsidR="0086367A">
          <w:rPr>
            <w:noProof/>
            <w:webHidden/>
          </w:rPr>
          <w:fldChar w:fldCharType="end"/>
        </w:r>
      </w:hyperlink>
    </w:p>
    <w:p w14:paraId="38B63046" w14:textId="610A79B6"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23" w:history="1">
        <w:r w:rsidR="0086367A" w:rsidRPr="0038227D">
          <w:rPr>
            <w:rStyle w:val="Hyperlink"/>
            <w:noProof/>
          </w:rPr>
          <w:t>Table 4.9: BIP Hourly Load Impacts for the May 3, 2017 Event Day, SCE</w:t>
        </w:r>
        <w:r w:rsidR="0086367A">
          <w:rPr>
            <w:noProof/>
            <w:webHidden/>
          </w:rPr>
          <w:tab/>
        </w:r>
        <w:r w:rsidR="0086367A">
          <w:rPr>
            <w:noProof/>
            <w:webHidden/>
          </w:rPr>
          <w:fldChar w:fldCharType="begin"/>
        </w:r>
        <w:r w:rsidR="0086367A">
          <w:rPr>
            <w:noProof/>
            <w:webHidden/>
          </w:rPr>
          <w:instrText xml:space="preserve"> PAGEREF _Toc508800223 \h </w:instrText>
        </w:r>
        <w:r w:rsidR="0086367A">
          <w:rPr>
            <w:noProof/>
            <w:webHidden/>
          </w:rPr>
        </w:r>
        <w:r w:rsidR="0086367A">
          <w:rPr>
            <w:noProof/>
            <w:webHidden/>
          </w:rPr>
          <w:fldChar w:fldCharType="separate"/>
        </w:r>
        <w:r>
          <w:rPr>
            <w:noProof/>
            <w:webHidden/>
          </w:rPr>
          <w:t>24</w:t>
        </w:r>
        <w:r w:rsidR="0086367A">
          <w:rPr>
            <w:noProof/>
            <w:webHidden/>
          </w:rPr>
          <w:fldChar w:fldCharType="end"/>
        </w:r>
      </w:hyperlink>
    </w:p>
    <w:p w14:paraId="4066C3AC" w14:textId="4AF63F4E"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24" w:history="1">
        <w:r w:rsidR="0086367A" w:rsidRPr="0038227D">
          <w:rPr>
            <w:rStyle w:val="Hyperlink"/>
            <w:noProof/>
          </w:rPr>
          <w:t>Table 4.10: Average Event-hour Load Impacts, SDG&amp;E</w:t>
        </w:r>
        <w:r w:rsidR="0086367A">
          <w:rPr>
            <w:noProof/>
            <w:webHidden/>
          </w:rPr>
          <w:tab/>
        </w:r>
        <w:r w:rsidR="0086367A">
          <w:rPr>
            <w:noProof/>
            <w:webHidden/>
          </w:rPr>
          <w:fldChar w:fldCharType="begin"/>
        </w:r>
        <w:r w:rsidR="0086367A">
          <w:rPr>
            <w:noProof/>
            <w:webHidden/>
          </w:rPr>
          <w:instrText xml:space="preserve"> PAGEREF _Toc508800224 \h </w:instrText>
        </w:r>
        <w:r w:rsidR="0086367A">
          <w:rPr>
            <w:noProof/>
            <w:webHidden/>
          </w:rPr>
        </w:r>
        <w:r w:rsidR="0086367A">
          <w:rPr>
            <w:noProof/>
            <w:webHidden/>
          </w:rPr>
          <w:fldChar w:fldCharType="separate"/>
        </w:r>
        <w:r>
          <w:rPr>
            <w:noProof/>
            <w:webHidden/>
          </w:rPr>
          <w:t>25</w:t>
        </w:r>
        <w:r w:rsidR="0086367A">
          <w:rPr>
            <w:noProof/>
            <w:webHidden/>
          </w:rPr>
          <w:fldChar w:fldCharType="end"/>
        </w:r>
      </w:hyperlink>
    </w:p>
    <w:p w14:paraId="416D79F2" w14:textId="07C76A78"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25" w:history="1">
        <w:r w:rsidR="0086367A" w:rsidRPr="0038227D">
          <w:rPr>
            <w:rStyle w:val="Hyperlink"/>
            <w:noProof/>
          </w:rPr>
          <w:t>Table 4.11: Average Event-hour Observed Loads and FSLs, SDG&amp;E</w:t>
        </w:r>
        <w:r w:rsidR="0086367A">
          <w:rPr>
            <w:noProof/>
            <w:webHidden/>
          </w:rPr>
          <w:tab/>
        </w:r>
        <w:r w:rsidR="0086367A">
          <w:rPr>
            <w:noProof/>
            <w:webHidden/>
          </w:rPr>
          <w:fldChar w:fldCharType="begin"/>
        </w:r>
        <w:r w:rsidR="0086367A">
          <w:rPr>
            <w:noProof/>
            <w:webHidden/>
          </w:rPr>
          <w:instrText xml:space="preserve"> PAGEREF _Toc508800225 \h </w:instrText>
        </w:r>
        <w:r w:rsidR="0086367A">
          <w:rPr>
            <w:noProof/>
            <w:webHidden/>
          </w:rPr>
        </w:r>
        <w:r w:rsidR="0086367A">
          <w:rPr>
            <w:noProof/>
            <w:webHidden/>
          </w:rPr>
          <w:fldChar w:fldCharType="separate"/>
        </w:r>
        <w:r>
          <w:rPr>
            <w:noProof/>
            <w:webHidden/>
          </w:rPr>
          <w:t>25</w:t>
        </w:r>
        <w:r w:rsidR="0086367A">
          <w:rPr>
            <w:noProof/>
            <w:webHidden/>
          </w:rPr>
          <w:fldChar w:fldCharType="end"/>
        </w:r>
      </w:hyperlink>
    </w:p>
    <w:p w14:paraId="1FEC184D" w14:textId="35A96E4A"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26" w:history="1">
        <w:r w:rsidR="0086367A" w:rsidRPr="0038227D">
          <w:rPr>
            <w:rStyle w:val="Hyperlink"/>
            <w:noProof/>
          </w:rPr>
          <w:t>Table 4.12: August 31, 2017 Load Impacts – SDG&amp;E BIP, by Industry Group</w:t>
        </w:r>
        <w:r w:rsidR="0086367A">
          <w:rPr>
            <w:noProof/>
            <w:webHidden/>
          </w:rPr>
          <w:tab/>
        </w:r>
        <w:r w:rsidR="0086367A">
          <w:rPr>
            <w:noProof/>
            <w:webHidden/>
          </w:rPr>
          <w:fldChar w:fldCharType="begin"/>
        </w:r>
        <w:r w:rsidR="0086367A">
          <w:rPr>
            <w:noProof/>
            <w:webHidden/>
          </w:rPr>
          <w:instrText xml:space="preserve"> PAGEREF _Toc508800226 \h </w:instrText>
        </w:r>
        <w:r w:rsidR="0086367A">
          <w:rPr>
            <w:noProof/>
            <w:webHidden/>
          </w:rPr>
        </w:r>
        <w:r w:rsidR="0086367A">
          <w:rPr>
            <w:noProof/>
            <w:webHidden/>
          </w:rPr>
          <w:fldChar w:fldCharType="separate"/>
        </w:r>
        <w:r>
          <w:rPr>
            <w:noProof/>
            <w:webHidden/>
          </w:rPr>
          <w:t>26</w:t>
        </w:r>
        <w:r w:rsidR="0086367A">
          <w:rPr>
            <w:noProof/>
            <w:webHidden/>
          </w:rPr>
          <w:fldChar w:fldCharType="end"/>
        </w:r>
      </w:hyperlink>
    </w:p>
    <w:p w14:paraId="3F6CFE37" w14:textId="7805E760"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27" w:history="1">
        <w:r w:rsidR="0086367A" w:rsidRPr="0038227D">
          <w:rPr>
            <w:rStyle w:val="Hyperlink"/>
            <w:noProof/>
          </w:rPr>
          <w:t>Table 4.13: BIP Hourly Load Impacts for the August 31, 2017 Event Day, SDG&amp;E</w:t>
        </w:r>
        <w:r w:rsidR="0086367A">
          <w:rPr>
            <w:noProof/>
            <w:webHidden/>
          </w:rPr>
          <w:tab/>
        </w:r>
        <w:r w:rsidR="0086367A">
          <w:rPr>
            <w:noProof/>
            <w:webHidden/>
          </w:rPr>
          <w:fldChar w:fldCharType="begin"/>
        </w:r>
        <w:r w:rsidR="0086367A">
          <w:rPr>
            <w:noProof/>
            <w:webHidden/>
          </w:rPr>
          <w:instrText xml:space="preserve"> PAGEREF _Toc508800227 \h </w:instrText>
        </w:r>
        <w:r w:rsidR="0086367A">
          <w:rPr>
            <w:noProof/>
            <w:webHidden/>
          </w:rPr>
        </w:r>
        <w:r w:rsidR="0086367A">
          <w:rPr>
            <w:noProof/>
            <w:webHidden/>
          </w:rPr>
          <w:fldChar w:fldCharType="separate"/>
        </w:r>
        <w:r>
          <w:rPr>
            <w:noProof/>
            <w:webHidden/>
          </w:rPr>
          <w:t>27</w:t>
        </w:r>
        <w:r w:rsidR="0086367A">
          <w:rPr>
            <w:noProof/>
            <w:webHidden/>
          </w:rPr>
          <w:fldChar w:fldCharType="end"/>
        </w:r>
      </w:hyperlink>
    </w:p>
    <w:p w14:paraId="53615F51" w14:textId="315B98C7"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28" w:history="1">
        <w:r w:rsidR="0086367A" w:rsidRPr="0038227D">
          <w:rPr>
            <w:rStyle w:val="Hyperlink"/>
            <w:noProof/>
          </w:rPr>
          <w:t>Table 5.1: Descriptions of Terms included in the Ex-ante Regression Equation</w:t>
        </w:r>
        <w:r w:rsidR="0086367A">
          <w:rPr>
            <w:noProof/>
            <w:webHidden/>
          </w:rPr>
          <w:tab/>
        </w:r>
        <w:r w:rsidR="0086367A">
          <w:rPr>
            <w:noProof/>
            <w:webHidden/>
          </w:rPr>
          <w:fldChar w:fldCharType="begin"/>
        </w:r>
        <w:r w:rsidR="0086367A">
          <w:rPr>
            <w:noProof/>
            <w:webHidden/>
          </w:rPr>
          <w:instrText xml:space="preserve"> PAGEREF _Toc508800228 \h </w:instrText>
        </w:r>
        <w:r w:rsidR="0086367A">
          <w:rPr>
            <w:noProof/>
            <w:webHidden/>
          </w:rPr>
        </w:r>
        <w:r w:rsidR="0086367A">
          <w:rPr>
            <w:noProof/>
            <w:webHidden/>
          </w:rPr>
          <w:fldChar w:fldCharType="separate"/>
        </w:r>
        <w:r>
          <w:rPr>
            <w:noProof/>
            <w:webHidden/>
          </w:rPr>
          <w:t>31</w:t>
        </w:r>
        <w:r w:rsidR="0086367A">
          <w:rPr>
            <w:noProof/>
            <w:webHidden/>
          </w:rPr>
          <w:fldChar w:fldCharType="end"/>
        </w:r>
      </w:hyperlink>
    </w:p>
    <w:p w14:paraId="59929060" w14:textId="2BEC2752"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29" w:history="1">
        <w:r w:rsidR="0086367A" w:rsidRPr="0038227D">
          <w:rPr>
            <w:rStyle w:val="Hyperlink"/>
            <w:noProof/>
          </w:rPr>
          <w:t>Table 5.2: Per-customer Ex-ante Load Impacts, 2018-2028, PG&amp;E</w:t>
        </w:r>
        <w:r w:rsidR="0086367A">
          <w:rPr>
            <w:noProof/>
            <w:webHidden/>
          </w:rPr>
          <w:tab/>
        </w:r>
        <w:r w:rsidR="0086367A">
          <w:rPr>
            <w:noProof/>
            <w:webHidden/>
          </w:rPr>
          <w:fldChar w:fldCharType="begin"/>
        </w:r>
        <w:r w:rsidR="0086367A">
          <w:rPr>
            <w:noProof/>
            <w:webHidden/>
          </w:rPr>
          <w:instrText xml:space="preserve"> PAGEREF _Toc508800229 \h </w:instrText>
        </w:r>
        <w:r w:rsidR="0086367A">
          <w:rPr>
            <w:noProof/>
            <w:webHidden/>
          </w:rPr>
        </w:r>
        <w:r w:rsidR="0086367A">
          <w:rPr>
            <w:noProof/>
            <w:webHidden/>
          </w:rPr>
          <w:fldChar w:fldCharType="separate"/>
        </w:r>
        <w:r>
          <w:rPr>
            <w:noProof/>
            <w:webHidden/>
          </w:rPr>
          <w:t>36</w:t>
        </w:r>
        <w:r w:rsidR="0086367A">
          <w:rPr>
            <w:noProof/>
            <w:webHidden/>
          </w:rPr>
          <w:fldChar w:fldCharType="end"/>
        </w:r>
      </w:hyperlink>
    </w:p>
    <w:p w14:paraId="66B98691" w14:textId="2A6FF1FB"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30" w:history="1">
        <w:r w:rsidR="0086367A" w:rsidRPr="0038227D">
          <w:rPr>
            <w:rStyle w:val="Hyperlink"/>
            <w:noProof/>
          </w:rPr>
          <w:t>Table 5.3: Per-customer Ex-ante August 2018 Load Impacts by Scenario, SCE</w:t>
        </w:r>
        <w:r w:rsidR="0086367A">
          <w:rPr>
            <w:noProof/>
            <w:webHidden/>
          </w:rPr>
          <w:tab/>
        </w:r>
        <w:r w:rsidR="0086367A">
          <w:rPr>
            <w:noProof/>
            <w:webHidden/>
          </w:rPr>
          <w:fldChar w:fldCharType="begin"/>
        </w:r>
        <w:r w:rsidR="0086367A">
          <w:rPr>
            <w:noProof/>
            <w:webHidden/>
          </w:rPr>
          <w:instrText xml:space="preserve"> PAGEREF _Toc508800230 \h </w:instrText>
        </w:r>
        <w:r w:rsidR="0086367A">
          <w:rPr>
            <w:noProof/>
            <w:webHidden/>
          </w:rPr>
        </w:r>
        <w:r w:rsidR="0086367A">
          <w:rPr>
            <w:noProof/>
            <w:webHidden/>
          </w:rPr>
          <w:fldChar w:fldCharType="separate"/>
        </w:r>
        <w:r>
          <w:rPr>
            <w:noProof/>
            <w:webHidden/>
          </w:rPr>
          <w:t>39</w:t>
        </w:r>
        <w:r w:rsidR="0086367A">
          <w:rPr>
            <w:noProof/>
            <w:webHidden/>
          </w:rPr>
          <w:fldChar w:fldCharType="end"/>
        </w:r>
      </w:hyperlink>
    </w:p>
    <w:p w14:paraId="766C64C1" w14:textId="791A910A"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31" w:history="1">
        <w:r w:rsidR="0086367A" w:rsidRPr="0038227D">
          <w:rPr>
            <w:rStyle w:val="Hyperlink"/>
            <w:noProof/>
          </w:rPr>
          <w:t>Table 5.4: Per-customer Ex-ante August 2018 Load Impacts by Scenario, SDG&amp;E</w:t>
        </w:r>
        <w:r w:rsidR="0086367A">
          <w:rPr>
            <w:noProof/>
            <w:webHidden/>
          </w:rPr>
          <w:tab/>
        </w:r>
        <w:r w:rsidR="0086367A">
          <w:rPr>
            <w:noProof/>
            <w:webHidden/>
          </w:rPr>
          <w:fldChar w:fldCharType="begin"/>
        </w:r>
        <w:r w:rsidR="0086367A">
          <w:rPr>
            <w:noProof/>
            <w:webHidden/>
          </w:rPr>
          <w:instrText xml:space="preserve"> PAGEREF _Toc508800231 \h </w:instrText>
        </w:r>
        <w:r w:rsidR="0086367A">
          <w:rPr>
            <w:noProof/>
            <w:webHidden/>
          </w:rPr>
        </w:r>
        <w:r w:rsidR="0086367A">
          <w:rPr>
            <w:noProof/>
            <w:webHidden/>
          </w:rPr>
          <w:fldChar w:fldCharType="separate"/>
        </w:r>
        <w:r>
          <w:rPr>
            <w:noProof/>
            <w:webHidden/>
          </w:rPr>
          <w:t>41</w:t>
        </w:r>
        <w:r w:rsidR="0086367A">
          <w:rPr>
            <w:noProof/>
            <w:webHidden/>
          </w:rPr>
          <w:fldChar w:fldCharType="end"/>
        </w:r>
      </w:hyperlink>
    </w:p>
    <w:p w14:paraId="37623886" w14:textId="4A18DCEE"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32" w:history="1">
        <w:r w:rsidR="0086367A" w:rsidRPr="0038227D">
          <w:rPr>
            <w:rStyle w:val="Hyperlink"/>
            <w:noProof/>
          </w:rPr>
          <w:t>Table 6.1: Comparison of Ex-post Impacts in PY2016 and PY2017, PG&amp;E</w:t>
        </w:r>
        <w:r w:rsidR="0086367A">
          <w:rPr>
            <w:noProof/>
            <w:webHidden/>
          </w:rPr>
          <w:tab/>
        </w:r>
        <w:r w:rsidR="0086367A">
          <w:rPr>
            <w:noProof/>
            <w:webHidden/>
          </w:rPr>
          <w:fldChar w:fldCharType="begin"/>
        </w:r>
        <w:r w:rsidR="0086367A">
          <w:rPr>
            <w:noProof/>
            <w:webHidden/>
          </w:rPr>
          <w:instrText xml:space="preserve"> PAGEREF _Toc508800232 \h </w:instrText>
        </w:r>
        <w:r w:rsidR="0086367A">
          <w:rPr>
            <w:noProof/>
            <w:webHidden/>
          </w:rPr>
        </w:r>
        <w:r w:rsidR="0086367A">
          <w:rPr>
            <w:noProof/>
            <w:webHidden/>
          </w:rPr>
          <w:fldChar w:fldCharType="separate"/>
        </w:r>
        <w:r>
          <w:rPr>
            <w:noProof/>
            <w:webHidden/>
          </w:rPr>
          <w:t>41</w:t>
        </w:r>
        <w:r w:rsidR="0086367A">
          <w:rPr>
            <w:noProof/>
            <w:webHidden/>
          </w:rPr>
          <w:fldChar w:fldCharType="end"/>
        </w:r>
      </w:hyperlink>
    </w:p>
    <w:p w14:paraId="4E1F429F" w14:textId="4DCF3095"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33" w:history="1">
        <w:r w:rsidR="0086367A" w:rsidRPr="0038227D">
          <w:rPr>
            <w:rStyle w:val="Hyperlink"/>
            <w:noProof/>
          </w:rPr>
          <w:t>Table 6.2: Comparison of Ex-ante Impacts from PY2016 and PY2017 Studies, PG&amp;E</w:t>
        </w:r>
        <w:r w:rsidR="0086367A">
          <w:rPr>
            <w:noProof/>
            <w:webHidden/>
          </w:rPr>
          <w:tab/>
        </w:r>
        <w:r w:rsidR="0086367A">
          <w:rPr>
            <w:noProof/>
            <w:webHidden/>
          </w:rPr>
          <w:fldChar w:fldCharType="begin"/>
        </w:r>
        <w:r w:rsidR="0086367A">
          <w:rPr>
            <w:noProof/>
            <w:webHidden/>
          </w:rPr>
          <w:instrText xml:space="preserve"> PAGEREF _Toc508800233 \h </w:instrText>
        </w:r>
        <w:r w:rsidR="0086367A">
          <w:rPr>
            <w:noProof/>
            <w:webHidden/>
          </w:rPr>
        </w:r>
        <w:r w:rsidR="0086367A">
          <w:rPr>
            <w:noProof/>
            <w:webHidden/>
          </w:rPr>
          <w:fldChar w:fldCharType="separate"/>
        </w:r>
        <w:r>
          <w:rPr>
            <w:noProof/>
            <w:webHidden/>
          </w:rPr>
          <w:t>42</w:t>
        </w:r>
        <w:r w:rsidR="0086367A">
          <w:rPr>
            <w:noProof/>
            <w:webHidden/>
          </w:rPr>
          <w:fldChar w:fldCharType="end"/>
        </w:r>
      </w:hyperlink>
    </w:p>
    <w:p w14:paraId="204BB4B7" w14:textId="6556A6CA"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34" w:history="1">
        <w:r w:rsidR="0086367A" w:rsidRPr="0038227D">
          <w:rPr>
            <w:rStyle w:val="Hyperlink"/>
            <w:noProof/>
          </w:rPr>
          <w:t>Table 6.3: Comparison of Previous Ex-ante and Current Ex-post Impacts, PG&amp;E</w:t>
        </w:r>
        <w:r w:rsidR="0086367A">
          <w:rPr>
            <w:noProof/>
            <w:webHidden/>
          </w:rPr>
          <w:tab/>
        </w:r>
        <w:r w:rsidR="0086367A">
          <w:rPr>
            <w:noProof/>
            <w:webHidden/>
          </w:rPr>
          <w:fldChar w:fldCharType="begin"/>
        </w:r>
        <w:r w:rsidR="0086367A">
          <w:rPr>
            <w:noProof/>
            <w:webHidden/>
          </w:rPr>
          <w:instrText xml:space="preserve"> PAGEREF _Toc508800234 \h </w:instrText>
        </w:r>
        <w:r w:rsidR="0086367A">
          <w:rPr>
            <w:noProof/>
            <w:webHidden/>
          </w:rPr>
        </w:r>
        <w:r w:rsidR="0086367A">
          <w:rPr>
            <w:noProof/>
            <w:webHidden/>
          </w:rPr>
          <w:fldChar w:fldCharType="separate"/>
        </w:r>
        <w:r>
          <w:rPr>
            <w:noProof/>
            <w:webHidden/>
          </w:rPr>
          <w:t>43</w:t>
        </w:r>
        <w:r w:rsidR="0086367A">
          <w:rPr>
            <w:noProof/>
            <w:webHidden/>
          </w:rPr>
          <w:fldChar w:fldCharType="end"/>
        </w:r>
      </w:hyperlink>
    </w:p>
    <w:p w14:paraId="136099FD" w14:textId="3385B99E"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35" w:history="1">
        <w:r w:rsidR="0086367A" w:rsidRPr="0038227D">
          <w:rPr>
            <w:rStyle w:val="Hyperlink"/>
            <w:noProof/>
          </w:rPr>
          <w:t>Table 6.4: Comparison of Current Ex-post and Current Ex-ante Impacts, PG&amp;E</w:t>
        </w:r>
        <w:r w:rsidR="0086367A">
          <w:rPr>
            <w:noProof/>
            <w:webHidden/>
          </w:rPr>
          <w:tab/>
        </w:r>
        <w:r w:rsidR="0086367A">
          <w:rPr>
            <w:noProof/>
            <w:webHidden/>
          </w:rPr>
          <w:fldChar w:fldCharType="begin"/>
        </w:r>
        <w:r w:rsidR="0086367A">
          <w:rPr>
            <w:noProof/>
            <w:webHidden/>
          </w:rPr>
          <w:instrText xml:space="preserve"> PAGEREF _Toc508800235 \h </w:instrText>
        </w:r>
        <w:r w:rsidR="0086367A">
          <w:rPr>
            <w:noProof/>
            <w:webHidden/>
          </w:rPr>
        </w:r>
        <w:r w:rsidR="0086367A">
          <w:rPr>
            <w:noProof/>
            <w:webHidden/>
          </w:rPr>
          <w:fldChar w:fldCharType="separate"/>
        </w:r>
        <w:r>
          <w:rPr>
            <w:noProof/>
            <w:webHidden/>
          </w:rPr>
          <w:t>43</w:t>
        </w:r>
        <w:r w:rsidR="0086367A">
          <w:rPr>
            <w:noProof/>
            <w:webHidden/>
          </w:rPr>
          <w:fldChar w:fldCharType="end"/>
        </w:r>
      </w:hyperlink>
    </w:p>
    <w:p w14:paraId="7C0039A7" w14:textId="209F0A8F"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36" w:history="1">
        <w:r w:rsidR="0086367A" w:rsidRPr="0038227D">
          <w:rPr>
            <w:rStyle w:val="Hyperlink"/>
            <w:noProof/>
          </w:rPr>
          <w:t>Table 6.5: PG&amp;E Ex-post versus Ex-ante Factors</w:t>
        </w:r>
        <w:r w:rsidR="0086367A">
          <w:rPr>
            <w:noProof/>
            <w:webHidden/>
          </w:rPr>
          <w:tab/>
        </w:r>
        <w:r w:rsidR="0086367A">
          <w:rPr>
            <w:noProof/>
            <w:webHidden/>
          </w:rPr>
          <w:fldChar w:fldCharType="begin"/>
        </w:r>
        <w:r w:rsidR="0086367A">
          <w:rPr>
            <w:noProof/>
            <w:webHidden/>
          </w:rPr>
          <w:instrText xml:space="preserve"> PAGEREF _Toc508800236 \h </w:instrText>
        </w:r>
        <w:r w:rsidR="0086367A">
          <w:rPr>
            <w:noProof/>
            <w:webHidden/>
          </w:rPr>
        </w:r>
        <w:r w:rsidR="0086367A">
          <w:rPr>
            <w:noProof/>
            <w:webHidden/>
          </w:rPr>
          <w:fldChar w:fldCharType="separate"/>
        </w:r>
        <w:r>
          <w:rPr>
            <w:noProof/>
            <w:webHidden/>
          </w:rPr>
          <w:t>44</w:t>
        </w:r>
        <w:r w:rsidR="0086367A">
          <w:rPr>
            <w:noProof/>
            <w:webHidden/>
          </w:rPr>
          <w:fldChar w:fldCharType="end"/>
        </w:r>
      </w:hyperlink>
    </w:p>
    <w:p w14:paraId="2FB0A518" w14:textId="3B74FD66"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37" w:history="1">
        <w:r w:rsidR="0086367A" w:rsidRPr="0038227D">
          <w:rPr>
            <w:rStyle w:val="Hyperlink"/>
            <w:noProof/>
          </w:rPr>
          <w:t>Table 6.6: Comparison of Ex-post Impacts in PY2016 and PY2017, SCE</w:t>
        </w:r>
        <w:r w:rsidR="0086367A">
          <w:rPr>
            <w:noProof/>
            <w:webHidden/>
          </w:rPr>
          <w:tab/>
        </w:r>
        <w:r w:rsidR="0086367A">
          <w:rPr>
            <w:noProof/>
            <w:webHidden/>
          </w:rPr>
          <w:fldChar w:fldCharType="begin"/>
        </w:r>
        <w:r w:rsidR="0086367A">
          <w:rPr>
            <w:noProof/>
            <w:webHidden/>
          </w:rPr>
          <w:instrText xml:space="preserve"> PAGEREF _Toc508800237 \h </w:instrText>
        </w:r>
        <w:r w:rsidR="0086367A">
          <w:rPr>
            <w:noProof/>
            <w:webHidden/>
          </w:rPr>
        </w:r>
        <w:r w:rsidR="0086367A">
          <w:rPr>
            <w:noProof/>
            <w:webHidden/>
          </w:rPr>
          <w:fldChar w:fldCharType="separate"/>
        </w:r>
        <w:r>
          <w:rPr>
            <w:noProof/>
            <w:webHidden/>
          </w:rPr>
          <w:t>45</w:t>
        </w:r>
        <w:r w:rsidR="0086367A">
          <w:rPr>
            <w:noProof/>
            <w:webHidden/>
          </w:rPr>
          <w:fldChar w:fldCharType="end"/>
        </w:r>
      </w:hyperlink>
    </w:p>
    <w:p w14:paraId="26BA5313" w14:textId="298FB252"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38" w:history="1">
        <w:r w:rsidR="0086367A" w:rsidRPr="0038227D">
          <w:rPr>
            <w:rStyle w:val="Hyperlink"/>
            <w:noProof/>
          </w:rPr>
          <w:t>Table 6.7: Comparison of Ex-ante Impacts from PY2016 and PY2017 Studies, SCE</w:t>
        </w:r>
        <w:r w:rsidR="0086367A">
          <w:rPr>
            <w:noProof/>
            <w:webHidden/>
          </w:rPr>
          <w:tab/>
        </w:r>
        <w:r w:rsidR="0086367A">
          <w:rPr>
            <w:noProof/>
            <w:webHidden/>
          </w:rPr>
          <w:fldChar w:fldCharType="begin"/>
        </w:r>
        <w:r w:rsidR="0086367A">
          <w:rPr>
            <w:noProof/>
            <w:webHidden/>
          </w:rPr>
          <w:instrText xml:space="preserve"> PAGEREF _Toc508800238 \h </w:instrText>
        </w:r>
        <w:r w:rsidR="0086367A">
          <w:rPr>
            <w:noProof/>
            <w:webHidden/>
          </w:rPr>
        </w:r>
        <w:r w:rsidR="0086367A">
          <w:rPr>
            <w:noProof/>
            <w:webHidden/>
          </w:rPr>
          <w:fldChar w:fldCharType="separate"/>
        </w:r>
        <w:r>
          <w:rPr>
            <w:noProof/>
            <w:webHidden/>
          </w:rPr>
          <w:t>45</w:t>
        </w:r>
        <w:r w:rsidR="0086367A">
          <w:rPr>
            <w:noProof/>
            <w:webHidden/>
          </w:rPr>
          <w:fldChar w:fldCharType="end"/>
        </w:r>
      </w:hyperlink>
    </w:p>
    <w:p w14:paraId="5511D312" w14:textId="1B5B8038"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39" w:history="1">
        <w:r w:rsidR="0086367A" w:rsidRPr="0038227D">
          <w:rPr>
            <w:rStyle w:val="Hyperlink"/>
            <w:noProof/>
          </w:rPr>
          <w:t>Table 6.8: Comparison of Previous Ex-ante and Current Ex-post Impacts, SCE</w:t>
        </w:r>
        <w:r w:rsidR="0086367A">
          <w:rPr>
            <w:noProof/>
            <w:webHidden/>
          </w:rPr>
          <w:tab/>
        </w:r>
        <w:r w:rsidR="0086367A">
          <w:rPr>
            <w:noProof/>
            <w:webHidden/>
          </w:rPr>
          <w:fldChar w:fldCharType="begin"/>
        </w:r>
        <w:r w:rsidR="0086367A">
          <w:rPr>
            <w:noProof/>
            <w:webHidden/>
          </w:rPr>
          <w:instrText xml:space="preserve"> PAGEREF _Toc508800239 \h </w:instrText>
        </w:r>
        <w:r w:rsidR="0086367A">
          <w:rPr>
            <w:noProof/>
            <w:webHidden/>
          </w:rPr>
        </w:r>
        <w:r w:rsidR="0086367A">
          <w:rPr>
            <w:noProof/>
            <w:webHidden/>
          </w:rPr>
          <w:fldChar w:fldCharType="separate"/>
        </w:r>
        <w:r>
          <w:rPr>
            <w:noProof/>
            <w:webHidden/>
          </w:rPr>
          <w:t>46</w:t>
        </w:r>
        <w:r w:rsidR="0086367A">
          <w:rPr>
            <w:noProof/>
            <w:webHidden/>
          </w:rPr>
          <w:fldChar w:fldCharType="end"/>
        </w:r>
      </w:hyperlink>
    </w:p>
    <w:p w14:paraId="27DB4B35" w14:textId="03F06C6A"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40" w:history="1">
        <w:r w:rsidR="0086367A" w:rsidRPr="0038227D">
          <w:rPr>
            <w:rStyle w:val="Hyperlink"/>
            <w:noProof/>
          </w:rPr>
          <w:t>Table 6.9: Comparison of Current Ex-post and Current Ex-ante Impacts, SCE</w:t>
        </w:r>
        <w:r w:rsidR="0086367A">
          <w:rPr>
            <w:noProof/>
            <w:webHidden/>
          </w:rPr>
          <w:tab/>
        </w:r>
        <w:r w:rsidR="0086367A">
          <w:rPr>
            <w:noProof/>
            <w:webHidden/>
          </w:rPr>
          <w:fldChar w:fldCharType="begin"/>
        </w:r>
        <w:r w:rsidR="0086367A">
          <w:rPr>
            <w:noProof/>
            <w:webHidden/>
          </w:rPr>
          <w:instrText xml:space="preserve"> PAGEREF _Toc508800240 \h </w:instrText>
        </w:r>
        <w:r w:rsidR="0086367A">
          <w:rPr>
            <w:noProof/>
            <w:webHidden/>
          </w:rPr>
        </w:r>
        <w:r w:rsidR="0086367A">
          <w:rPr>
            <w:noProof/>
            <w:webHidden/>
          </w:rPr>
          <w:fldChar w:fldCharType="separate"/>
        </w:r>
        <w:r>
          <w:rPr>
            <w:noProof/>
            <w:webHidden/>
          </w:rPr>
          <w:t>46</w:t>
        </w:r>
        <w:r w:rsidR="0086367A">
          <w:rPr>
            <w:noProof/>
            <w:webHidden/>
          </w:rPr>
          <w:fldChar w:fldCharType="end"/>
        </w:r>
      </w:hyperlink>
    </w:p>
    <w:p w14:paraId="22E0F8C9" w14:textId="4F732AE5"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41" w:history="1">
        <w:r w:rsidR="0086367A" w:rsidRPr="0038227D">
          <w:rPr>
            <w:rStyle w:val="Hyperlink"/>
            <w:noProof/>
          </w:rPr>
          <w:t>Table 6.10: SCE Ex-post versus Ex-ante Factors</w:t>
        </w:r>
        <w:r w:rsidR="0086367A">
          <w:rPr>
            <w:noProof/>
            <w:webHidden/>
          </w:rPr>
          <w:tab/>
        </w:r>
        <w:r w:rsidR="0086367A">
          <w:rPr>
            <w:noProof/>
            <w:webHidden/>
          </w:rPr>
          <w:fldChar w:fldCharType="begin"/>
        </w:r>
        <w:r w:rsidR="0086367A">
          <w:rPr>
            <w:noProof/>
            <w:webHidden/>
          </w:rPr>
          <w:instrText xml:space="preserve"> PAGEREF _Toc508800241 \h </w:instrText>
        </w:r>
        <w:r w:rsidR="0086367A">
          <w:rPr>
            <w:noProof/>
            <w:webHidden/>
          </w:rPr>
        </w:r>
        <w:r w:rsidR="0086367A">
          <w:rPr>
            <w:noProof/>
            <w:webHidden/>
          </w:rPr>
          <w:fldChar w:fldCharType="separate"/>
        </w:r>
        <w:r>
          <w:rPr>
            <w:noProof/>
            <w:webHidden/>
          </w:rPr>
          <w:t>47</w:t>
        </w:r>
        <w:r w:rsidR="0086367A">
          <w:rPr>
            <w:noProof/>
            <w:webHidden/>
          </w:rPr>
          <w:fldChar w:fldCharType="end"/>
        </w:r>
      </w:hyperlink>
    </w:p>
    <w:p w14:paraId="2BB50A44" w14:textId="45FEAAE5"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42" w:history="1">
        <w:r w:rsidR="0086367A" w:rsidRPr="0038227D">
          <w:rPr>
            <w:rStyle w:val="Hyperlink"/>
            <w:noProof/>
          </w:rPr>
          <w:t>Table 6.11: Comparison of Ex-post Impacts in PY2016 and PY2017, SDG&amp;E</w:t>
        </w:r>
        <w:r w:rsidR="0086367A">
          <w:rPr>
            <w:noProof/>
            <w:webHidden/>
          </w:rPr>
          <w:tab/>
        </w:r>
        <w:r w:rsidR="0086367A">
          <w:rPr>
            <w:noProof/>
            <w:webHidden/>
          </w:rPr>
          <w:fldChar w:fldCharType="begin"/>
        </w:r>
        <w:r w:rsidR="0086367A">
          <w:rPr>
            <w:noProof/>
            <w:webHidden/>
          </w:rPr>
          <w:instrText xml:space="preserve"> PAGEREF _Toc508800242 \h </w:instrText>
        </w:r>
        <w:r w:rsidR="0086367A">
          <w:rPr>
            <w:noProof/>
            <w:webHidden/>
          </w:rPr>
        </w:r>
        <w:r w:rsidR="0086367A">
          <w:rPr>
            <w:noProof/>
            <w:webHidden/>
          </w:rPr>
          <w:fldChar w:fldCharType="separate"/>
        </w:r>
        <w:r>
          <w:rPr>
            <w:noProof/>
            <w:webHidden/>
          </w:rPr>
          <w:t>48</w:t>
        </w:r>
        <w:r w:rsidR="0086367A">
          <w:rPr>
            <w:noProof/>
            <w:webHidden/>
          </w:rPr>
          <w:fldChar w:fldCharType="end"/>
        </w:r>
      </w:hyperlink>
    </w:p>
    <w:p w14:paraId="5B57A4F9" w14:textId="3A94B0C6"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43" w:history="1">
        <w:r w:rsidR="0086367A" w:rsidRPr="0038227D">
          <w:rPr>
            <w:rStyle w:val="Hyperlink"/>
            <w:noProof/>
          </w:rPr>
          <w:t>Table 6.12: Comparison of Ex-ante Impacts from PY2016 and PY2017 Studies, SDG&amp;E</w:t>
        </w:r>
        <w:r w:rsidR="0086367A">
          <w:rPr>
            <w:noProof/>
            <w:webHidden/>
          </w:rPr>
          <w:tab/>
        </w:r>
        <w:r w:rsidR="0086367A">
          <w:rPr>
            <w:noProof/>
            <w:webHidden/>
          </w:rPr>
          <w:fldChar w:fldCharType="begin"/>
        </w:r>
        <w:r w:rsidR="0086367A">
          <w:rPr>
            <w:noProof/>
            <w:webHidden/>
          </w:rPr>
          <w:instrText xml:space="preserve"> PAGEREF _Toc508800243 \h </w:instrText>
        </w:r>
        <w:r w:rsidR="0086367A">
          <w:rPr>
            <w:noProof/>
            <w:webHidden/>
          </w:rPr>
        </w:r>
        <w:r w:rsidR="0086367A">
          <w:rPr>
            <w:noProof/>
            <w:webHidden/>
          </w:rPr>
          <w:fldChar w:fldCharType="separate"/>
        </w:r>
        <w:r>
          <w:rPr>
            <w:noProof/>
            <w:webHidden/>
          </w:rPr>
          <w:t>48</w:t>
        </w:r>
        <w:r w:rsidR="0086367A">
          <w:rPr>
            <w:noProof/>
            <w:webHidden/>
          </w:rPr>
          <w:fldChar w:fldCharType="end"/>
        </w:r>
      </w:hyperlink>
    </w:p>
    <w:p w14:paraId="4C60CF3B" w14:textId="08578BB6"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44" w:history="1">
        <w:r w:rsidR="0086367A" w:rsidRPr="0038227D">
          <w:rPr>
            <w:rStyle w:val="Hyperlink"/>
            <w:noProof/>
          </w:rPr>
          <w:t>Table 6.13: Comparison of Previous Ex-ante and Current Ex-post Impacts, SDG&amp;E</w:t>
        </w:r>
        <w:r w:rsidR="0086367A">
          <w:rPr>
            <w:noProof/>
            <w:webHidden/>
          </w:rPr>
          <w:tab/>
        </w:r>
        <w:r w:rsidR="0086367A">
          <w:rPr>
            <w:noProof/>
            <w:webHidden/>
          </w:rPr>
          <w:fldChar w:fldCharType="begin"/>
        </w:r>
        <w:r w:rsidR="0086367A">
          <w:rPr>
            <w:noProof/>
            <w:webHidden/>
          </w:rPr>
          <w:instrText xml:space="preserve"> PAGEREF _Toc508800244 \h </w:instrText>
        </w:r>
        <w:r w:rsidR="0086367A">
          <w:rPr>
            <w:noProof/>
            <w:webHidden/>
          </w:rPr>
        </w:r>
        <w:r w:rsidR="0086367A">
          <w:rPr>
            <w:noProof/>
            <w:webHidden/>
          </w:rPr>
          <w:fldChar w:fldCharType="separate"/>
        </w:r>
        <w:r>
          <w:rPr>
            <w:noProof/>
            <w:webHidden/>
          </w:rPr>
          <w:t>49</w:t>
        </w:r>
        <w:r w:rsidR="0086367A">
          <w:rPr>
            <w:noProof/>
            <w:webHidden/>
          </w:rPr>
          <w:fldChar w:fldCharType="end"/>
        </w:r>
      </w:hyperlink>
    </w:p>
    <w:p w14:paraId="38FADE0E" w14:textId="7D387563"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45" w:history="1">
        <w:r w:rsidR="0086367A" w:rsidRPr="0038227D">
          <w:rPr>
            <w:rStyle w:val="Hyperlink"/>
            <w:noProof/>
          </w:rPr>
          <w:t>Table 6.14: Comparison of Current Ex-post and Current Ex-ante Impacts, SDG&amp;E</w:t>
        </w:r>
        <w:r w:rsidR="0086367A">
          <w:rPr>
            <w:noProof/>
            <w:webHidden/>
          </w:rPr>
          <w:tab/>
        </w:r>
        <w:r w:rsidR="0086367A">
          <w:rPr>
            <w:noProof/>
            <w:webHidden/>
          </w:rPr>
          <w:fldChar w:fldCharType="begin"/>
        </w:r>
        <w:r w:rsidR="0086367A">
          <w:rPr>
            <w:noProof/>
            <w:webHidden/>
          </w:rPr>
          <w:instrText xml:space="preserve"> PAGEREF _Toc508800245 \h </w:instrText>
        </w:r>
        <w:r w:rsidR="0086367A">
          <w:rPr>
            <w:noProof/>
            <w:webHidden/>
          </w:rPr>
        </w:r>
        <w:r w:rsidR="0086367A">
          <w:rPr>
            <w:noProof/>
            <w:webHidden/>
          </w:rPr>
          <w:fldChar w:fldCharType="separate"/>
        </w:r>
        <w:r>
          <w:rPr>
            <w:noProof/>
            <w:webHidden/>
          </w:rPr>
          <w:t>49</w:t>
        </w:r>
        <w:r w:rsidR="0086367A">
          <w:rPr>
            <w:noProof/>
            <w:webHidden/>
          </w:rPr>
          <w:fldChar w:fldCharType="end"/>
        </w:r>
      </w:hyperlink>
    </w:p>
    <w:p w14:paraId="0B258DD7" w14:textId="0EE38563"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46" w:history="1">
        <w:r w:rsidR="0086367A" w:rsidRPr="0038227D">
          <w:rPr>
            <w:rStyle w:val="Hyperlink"/>
            <w:noProof/>
          </w:rPr>
          <w:t>Table 6.15: SDG&amp;E BIP Ex-post versus Ex-ante Factors, Typical Event Day</w:t>
        </w:r>
        <w:r w:rsidR="0086367A">
          <w:rPr>
            <w:noProof/>
            <w:webHidden/>
          </w:rPr>
          <w:tab/>
        </w:r>
        <w:r w:rsidR="0086367A">
          <w:rPr>
            <w:noProof/>
            <w:webHidden/>
          </w:rPr>
          <w:fldChar w:fldCharType="begin"/>
        </w:r>
        <w:r w:rsidR="0086367A">
          <w:rPr>
            <w:noProof/>
            <w:webHidden/>
          </w:rPr>
          <w:instrText xml:space="preserve"> PAGEREF _Toc508800246 \h </w:instrText>
        </w:r>
        <w:r w:rsidR="0086367A">
          <w:rPr>
            <w:noProof/>
            <w:webHidden/>
          </w:rPr>
        </w:r>
        <w:r w:rsidR="0086367A">
          <w:rPr>
            <w:noProof/>
            <w:webHidden/>
          </w:rPr>
          <w:fldChar w:fldCharType="separate"/>
        </w:r>
        <w:r>
          <w:rPr>
            <w:noProof/>
            <w:webHidden/>
          </w:rPr>
          <w:t>50</w:t>
        </w:r>
        <w:r w:rsidR="0086367A">
          <w:rPr>
            <w:noProof/>
            <w:webHidden/>
          </w:rPr>
          <w:fldChar w:fldCharType="end"/>
        </w:r>
      </w:hyperlink>
    </w:p>
    <w:p w14:paraId="3ABF20E9" w14:textId="784CFB73"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47" w:history="1">
        <w:r w:rsidR="0086367A" w:rsidRPr="0038227D">
          <w:rPr>
            <w:rStyle w:val="Hyperlink"/>
            <w:noProof/>
          </w:rPr>
          <w:t>Table A.1: Weather Sensitive Customer Count by Industry Type, PG&amp;E</w:t>
        </w:r>
        <w:r w:rsidR="0086367A">
          <w:rPr>
            <w:noProof/>
            <w:webHidden/>
          </w:rPr>
          <w:tab/>
        </w:r>
        <w:r w:rsidR="0086367A">
          <w:rPr>
            <w:noProof/>
            <w:webHidden/>
          </w:rPr>
          <w:fldChar w:fldCharType="begin"/>
        </w:r>
        <w:r w:rsidR="0086367A">
          <w:rPr>
            <w:noProof/>
            <w:webHidden/>
          </w:rPr>
          <w:instrText xml:space="preserve"> PAGEREF _Toc508800247 \h </w:instrText>
        </w:r>
        <w:r w:rsidR="0086367A">
          <w:rPr>
            <w:noProof/>
            <w:webHidden/>
          </w:rPr>
        </w:r>
        <w:r w:rsidR="0086367A">
          <w:rPr>
            <w:noProof/>
            <w:webHidden/>
          </w:rPr>
          <w:fldChar w:fldCharType="separate"/>
        </w:r>
        <w:r>
          <w:rPr>
            <w:noProof/>
            <w:webHidden/>
          </w:rPr>
          <w:t>52</w:t>
        </w:r>
        <w:r w:rsidR="0086367A">
          <w:rPr>
            <w:noProof/>
            <w:webHidden/>
          </w:rPr>
          <w:fldChar w:fldCharType="end"/>
        </w:r>
      </w:hyperlink>
    </w:p>
    <w:p w14:paraId="515E6023" w14:textId="4B86E011"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48" w:history="1">
        <w:r w:rsidR="0086367A" w:rsidRPr="0038227D">
          <w:rPr>
            <w:rStyle w:val="Hyperlink"/>
            <w:noProof/>
          </w:rPr>
          <w:t>Table A.2: Weather Sensitive Customer Count by Industry Type, SCE</w:t>
        </w:r>
        <w:r w:rsidR="0086367A">
          <w:rPr>
            <w:noProof/>
            <w:webHidden/>
          </w:rPr>
          <w:tab/>
        </w:r>
        <w:r w:rsidR="0086367A">
          <w:rPr>
            <w:noProof/>
            <w:webHidden/>
          </w:rPr>
          <w:fldChar w:fldCharType="begin"/>
        </w:r>
        <w:r w:rsidR="0086367A">
          <w:rPr>
            <w:noProof/>
            <w:webHidden/>
          </w:rPr>
          <w:instrText xml:space="preserve"> PAGEREF _Toc508800248 \h </w:instrText>
        </w:r>
        <w:r w:rsidR="0086367A">
          <w:rPr>
            <w:noProof/>
            <w:webHidden/>
          </w:rPr>
        </w:r>
        <w:r w:rsidR="0086367A">
          <w:rPr>
            <w:noProof/>
            <w:webHidden/>
          </w:rPr>
          <w:fldChar w:fldCharType="separate"/>
        </w:r>
        <w:r>
          <w:rPr>
            <w:noProof/>
            <w:webHidden/>
          </w:rPr>
          <w:t>53</w:t>
        </w:r>
        <w:r w:rsidR="0086367A">
          <w:rPr>
            <w:noProof/>
            <w:webHidden/>
          </w:rPr>
          <w:fldChar w:fldCharType="end"/>
        </w:r>
      </w:hyperlink>
    </w:p>
    <w:p w14:paraId="2C9B0239" w14:textId="54108667"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49" w:history="1">
        <w:r w:rsidR="0086367A" w:rsidRPr="0038227D">
          <w:rPr>
            <w:rStyle w:val="Hyperlink"/>
            <w:noProof/>
          </w:rPr>
          <w:t>Table A.3: Weather Sensitive Customer Count by Industry Type, SDG&amp;E</w:t>
        </w:r>
        <w:r w:rsidR="0086367A">
          <w:rPr>
            <w:noProof/>
            <w:webHidden/>
          </w:rPr>
          <w:tab/>
        </w:r>
        <w:r w:rsidR="0086367A">
          <w:rPr>
            <w:noProof/>
            <w:webHidden/>
          </w:rPr>
          <w:fldChar w:fldCharType="begin"/>
        </w:r>
        <w:r w:rsidR="0086367A">
          <w:rPr>
            <w:noProof/>
            <w:webHidden/>
          </w:rPr>
          <w:instrText xml:space="preserve"> PAGEREF _Toc508800249 \h </w:instrText>
        </w:r>
        <w:r w:rsidR="0086367A">
          <w:rPr>
            <w:noProof/>
            <w:webHidden/>
          </w:rPr>
        </w:r>
        <w:r w:rsidR="0086367A">
          <w:rPr>
            <w:noProof/>
            <w:webHidden/>
          </w:rPr>
          <w:fldChar w:fldCharType="separate"/>
        </w:r>
        <w:r>
          <w:rPr>
            <w:noProof/>
            <w:webHidden/>
          </w:rPr>
          <w:t>53</w:t>
        </w:r>
        <w:r w:rsidR="0086367A">
          <w:rPr>
            <w:noProof/>
            <w:webHidden/>
          </w:rPr>
          <w:fldChar w:fldCharType="end"/>
        </w:r>
      </w:hyperlink>
    </w:p>
    <w:p w14:paraId="51B10093" w14:textId="6BD1F1C0"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50" w:history="1">
        <w:r w:rsidR="0086367A" w:rsidRPr="0038227D">
          <w:rPr>
            <w:rStyle w:val="Hyperlink"/>
            <w:noProof/>
          </w:rPr>
          <w:t>Table A.4: Weather Variables Included in the Tested Specifications  for Weather Sensitive Customers</w:t>
        </w:r>
        <w:r w:rsidR="0086367A">
          <w:rPr>
            <w:noProof/>
            <w:webHidden/>
          </w:rPr>
          <w:tab/>
        </w:r>
        <w:r w:rsidR="0086367A">
          <w:rPr>
            <w:noProof/>
            <w:webHidden/>
          </w:rPr>
          <w:fldChar w:fldCharType="begin"/>
        </w:r>
        <w:r w:rsidR="0086367A">
          <w:rPr>
            <w:noProof/>
            <w:webHidden/>
          </w:rPr>
          <w:instrText xml:space="preserve"> PAGEREF _Toc508800250 \h </w:instrText>
        </w:r>
        <w:r w:rsidR="0086367A">
          <w:rPr>
            <w:noProof/>
            <w:webHidden/>
          </w:rPr>
        </w:r>
        <w:r w:rsidR="0086367A">
          <w:rPr>
            <w:noProof/>
            <w:webHidden/>
          </w:rPr>
          <w:fldChar w:fldCharType="separate"/>
        </w:r>
        <w:r>
          <w:rPr>
            <w:noProof/>
            <w:webHidden/>
          </w:rPr>
          <w:t>54</w:t>
        </w:r>
        <w:r w:rsidR="0086367A">
          <w:rPr>
            <w:noProof/>
            <w:webHidden/>
          </w:rPr>
          <w:fldChar w:fldCharType="end"/>
        </w:r>
      </w:hyperlink>
    </w:p>
    <w:p w14:paraId="0E6FE644" w14:textId="2C50E597"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51" w:history="1">
        <w:r w:rsidR="0086367A" w:rsidRPr="0038227D">
          <w:rPr>
            <w:rStyle w:val="Hyperlink"/>
            <w:noProof/>
          </w:rPr>
          <w:t>Table A.5: Variables Included in the Tested Specifications  for Non-Weather Sensitive Customers</w:t>
        </w:r>
        <w:r w:rsidR="0086367A">
          <w:rPr>
            <w:noProof/>
            <w:webHidden/>
          </w:rPr>
          <w:tab/>
        </w:r>
        <w:r w:rsidR="0086367A">
          <w:rPr>
            <w:noProof/>
            <w:webHidden/>
          </w:rPr>
          <w:fldChar w:fldCharType="begin"/>
        </w:r>
        <w:r w:rsidR="0086367A">
          <w:rPr>
            <w:noProof/>
            <w:webHidden/>
          </w:rPr>
          <w:instrText xml:space="preserve"> PAGEREF _Toc508800251 \h </w:instrText>
        </w:r>
        <w:r w:rsidR="0086367A">
          <w:rPr>
            <w:noProof/>
            <w:webHidden/>
          </w:rPr>
        </w:r>
        <w:r w:rsidR="0086367A">
          <w:rPr>
            <w:noProof/>
            <w:webHidden/>
          </w:rPr>
          <w:fldChar w:fldCharType="separate"/>
        </w:r>
        <w:r>
          <w:rPr>
            <w:noProof/>
            <w:webHidden/>
          </w:rPr>
          <w:t>55</w:t>
        </w:r>
        <w:r w:rsidR="0086367A">
          <w:rPr>
            <w:noProof/>
            <w:webHidden/>
          </w:rPr>
          <w:fldChar w:fldCharType="end"/>
        </w:r>
      </w:hyperlink>
    </w:p>
    <w:p w14:paraId="75E17087" w14:textId="7C109859"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52" w:history="1">
        <w:r w:rsidR="0086367A" w:rsidRPr="0038227D">
          <w:rPr>
            <w:rStyle w:val="Hyperlink"/>
            <w:noProof/>
          </w:rPr>
          <w:t>Table A.6: List of Event-Like Non-Event Days by IOU</w:t>
        </w:r>
        <w:r w:rsidR="0086367A">
          <w:rPr>
            <w:noProof/>
            <w:webHidden/>
          </w:rPr>
          <w:tab/>
        </w:r>
        <w:r w:rsidR="0086367A">
          <w:rPr>
            <w:noProof/>
            <w:webHidden/>
          </w:rPr>
          <w:fldChar w:fldCharType="begin"/>
        </w:r>
        <w:r w:rsidR="0086367A">
          <w:rPr>
            <w:noProof/>
            <w:webHidden/>
          </w:rPr>
          <w:instrText xml:space="preserve"> PAGEREF _Toc508800252 \h </w:instrText>
        </w:r>
        <w:r w:rsidR="0086367A">
          <w:rPr>
            <w:noProof/>
            <w:webHidden/>
          </w:rPr>
        </w:r>
        <w:r w:rsidR="0086367A">
          <w:rPr>
            <w:noProof/>
            <w:webHidden/>
          </w:rPr>
          <w:fldChar w:fldCharType="separate"/>
        </w:r>
        <w:r>
          <w:rPr>
            <w:noProof/>
            <w:webHidden/>
          </w:rPr>
          <w:t>56</w:t>
        </w:r>
        <w:r w:rsidR="0086367A">
          <w:rPr>
            <w:noProof/>
            <w:webHidden/>
          </w:rPr>
          <w:fldChar w:fldCharType="end"/>
        </w:r>
      </w:hyperlink>
    </w:p>
    <w:p w14:paraId="64A6E33A" w14:textId="7DE39BED"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53" w:history="1">
        <w:r w:rsidR="0086367A" w:rsidRPr="0038227D">
          <w:rPr>
            <w:rStyle w:val="Hyperlink"/>
            <w:noProof/>
          </w:rPr>
          <w:t>Table A.7: Specification Test Results for the Ex-Post analysis, PG&amp;E</w:t>
        </w:r>
        <w:r w:rsidR="0086367A">
          <w:rPr>
            <w:noProof/>
            <w:webHidden/>
          </w:rPr>
          <w:tab/>
        </w:r>
        <w:r w:rsidR="0086367A">
          <w:rPr>
            <w:noProof/>
            <w:webHidden/>
          </w:rPr>
          <w:fldChar w:fldCharType="begin"/>
        </w:r>
        <w:r w:rsidR="0086367A">
          <w:rPr>
            <w:noProof/>
            <w:webHidden/>
          </w:rPr>
          <w:instrText xml:space="preserve"> PAGEREF _Toc508800253 \h </w:instrText>
        </w:r>
        <w:r w:rsidR="0086367A">
          <w:rPr>
            <w:noProof/>
            <w:webHidden/>
          </w:rPr>
        </w:r>
        <w:r w:rsidR="0086367A">
          <w:rPr>
            <w:noProof/>
            <w:webHidden/>
          </w:rPr>
          <w:fldChar w:fldCharType="separate"/>
        </w:r>
        <w:r>
          <w:rPr>
            <w:noProof/>
            <w:webHidden/>
          </w:rPr>
          <w:t>57</w:t>
        </w:r>
        <w:r w:rsidR="0086367A">
          <w:rPr>
            <w:noProof/>
            <w:webHidden/>
          </w:rPr>
          <w:fldChar w:fldCharType="end"/>
        </w:r>
      </w:hyperlink>
    </w:p>
    <w:p w14:paraId="71680F65" w14:textId="5E005714"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54" w:history="1">
        <w:r w:rsidR="0086367A" w:rsidRPr="0038227D">
          <w:rPr>
            <w:rStyle w:val="Hyperlink"/>
            <w:noProof/>
          </w:rPr>
          <w:t>Table A.8: Specification Test Results for the Ex-Post analysis, SCE</w:t>
        </w:r>
        <w:r w:rsidR="0086367A">
          <w:rPr>
            <w:noProof/>
            <w:webHidden/>
          </w:rPr>
          <w:tab/>
        </w:r>
        <w:r w:rsidR="0086367A">
          <w:rPr>
            <w:noProof/>
            <w:webHidden/>
          </w:rPr>
          <w:fldChar w:fldCharType="begin"/>
        </w:r>
        <w:r w:rsidR="0086367A">
          <w:rPr>
            <w:noProof/>
            <w:webHidden/>
          </w:rPr>
          <w:instrText xml:space="preserve"> PAGEREF _Toc508800254 \h </w:instrText>
        </w:r>
        <w:r w:rsidR="0086367A">
          <w:rPr>
            <w:noProof/>
            <w:webHidden/>
          </w:rPr>
        </w:r>
        <w:r w:rsidR="0086367A">
          <w:rPr>
            <w:noProof/>
            <w:webHidden/>
          </w:rPr>
          <w:fldChar w:fldCharType="separate"/>
        </w:r>
        <w:r>
          <w:rPr>
            <w:noProof/>
            <w:webHidden/>
          </w:rPr>
          <w:t>57</w:t>
        </w:r>
        <w:r w:rsidR="0086367A">
          <w:rPr>
            <w:noProof/>
            <w:webHidden/>
          </w:rPr>
          <w:fldChar w:fldCharType="end"/>
        </w:r>
      </w:hyperlink>
    </w:p>
    <w:p w14:paraId="4023820A" w14:textId="40EE996B"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55" w:history="1">
        <w:r w:rsidR="0086367A" w:rsidRPr="0038227D">
          <w:rPr>
            <w:rStyle w:val="Hyperlink"/>
            <w:noProof/>
          </w:rPr>
          <w:t>Table A.9: Specification Test Results for the Ex-Post analysis, SDG&amp;E</w:t>
        </w:r>
        <w:r w:rsidR="0086367A">
          <w:rPr>
            <w:noProof/>
            <w:webHidden/>
          </w:rPr>
          <w:tab/>
        </w:r>
        <w:r w:rsidR="0086367A">
          <w:rPr>
            <w:noProof/>
            <w:webHidden/>
          </w:rPr>
          <w:fldChar w:fldCharType="begin"/>
        </w:r>
        <w:r w:rsidR="0086367A">
          <w:rPr>
            <w:noProof/>
            <w:webHidden/>
          </w:rPr>
          <w:instrText xml:space="preserve"> PAGEREF _Toc508800255 \h </w:instrText>
        </w:r>
        <w:r w:rsidR="0086367A">
          <w:rPr>
            <w:noProof/>
            <w:webHidden/>
          </w:rPr>
        </w:r>
        <w:r w:rsidR="0086367A">
          <w:rPr>
            <w:noProof/>
            <w:webHidden/>
          </w:rPr>
          <w:fldChar w:fldCharType="separate"/>
        </w:r>
        <w:r>
          <w:rPr>
            <w:noProof/>
            <w:webHidden/>
          </w:rPr>
          <w:t>58</w:t>
        </w:r>
        <w:r w:rsidR="0086367A">
          <w:rPr>
            <w:noProof/>
            <w:webHidden/>
          </w:rPr>
          <w:fldChar w:fldCharType="end"/>
        </w:r>
      </w:hyperlink>
    </w:p>
    <w:p w14:paraId="2D408649" w14:textId="6D809173"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56" w:history="1">
        <w:r w:rsidR="0086367A" w:rsidRPr="0038227D">
          <w:rPr>
            <w:rStyle w:val="Hyperlink"/>
            <w:noProof/>
          </w:rPr>
          <w:t>Table A.10: Specification Test Results for the Ex-Ante analysis, PG&amp;E</w:t>
        </w:r>
        <w:r w:rsidR="0086367A">
          <w:rPr>
            <w:noProof/>
            <w:webHidden/>
          </w:rPr>
          <w:tab/>
        </w:r>
        <w:r w:rsidR="0086367A">
          <w:rPr>
            <w:noProof/>
            <w:webHidden/>
          </w:rPr>
          <w:fldChar w:fldCharType="begin"/>
        </w:r>
        <w:r w:rsidR="0086367A">
          <w:rPr>
            <w:noProof/>
            <w:webHidden/>
          </w:rPr>
          <w:instrText xml:space="preserve"> PAGEREF _Toc508800256 \h </w:instrText>
        </w:r>
        <w:r w:rsidR="0086367A">
          <w:rPr>
            <w:noProof/>
            <w:webHidden/>
          </w:rPr>
        </w:r>
        <w:r w:rsidR="0086367A">
          <w:rPr>
            <w:noProof/>
            <w:webHidden/>
          </w:rPr>
          <w:fldChar w:fldCharType="separate"/>
        </w:r>
        <w:r>
          <w:rPr>
            <w:noProof/>
            <w:webHidden/>
          </w:rPr>
          <w:t>58</w:t>
        </w:r>
        <w:r w:rsidR="0086367A">
          <w:rPr>
            <w:noProof/>
            <w:webHidden/>
          </w:rPr>
          <w:fldChar w:fldCharType="end"/>
        </w:r>
      </w:hyperlink>
    </w:p>
    <w:p w14:paraId="1F6C7164" w14:textId="51D04733"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57" w:history="1">
        <w:r w:rsidR="0086367A" w:rsidRPr="0038227D">
          <w:rPr>
            <w:rStyle w:val="Hyperlink"/>
            <w:noProof/>
          </w:rPr>
          <w:t>Table A.11: Specification Test Results for the Ex-Ante analysis, SCE</w:t>
        </w:r>
        <w:r w:rsidR="0086367A">
          <w:rPr>
            <w:noProof/>
            <w:webHidden/>
          </w:rPr>
          <w:tab/>
        </w:r>
        <w:r w:rsidR="0086367A">
          <w:rPr>
            <w:noProof/>
            <w:webHidden/>
          </w:rPr>
          <w:fldChar w:fldCharType="begin"/>
        </w:r>
        <w:r w:rsidR="0086367A">
          <w:rPr>
            <w:noProof/>
            <w:webHidden/>
          </w:rPr>
          <w:instrText xml:space="preserve"> PAGEREF _Toc508800257 \h </w:instrText>
        </w:r>
        <w:r w:rsidR="0086367A">
          <w:rPr>
            <w:noProof/>
            <w:webHidden/>
          </w:rPr>
        </w:r>
        <w:r w:rsidR="0086367A">
          <w:rPr>
            <w:noProof/>
            <w:webHidden/>
          </w:rPr>
          <w:fldChar w:fldCharType="separate"/>
        </w:r>
        <w:r>
          <w:rPr>
            <w:noProof/>
            <w:webHidden/>
          </w:rPr>
          <w:t>59</w:t>
        </w:r>
        <w:r w:rsidR="0086367A">
          <w:rPr>
            <w:noProof/>
            <w:webHidden/>
          </w:rPr>
          <w:fldChar w:fldCharType="end"/>
        </w:r>
      </w:hyperlink>
    </w:p>
    <w:p w14:paraId="1E46DF20" w14:textId="00CDD00A"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58" w:history="1">
        <w:r w:rsidR="0086367A" w:rsidRPr="0038227D">
          <w:rPr>
            <w:rStyle w:val="Hyperlink"/>
            <w:noProof/>
          </w:rPr>
          <w:t>Table A.12: Specification Test Results for the Ex-Ante analysis, SDG&amp;E</w:t>
        </w:r>
        <w:r w:rsidR="0086367A">
          <w:rPr>
            <w:noProof/>
            <w:webHidden/>
          </w:rPr>
          <w:tab/>
        </w:r>
        <w:r w:rsidR="0086367A">
          <w:rPr>
            <w:noProof/>
            <w:webHidden/>
          </w:rPr>
          <w:fldChar w:fldCharType="begin"/>
        </w:r>
        <w:r w:rsidR="0086367A">
          <w:rPr>
            <w:noProof/>
            <w:webHidden/>
          </w:rPr>
          <w:instrText xml:space="preserve"> PAGEREF _Toc508800258 \h </w:instrText>
        </w:r>
        <w:r w:rsidR="0086367A">
          <w:rPr>
            <w:noProof/>
            <w:webHidden/>
          </w:rPr>
        </w:r>
        <w:r w:rsidR="0086367A">
          <w:rPr>
            <w:noProof/>
            <w:webHidden/>
          </w:rPr>
          <w:fldChar w:fldCharType="separate"/>
        </w:r>
        <w:r>
          <w:rPr>
            <w:noProof/>
            <w:webHidden/>
          </w:rPr>
          <w:t>59</w:t>
        </w:r>
        <w:r w:rsidR="0086367A">
          <w:rPr>
            <w:noProof/>
            <w:webHidden/>
          </w:rPr>
          <w:fldChar w:fldCharType="end"/>
        </w:r>
      </w:hyperlink>
    </w:p>
    <w:p w14:paraId="1FEA8147" w14:textId="62E96C23"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59" w:history="1">
        <w:r w:rsidR="0086367A" w:rsidRPr="0038227D">
          <w:rPr>
            <w:rStyle w:val="Hyperlink"/>
            <w:noProof/>
          </w:rPr>
          <w:t>Table A.13: Percentage of Statistically Significant Synthetic Event-Day  Estimated Load Impacts</w:t>
        </w:r>
        <w:r w:rsidR="0086367A">
          <w:rPr>
            <w:noProof/>
            <w:webHidden/>
          </w:rPr>
          <w:tab/>
        </w:r>
        <w:r w:rsidR="0086367A">
          <w:rPr>
            <w:noProof/>
            <w:webHidden/>
          </w:rPr>
          <w:fldChar w:fldCharType="begin"/>
        </w:r>
        <w:r w:rsidR="0086367A">
          <w:rPr>
            <w:noProof/>
            <w:webHidden/>
          </w:rPr>
          <w:instrText xml:space="preserve"> PAGEREF _Toc508800259 \h </w:instrText>
        </w:r>
        <w:r w:rsidR="0086367A">
          <w:rPr>
            <w:noProof/>
            <w:webHidden/>
          </w:rPr>
        </w:r>
        <w:r w:rsidR="0086367A">
          <w:rPr>
            <w:noProof/>
            <w:webHidden/>
          </w:rPr>
          <w:fldChar w:fldCharType="separate"/>
        </w:r>
        <w:r>
          <w:rPr>
            <w:noProof/>
            <w:webHidden/>
          </w:rPr>
          <w:t>60</w:t>
        </w:r>
        <w:r w:rsidR="0086367A">
          <w:rPr>
            <w:noProof/>
            <w:webHidden/>
          </w:rPr>
          <w:fldChar w:fldCharType="end"/>
        </w:r>
      </w:hyperlink>
    </w:p>
    <w:p w14:paraId="026E528B" w14:textId="35FD089D"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60" w:history="1">
        <w:r w:rsidR="0086367A" w:rsidRPr="0038227D">
          <w:rPr>
            <w:rStyle w:val="Hyperlink"/>
            <w:noProof/>
          </w:rPr>
          <w:t>Table B.1: May 3, 2017 Over/Under Performance – PG&amp;E BIP, by Industry Group and Event Hour</w:t>
        </w:r>
        <w:r w:rsidR="0086367A">
          <w:rPr>
            <w:noProof/>
            <w:webHidden/>
          </w:rPr>
          <w:tab/>
        </w:r>
        <w:r w:rsidR="0086367A">
          <w:rPr>
            <w:noProof/>
            <w:webHidden/>
          </w:rPr>
          <w:fldChar w:fldCharType="begin"/>
        </w:r>
        <w:r w:rsidR="0086367A">
          <w:rPr>
            <w:noProof/>
            <w:webHidden/>
          </w:rPr>
          <w:instrText xml:space="preserve"> PAGEREF _Toc508800260 \h </w:instrText>
        </w:r>
        <w:r w:rsidR="0086367A">
          <w:rPr>
            <w:noProof/>
            <w:webHidden/>
          </w:rPr>
        </w:r>
        <w:r w:rsidR="0086367A">
          <w:rPr>
            <w:noProof/>
            <w:webHidden/>
          </w:rPr>
          <w:fldChar w:fldCharType="separate"/>
        </w:r>
        <w:r>
          <w:rPr>
            <w:noProof/>
            <w:webHidden/>
          </w:rPr>
          <w:t>62</w:t>
        </w:r>
        <w:r w:rsidR="0086367A">
          <w:rPr>
            <w:noProof/>
            <w:webHidden/>
          </w:rPr>
          <w:fldChar w:fldCharType="end"/>
        </w:r>
      </w:hyperlink>
    </w:p>
    <w:p w14:paraId="5D61587D" w14:textId="5CD3FADF"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61" w:history="1">
        <w:r w:rsidR="0086367A" w:rsidRPr="0038227D">
          <w:rPr>
            <w:rStyle w:val="Hyperlink"/>
            <w:noProof/>
          </w:rPr>
          <w:t>Table B.2: May 3, 2017 Over/Under Performance – SCE BIP, by Industry Group and Event Hour</w:t>
        </w:r>
        <w:r w:rsidR="0086367A">
          <w:rPr>
            <w:noProof/>
            <w:webHidden/>
          </w:rPr>
          <w:tab/>
        </w:r>
        <w:r w:rsidR="0086367A">
          <w:rPr>
            <w:noProof/>
            <w:webHidden/>
          </w:rPr>
          <w:fldChar w:fldCharType="begin"/>
        </w:r>
        <w:r w:rsidR="0086367A">
          <w:rPr>
            <w:noProof/>
            <w:webHidden/>
          </w:rPr>
          <w:instrText xml:space="preserve"> PAGEREF _Toc508800261 \h </w:instrText>
        </w:r>
        <w:r w:rsidR="0086367A">
          <w:rPr>
            <w:noProof/>
            <w:webHidden/>
          </w:rPr>
        </w:r>
        <w:r w:rsidR="0086367A">
          <w:rPr>
            <w:noProof/>
            <w:webHidden/>
          </w:rPr>
          <w:fldChar w:fldCharType="separate"/>
        </w:r>
        <w:r>
          <w:rPr>
            <w:noProof/>
            <w:webHidden/>
          </w:rPr>
          <w:t>63</w:t>
        </w:r>
        <w:r w:rsidR="0086367A">
          <w:rPr>
            <w:noProof/>
            <w:webHidden/>
          </w:rPr>
          <w:fldChar w:fldCharType="end"/>
        </w:r>
      </w:hyperlink>
    </w:p>
    <w:p w14:paraId="7A8CA3E0" w14:textId="1B45499F"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62" w:history="1">
        <w:r w:rsidR="0086367A" w:rsidRPr="0038227D">
          <w:rPr>
            <w:rStyle w:val="Hyperlink"/>
            <w:noProof/>
          </w:rPr>
          <w:t>Table B.3: August 31, 2017 Over/Under Performance – SDG&amp;E BIP, by Industry Group and Event Hour</w:t>
        </w:r>
        <w:r w:rsidR="0086367A">
          <w:rPr>
            <w:noProof/>
            <w:webHidden/>
          </w:rPr>
          <w:tab/>
        </w:r>
        <w:r w:rsidR="0086367A">
          <w:rPr>
            <w:noProof/>
            <w:webHidden/>
          </w:rPr>
          <w:fldChar w:fldCharType="begin"/>
        </w:r>
        <w:r w:rsidR="0086367A">
          <w:rPr>
            <w:noProof/>
            <w:webHidden/>
          </w:rPr>
          <w:instrText xml:space="preserve"> PAGEREF _Toc508800262 \h </w:instrText>
        </w:r>
        <w:r w:rsidR="0086367A">
          <w:rPr>
            <w:noProof/>
            <w:webHidden/>
          </w:rPr>
        </w:r>
        <w:r w:rsidR="0086367A">
          <w:rPr>
            <w:noProof/>
            <w:webHidden/>
          </w:rPr>
          <w:fldChar w:fldCharType="separate"/>
        </w:r>
        <w:r>
          <w:rPr>
            <w:noProof/>
            <w:webHidden/>
          </w:rPr>
          <w:t>63</w:t>
        </w:r>
        <w:r w:rsidR="0086367A">
          <w:rPr>
            <w:noProof/>
            <w:webHidden/>
          </w:rPr>
          <w:fldChar w:fldCharType="end"/>
        </w:r>
      </w:hyperlink>
    </w:p>
    <w:p w14:paraId="41F20E4A" w14:textId="09F1F23B" w:rsidR="00321E09" w:rsidRDefault="00321E09" w:rsidP="002F6A10">
      <w:pPr>
        <w:spacing w:afterLines="60" w:after="144" w:line="360" w:lineRule="auto"/>
        <w:ind w:left="1181" w:right="720" w:hanging="1181"/>
        <w:jc w:val="center"/>
        <w:rPr>
          <w:b/>
          <w:sz w:val="28"/>
          <w:szCs w:val="28"/>
        </w:rPr>
        <w:sectPr w:rsidR="00321E09" w:rsidSect="00411FC1">
          <w:pgSz w:w="12240" w:h="15840"/>
          <w:pgMar w:top="1440" w:right="1440" w:bottom="1440" w:left="1440" w:header="720" w:footer="720" w:gutter="0"/>
          <w:pgNumType w:fmt="lowerRoman"/>
          <w:cols w:space="720"/>
          <w:docGrid w:linePitch="360"/>
        </w:sectPr>
      </w:pPr>
      <w:r>
        <w:rPr>
          <w:b/>
          <w:sz w:val="28"/>
          <w:szCs w:val="28"/>
        </w:rPr>
        <w:fldChar w:fldCharType="end"/>
      </w:r>
    </w:p>
    <w:p w14:paraId="7E1AF410" w14:textId="77777777" w:rsidR="00321E09" w:rsidRPr="00F8770F" w:rsidRDefault="00321E09" w:rsidP="003F442E">
      <w:pPr>
        <w:jc w:val="center"/>
        <w:rPr>
          <w:b/>
        </w:rPr>
      </w:pPr>
      <w:r w:rsidRPr="00F8770F">
        <w:rPr>
          <w:b/>
        </w:rPr>
        <w:lastRenderedPageBreak/>
        <w:t xml:space="preserve">Figures </w:t>
      </w:r>
    </w:p>
    <w:p w14:paraId="2E239506" w14:textId="6E42B49B" w:rsidR="0086367A" w:rsidRDefault="00321E09">
      <w:pPr>
        <w:pStyle w:val="TableofFigures"/>
        <w:tabs>
          <w:tab w:val="right" w:leader="dot" w:pos="9350"/>
        </w:tabs>
        <w:rPr>
          <w:rFonts w:asciiTheme="minorHAnsi" w:eastAsiaTheme="minorEastAsia" w:hAnsiTheme="minorHAnsi" w:cstheme="minorBidi"/>
          <w:noProof/>
          <w:sz w:val="22"/>
          <w:szCs w:val="22"/>
        </w:rPr>
      </w:pPr>
      <w:r>
        <w:rPr>
          <w:b/>
          <w:sz w:val="28"/>
          <w:szCs w:val="28"/>
        </w:rPr>
        <w:fldChar w:fldCharType="begin"/>
      </w:r>
      <w:r>
        <w:rPr>
          <w:b/>
          <w:sz w:val="28"/>
          <w:szCs w:val="28"/>
        </w:rPr>
        <w:instrText xml:space="preserve"> TOC \h \z \t "Figure Caption" \c </w:instrText>
      </w:r>
      <w:r>
        <w:rPr>
          <w:b/>
          <w:sz w:val="28"/>
          <w:szCs w:val="28"/>
        </w:rPr>
        <w:fldChar w:fldCharType="separate"/>
      </w:r>
      <w:hyperlink w:anchor="_Toc508800263" w:history="1">
        <w:r w:rsidR="0086367A" w:rsidRPr="00945C63">
          <w:rPr>
            <w:rStyle w:val="Hyperlink"/>
            <w:noProof/>
            <w:highlight w:val="lightGray"/>
          </w:rPr>
          <w:t>Figure ES.1: Distribution of BIP Enrolled Load by Industry Type, PG&amp;E</w:t>
        </w:r>
        <w:r w:rsidR="0086367A">
          <w:rPr>
            <w:noProof/>
            <w:webHidden/>
          </w:rPr>
          <w:tab/>
        </w:r>
        <w:r w:rsidR="0086367A">
          <w:rPr>
            <w:noProof/>
            <w:webHidden/>
          </w:rPr>
          <w:fldChar w:fldCharType="begin"/>
        </w:r>
        <w:r w:rsidR="0086367A">
          <w:rPr>
            <w:noProof/>
            <w:webHidden/>
          </w:rPr>
          <w:instrText xml:space="preserve"> PAGEREF _Toc508800263 \h </w:instrText>
        </w:r>
        <w:r w:rsidR="0086367A">
          <w:rPr>
            <w:noProof/>
            <w:webHidden/>
          </w:rPr>
        </w:r>
        <w:r w:rsidR="0086367A">
          <w:rPr>
            <w:noProof/>
            <w:webHidden/>
          </w:rPr>
          <w:fldChar w:fldCharType="separate"/>
        </w:r>
        <w:r w:rsidR="00720E96">
          <w:rPr>
            <w:noProof/>
            <w:webHidden/>
          </w:rPr>
          <w:t>4</w:t>
        </w:r>
        <w:r w:rsidR="0086367A">
          <w:rPr>
            <w:noProof/>
            <w:webHidden/>
          </w:rPr>
          <w:fldChar w:fldCharType="end"/>
        </w:r>
      </w:hyperlink>
    </w:p>
    <w:p w14:paraId="2618DF26" w14:textId="2453E7D6"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64" w:history="1">
        <w:r w:rsidR="0086367A" w:rsidRPr="00945C63">
          <w:rPr>
            <w:rStyle w:val="Hyperlink"/>
            <w:noProof/>
            <w:highlight w:val="lightGray"/>
          </w:rPr>
          <w:t>Figure ES.2: Distribution of BIP Enrolled Load by Industry Type, SCE</w:t>
        </w:r>
        <w:r w:rsidR="0086367A">
          <w:rPr>
            <w:noProof/>
            <w:webHidden/>
          </w:rPr>
          <w:tab/>
        </w:r>
        <w:r w:rsidR="0086367A">
          <w:rPr>
            <w:noProof/>
            <w:webHidden/>
          </w:rPr>
          <w:fldChar w:fldCharType="begin"/>
        </w:r>
        <w:r w:rsidR="0086367A">
          <w:rPr>
            <w:noProof/>
            <w:webHidden/>
          </w:rPr>
          <w:instrText xml:space="preserve"> PAGEREF _Toc508800264 \h </w:instrText>
        </w:r>
        <w:r w:rsidR="0086367A">
          <w:rPr>
            <w:noProof/>
            <w:webHidden/>
          </w:rPr>
        </w:r>
        <w:r w:rsidR="0086367A">
          <w:rPr>
            <w:noProof/>
            <w:webHidden/>
          </w:rPr>
          <w:fldChar w:fldCharType="separate"/>
        </w:r>
        <w:r>
          <w:rPr>
            <w:noProof/>
            <w:webHidden/>
          </w:rPr>
          <w:t>5</w:t>
        </w:r>
        <w:r w:rsidR="0086367A">
          <w:rPr>
            <w:noProof/>
            <w:webHidden/>
          </w:rPr>
          <w:fldChar w:fldCharType="end"/>
        </w:r>
      </w:hyperlink>
    </w:p>
    <w:p w14:paraId="233571B9" w14:textId="5248ABD9"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65" w:history="1">
        <w:r w:rsidR="0086367A" w:rsidRPr="00945C63">
          <w:rPr>
            <w:rStyle w:val="Hyperlink"/>
            <w:noProof/>
          </w:rPr>
          <w:t>Figure ES.3: Distribution of BIP Enrolled Load by Industry Type, SDG&amp;E</w:t>
        </w:r>
        <w:r w:rsidR="0086367A">
          <w:rPr>
            <w:noProof/>
            <w:webHidden/>
          </w:rPr>
          <w:tab/>
        </w:r>
        <w:r w:rsidR="0086367A">
          <w:rPr>
            <w:noProof/>
            <w:webHidden/>
          </w:rPr>
          <w:fldChar w:fldCharType="begin"/>
        </w:r>
        <w:r w:rsidR="0086367A">
          <w:rPr>
            <w:noProof/>
            <w:webHidden/>
          </w:rPr>
          <w:instrText xml:space="preserve"> PAGEREF _Toc508800265 \h </w:instrText>
        </w:r>
        <w:r w:rsidR="0086367A">
          <w:rPr>
            <w:noProof/>
            <w:webHidden/>
          </w:rPr>
        </w:r>
        <w:r w:rsidR="0086367A">
          <w:rPr>
            <w:noProof/>
            <w:webHidden/>
          </w:rPr>
          <w:fldChar w:fldCharType="separate"/>
        </w:r>
        <w:r>
          <w:rPr>
            <w:noProof/>
            <w:webHidden/>
          </w:rPr>
          <w:t>6</w:t>
        </w:r>
        <w:r w:rsidR="0086367A">
          <w:rPr>
            <w:noProof/>
            <w:webHidden/>
          </w:rPr>
          <w:fldChar w:fldCharType="end"/>
        </w:r>
      </w:hyperlink>
    </w:p>
    <w:p w14:paraId="54589388" w14:textId="208DD0C7"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66" w:history="1">
        <w:r w:rsidR="0086367A" w:rsidRPr="00945C63">
          <w:rPr>
            <w:rStyle w:val="Hyperlink"/>
            <w:noProof/>
          </w:rPr>
          <w:t>Figure ES.4: Average August Ex-Ante Load Impacts by Scenario, 2018-2028, PG&amp;E</w:t>
        </w:r>
        <w:r w:rsidR="0086367A">
          <w:rPr>
            <w:noProof/>
            <w:webHidden/>
          </w:rPr>
          <w:tab/>
        </w:r>
        <w:r w:rsidR="0086367A">
          <w:rPr>
            <w:noProof/>
            <w:webHidden/>
          </w:rPr>
          <w:fldChar w:fldCharType="begin"/>
        </w:r>
        <w:r w:rsidR="0086367A">
          <w:rPr>
            <w:noProof/>
            <w:webHidden/>
          </w:rPr>
          <w:instrText xml:space="preserve"> PAGEREF _Toc508800266 \h </w:instrText>
        </w:r>
        <w:r w:rsidR="0086367A">
          <w:rPr>
            <w:noProof/>
            <w:webHidden/>
          </w:rPr>
        </w:r>
        <w:r w:rsidR="0086367A">
          <w:rPr>
            <w:noProof/>
            <w:webHidden/>
          </w:rPr>
          <w:fldChar w:fldCharType="separate"/>
        </w:r>
        <w:r>
          <w:rPr>
            <w:noProof/>
            <w:webHidden/>
          </w:rPr>
          <w:t>8</w:t>
        </w:r>
        <w:r w:rsidR="0086367A">
          <w:rPr>
            <w:noProof/>
            <w:webHidden/>
          </w:rPr>
          <w:fldChar w:fldCharType="end"/>
        </w:r>
      </w:hyperlink>
    </w:p>
    <w:p w14:paraId="6520B3A0" w14:textId="6D4473CE"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67" w:history="1">
        <w:r w:rsidR="0086367A" w:rsidRPr="00945C63">
          <w:rPr>
            <w:rStyle w:val="Hyperlink"/>
            <w:noProof/>
          </w:rPr>
          <w:t>Figure ES.5: Average August Ex-Ante Load Impacts by Year and Scenario, SCE</w:t>
        </w:r>
        <w:r w:rsidR="0086367A">
          <w:rPr>
            <w:noProof/>
            <w:webHidden/>
          </w:rPr>
          <w:tab/>
        </w:r>
        <w:r w:rsidR="0086367A">
          <w:rPr>
            <w:noProof/>
            <w:webHidden/>
          </w:rPr>
          <w:fldChar w:fldCharType="begin"/>
        </w:r>
        <w:r w:rsidR="0086367A">
          <w:rPr>
            <w:noProof/>
            <w:webHidden/>
          </w:rPr>
          <w:instrText xml:space="preserve"> PAGEREF _Toc508800267 \h </w:instrText>
        </w:r>
        <w:r w:rsidR="0086367A">
          <w:rPr>
            <w:noProof/>
            <w:webHidden/>
          </w:rPr>
        </w:r>
        <w:r w:rsidR="0086367A">
          <w:rPr>
            <w:noProof/>
            <w:webHidden/>
          </w:rPr>
          <w:fldChar w:fldCharType="separate"/>
        </w:r>
        <w:r>
          <w:rPr>
            <w:noProof/>
            <w:webHidden/>
          </w:rPr>
          <w:t>8</w:t>
        </w:r>
        <w:r w:rsidR="0086367A">
          <w:rPr>
            <w:noProof/>
            <w:webHidden/>
          </w:rPr>
          <w:fldChar w:fldCharType="end"/>
        </w:r>
      </w:hyperlink>
    </w:p>
    <w:p w14:paraId="3297FE8E" w14:textId="7540266F"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68" w:history="1">
        <w:r w:rsidR="0086367A" w:rsidRPr="00945C63">
          <w:rPr>
            <w:rStyle w:val="Hyperlink"/>
            <w:noProof/>
          </w:rPr>
          <w:t>Figure ES.6: Average August Ex-Ante Load Impacts by Scenario, 2018-2028, SDG&amp;E</w:t>
        </w:r>
        <w:r w:rsidR="0086367A">
          <w:rPr>
            <w:noProof/>
            <w:webHidden/>
          </w:rPr>
          <w:tab/>
        </w:r>
        <w:r w:rsidR="0086367A">
          <w:rPr>
            <w:noProof/>
            <w:webHidden/>
          </w:rPr>
          <w:fldChar w:fldCharType="begin"/>
        </w:r>
        <w:r w:rsidR="0086367A">
          <w:rPr>
            <w:noProof/>
            <w:webHidden/>
          </w:rPr>
          <w:instrText xml:space="preserve"> PAGEREF _Toc508800268 \h </w:instrText>
        </w:r>
        <w:r w:rsidR="0086367A">
          <w:rPr>
            <w:noProof/>
            <w:webHidden/>
          </w:rPr>
        </w:r>
        <w:r w:rsidR="0086367A">
          <w:rPr>
            <w:noProof/>
            <w:webHidden/>
          </w:rPr>
          <w:fldChar w:fldCharType="separate"/>
        </w:r>
        <w:r>
          <w:rPr>
            <w:noProof/>
            <w:webHidden/>
          </w:rPr>
          <w:t>9</w:t>
        </w:r>
        <w:r w:rsidR="0086367A">
          <w:rPr>
            <w:noProof/>
            <w:webHidden/>
          </w:rPr>
          <w:fldChar w:fldCharType="end"/>
        </w:r>
      </w:hyperlink>
    </w:p>
    <w:p w14:paraId="0C0D69FA" w14:textId="79E2B495"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69" w:history="1">
        <w:r w:rsidR="0086367A" w:rsidRPr="00945C63">
          <w:rPr>
            <w:rStyle w:val="Hyperlink"/>
            <w:noProof/>
          </w:rPr>
          <w:t>Figure 4.1: BIP Loads for the May 3, 2017 Event Day, PG&amp;E</w:t>
        </w:r>
        <w:r w:rsidR="0086367A">
          <w:rPr>
            <w:noProof/>
            <w:webHidden/>
          </w:rPr>
          <w:tab/>
        </w:r>
        <w:r w:rsidR="0086367A">
          <w:rPr>
            <w:noProof/>
            <w:webHidden/>
          </w:rPr>
          <w:fldChar w:fldCharType="begin"/>
        </w:r>
        <w:r w:rsidR="0086367A">
          <w:rPr>
            <w:noProof/>
            <w:webHidden/>
          </w:rPr>
          <w:instrText xml:space="preserve"> PAGEREF _Toc508800269 \h </w:instrText>
        </w:r>
        <w:r w:rsidR="0086367A">
          <w:rPr>
            <w:noProof/>
            <w:webHidden/>
          </w:rPr>
        </w:r>
        <w:r w:rsidR="0086367A">
          <w:rPr>
            <w:noProof/>
            <w:webHidden/>
          </w:rPr>
          <w:fldChar w:fldCharType="separate"/>
        </w:r>
        <w:r>
          <w:rPr>
            <w:noProof/>
            <w:webHidden/>
          </w:rPr>
          <w:t>22</w:t>
        </w:r>
        <w:r w:rsidR="0086367A">
          <w:rPr>
            <w:noProof/>
            <w:webHidden/>
          </w:rPr>
          <w:fldChar w:fldCharType="end"/>
        </w:r>
      </w:hyperlink>
    </w:p>
    <w:p w14:paraId="79A74DDF" w14:textId="65759263"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70" w:history="1">
        <w:r w:rsidR="0086367A" w:rsidRPr="00945C63">
          <w:rPr>
            <w:rStyle w:val="Hyperlink"/>
            <w:noProof/>
          </w:rPr>
          <w:t>Figure 4.2: Hourly Load Impacts per Customer by Event, PG&amp;E BIP</w:t>
        </w:r>
        <w:r w:rsidR="0086367A">
          <w:rPr>
            <w:noProof/>
            <w:webHidden/>
          </w:rPr>
          <w:tab/>
        </w:r>
        <w:r w:rsidR="0086367A">
          <w:rPr>
            <w:noProof/>
            <w:webHidden/>
          </w:rPr>
          <w:fldChar w:fldCharType="begin"/>
        </w:r>
        <w:r w:rsidR="0086367A">
          <w:rPr>
            <w:noProof/>
            <w:webHidden/>
          </w:rPr>
          <w:instrText xml:space="preserve"> PAGEREF _Toc508800270 \h </w:instrText>
        </w:r>
        <w:r w:rsidR="0086367A">
          <w:rPr>
            <w:noProof/>
            <w:webHidden/>
          </w:rPr>
        </w:r>
        <w:r w:rsidR="0086367A">
          <w:rPr>
            <w:noProof/>
            <w:webHidden/>
          </w:rPr>
          <w:fldChar w:fldCharType="separate"/>
        </w:r>
        <w:r>
          <w:rPr>
            <w:noProof/>
            <w:webHidden/>
          </w:rPr>
          <w:t>22</w:t>
        </w:r>
        <w:r w:rsidR="0086367A">
          <w:rPr>
            <w:noProof/>
            <w:webHidden/>
          </w:rPr>
          <w:fldChar w:fldCharType="end"/>
        </w:r>
      </w:hyperlink>
    </w:p>
    <w:p w14:paraId="22634ABE" w14:textId="3437C21E"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71" w:history="1">
        <w:r w:rsidR="0086367A" w:rsidRPr="00945C63">
          <w:rPr>
            <w:rStyle w:val="Hyperlink"/>
            <w:noProof/>
          </w:rPr>
          <w:t>Figure 4.3: BIP Load Impacts for the May 3, 2017 Event Day, SCE</w:t>
        </w:r>
        <w:r w:rsidR="0086367A">
          <w:rPr>
            <w:noProof/>
            <w:webHidden/>
          </w:rPr>
          <w:tab/>
        </w:r>
        <w:r w:rsidR="0086367A">
          <w:rPr>
            <w:noProof/>
            <w:webHidden/>
          </w:rPr>
          <w:fldChar w:fldCharType="begin"/>
        </w:r>
        <w:r w:rsidR="0086367A">
          <w:rPr>
            <w:noProof/>
            <w:webHidden/>
          </w:rPr>
          <w:instrText xml:space="preserve"> PAGEREF _Toc508800271 \h </w:instrText>
        </w:r>
        <w:r w:rsidR="0086367A">
          <w:rPr>
            <w:noProof/>
            <w:webHidden/>
          </w:rPr>
        </w:r>
        <w:r w:rsidR="0086367A">
          <w:rPr>
            <w:noProof/>
            <w:webHidden/>
          </w:rPr>
          <w:fldChar w:fldCharType="separate"/>
        </w:r>
        <w:r>
          <w:rPr>
            <w:noProof/>
            <w:webHidden/>
          </w:rPr>
          <w:t>25</w:t>
        </w:r>
        <w:r w:rsidR="0086367A">
          <w:rPr>
            <w:noProof/>
            <w:webHidden/>
          </w:rPr>
          <w:fldChar w:fldCharType="end"/>
        </w:r>
      </w:hyperlink>
    </w:p>
    <w:p w14:paraId="56370FB2" w14:textId="5B47079C"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72" w:history="1">
        <w:r w:rsidR="0086367A" w:rsidRPr="00945C63">
          <w:rPr>
            <w:rStyle w:val="Hyperlink"/>
            <w:noProof/>
          </w:rPr>
          <w:t>Figure 4.4: BIP August 31, 2017 Load Impacts, SDG&amp;E</w:t>
        </w:r>
        <w:r w:rsidR="0086367A">
          <w:rPr>
            <w:noProof/>
            <w:webHidden/>
          </w:rPr>
          <w:tab/>
        </w:r>
        <w:r w:rsidR="0086367A">
          <w:rPr>
            <w:noProof/>
            <w:webHidden/>
          </w:rPr>
          <w:fldChar w:fldCharType="begin"/>
        </w:r>
        <w:r w:rsidR="0086367A">
          <w:rPr>
            <w:noProof/>
            <w:webHidden/>
          </w:rPr>
          <w:instrText xml:space="preserve"> PAGEREF _Toc508800272 \h </w:instrText>
        </w:r>
        <w:r w:rsidR="0086367A">
          <w:rPr>
            <w:noProof/>
            <w:webHidden/>
          </w:rPr>
        </w:r>
        <w:r w:rsidR="0086367A">
          <w:rPr>
            <w:noProof/>
            <w:webHidden/>
          </w:rPr>
          <w:fldChar w:fldCharType="separate"/>
        </w:r>
        <w:r>
          <w:rPr>
            <w:noProof/>
            <w:webHidden/>
          </w:rPr>
          <w:t>28</w:t>
        </w:r>
        <w:r w:rsidR="0086367A">
          <w:rPr>
            <w:noProof/>
            <w:webHidden/>
          </w:rPr>
          <w:fldChar w:fldCharType="end"/>
        </w:r>
      </w:hyperlink>
    </w:p>
    <w:p w14:paraId="1962141B" w14:textId="48C9D54E"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73" w:history="1">
        <w:r w:rsidR="0086367A" w:rsidRPr="00945C63">
          <w:rPr>
            <w:rStyle w:val="Hyperlink"/>
            <w:noProof/>
          </w:rPr>
          <w:t>Figure 5.1: Number of Enrolled Customers in Each Forecast Year, SCE</w:t>
        </w:r>
        <w:r w:rsidR="0086367A">
          <w:rPr>
            <w:noProof/>
            <w:webHidden/>
          </w:rPr>
          <w:tab/>
        </w:r>
        <w:r w:rsidR="0086367A">
          <w:rPr>
            <w:noProof/>
            <w:webHidden/>
          </w:rPr>
          <w:fldChar w:fldCharType="begin"/>
        </w:r>
        <w:r w:rsidR="0086367A">
          <w:rPr>
            <w:noProof/>
            <w:webHidden/>
          </w:rPr>
          <w:instrText xml:space="preserve"> PAGEREF _Toc508800273 \h </w:instrText>
        </w:r>
        <w:r w:rsidR="0086367A">
          <w:rPr>
            <w:noProof/>
            <w:webHidden/>
          </w:rPr>
        </w:r>
        <w:r w:rsidR="0086367A">
          <w:rPr>
            <w:noProof/>
            <w:webHidden/>
          </w:rPr>
          <w:fldChar w:fldCharType="separate"/>
        </w:r>
        <w:r>
          <w:rPr>
            <w:noProof/>
            <w:webHidden/>
          </w:rPr>
          <w:t>34</w:t>
        </w:r>
        <w:r w:rsidR="0086367A">
          <w:rPr>
            <w:noProof/>
            <w:webHidden/>
          </w:rPr>
          <w:fldChar w:fldCharType="end"/>
        </w:r>
      </w:hyperlink>
    </w:p>
    <w:p w14:paraId="62AA0D9F" w14:textId="1E856AFC"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74" w:history="1">
        <w:r w:rsidR="0086367A" w:rsidRPr="00945C63">
          <w:rPr>
            <w:rStyle w:val="Hyperlink"/>
            <w:noProof/>
          </w:rPr>
          <w:t>Figure 5.2: PG&amp;E Hourly Event Day Load Impacts for the August 2018 Event Day in a Utility-Specific 1-in-2 Weather</w:t>
        </w:r>
        <w:r w:rsidR="0086367A">
          <w:rPr>
            <w:noProof/>
            <w:webHidden/>
          </w:rPr>
          <w:tab/>
        </w:r>
        <w:r w:rsidR="0086367A">
          <w:rPr>
            <w:noProof/>
            <w:webHidden/>
          </w:rPr>
          <w:fldChar w:fldCharType="begin"/>
        </w:r>
        <w:r w:rsidR="0086367A">
          <w:rPr>
            <w:noProof/>
            <w:webHidden/>
          </w:rPr>
          <w:instrText xml:space="preserve"> PAGEREF _Toc508800274 \h </w:instrText>
        </w:r>
        <w:r w:rsidR="0086367A">
          <w:rPr>
            <w:noProof/>
            <w:webHidden/>
          </w:rPr>
        </w:r>
        <w:r w:rsidR="0086367A">
          <w:rPr>
            <w:noProof/>
            <w:webHidden/>
          </w:rPr>
          <w:fldChar w:fldCharType="separate"/>
        </w:r>
        <w:r>
          <w:rPr>
            <w:noProof/>
            <w:webHidden/>
          </w:rPr>
          <w:t>35</w:t>
        </w:r>
        <w:r w:rsidR="0086367A">
          <w:rPr>
            <w:noProof/>
            <w:webHidden/>
          </w:rPr>
          <w:fldChar w:fldCharType="end"/>
        </w:r>
      </w:hyperlink>
    </w:p>
    <w:p w14:paraId="30D98758" w14:textId="3BD0C9E1"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75" w:history="1">
        <w:r w:rsidR="0086367A" w:rsidRPr="00945C63">
          <w:rPr>
            <w:rStyle w:val="Hyperlink"/>
            <w:noProof/>
            <w:highlight w:val="lightGray"/>
            <w:shd w:val="clear" w:color="auto" w:fill="E7E6E6" w:themeFill="background2"/>
          </w:rPr>
          <w:t>Figure 5.3: Share of PG&amp;E Load Impacts by LCA for the August 2018 Event Day in a Utility-specific 1</w:t>
        </w:r>
        <w:r w:rsidR="0086367A" w:rsidRPr="00945C63">
          <w:rPr>
            <w:rStyle w:val="Hyperlink"/>
            <w:noProof/>
            <w:highlight w:val="lightGray"/>
            <w:shd w:val="clear" w:color="auto" w:fill="E7E6E6" w:themeFill="background2"/>
          </w:rPr>
          <w:noBreakHyphen/>
          <w:t>in</w:t>
        </w:r>
        <w:r w:rsidR="0086367A" w:rsidRPr="00945C63">
          <w:rPr>
            <w:rStyle w:val="Hyperlink"/>
            <w:noProof/>
            <w:highlight w:val="lightGray"/>
            <w:shd w:val="clear" w:color="auto" w:fill="E7E6E6" w:themeFill="background2"/>
          </w:rPr>
          <w:noBreakHyphen/>
          <w:t>2 Weather Year</w:t>
        </w:r>
        <w:r w:rsidR="0086367A">
          <w:rPr>
            <w:noProof/>
            <w:webHidden/>
          </w:rPr>
          <w:tab/>
        </w:r>
        <w:r w:rsidR="0086367A">
          <w:rPr>
            <w:noProof/>
            <w:webHidden/>
          </w:rPr>
          <w:fldChar w:fldCharType="begin"/>
        </w:r>
        <w:r w:rsidR="0086367A">
          <w:rPr>
            <w:noProof/>
            <w:webHidden/>
          </w:rPr>
          <w:instrText xml:space="preserve"> PAGEREF _Toc508800275 \h </w:instrText>
        </w:r>
        <w:r w:rsidR="0086367A">
          <w:rPr>
            <w:noProof/>
            <w:webHidden/>
          </w:rPr>
        </w:r>
        <w:r w:rsidR="0086367A">
          <w:rPr>
            <w:noProof/>
            <w:webHidden/>
          </w:rPr>
          <w:fldChar w:fldCharType="separate"/>
        </w:r>
        <w:r>
          <w:rPr>
            <w:noProof/>
            <w:webHidden/>
          </w:rPr>
          <w:t>35</w:t>
        </w:r>
        <w:r w:rsidR="0086367A">
          <w:rPr>
            <w:noProof/>
            <w:webHidden/>
          </w:rPr>
          <w:fldChar w:fldCharType="end"/>
        </w:r>
      </w:hyperlink>
    </w:p>
    <w:p w14:paraId="242A1B1B" w14:textId="7A03B3DC"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76" w:history="1">
        <w:r w:rsidR="0086367A" w:rsidRPr="00945C63">
          <w:rPr>
            <w:rStyle w:val="Hyperlink"/>
            <w:noProof/>
          </w:rPr>
          <w:t>Figure 5.4:  Average August Ex-ante Load Impacts by Scenario, 2018-2028, PG&amp;E</w:t>
        </w:r>
        <w:r w:rsidR="0086367A">
          <w:rPr>
            <w:noProof/>
            <w:webHidden/>
          </w:rPr>
          <w:tab/>
        </w:r>
        <w:r w:rsidR="0086367A">
          <w:rPr>
            <w:noProof/>
            <w:webHidden/>
          </w:rPr>
          <w:fldChar w:fldCharType="begin"/>
        </w:r>
        <w:r w:rsidR="0086367A">
          <w:rPr>
            <w:noProof/>
            <w:webHidden/>
          </w:rPr>
          <w:instrText xml:space="preserve"> PAGEREF _Toc508800276 \h </w:instrText>
        </w:r>
        <w:r w:rsidR="0086367A">
          <w:rPr>
            <w:noProof/>
            <w:webHidden/>
          </w:rPr>
        </w:r>
        <w:r w:rsidR="0086367A">
          <w:rPr>
            <w:noProof/>
            <w:webHidden/>
          </w:rPr>
          <w:fldChar w:fldCharType="separate"/>
        </w:r>
        <w:r>
          <w:rPr>
            <w:noProof/>
            <w:webHidden/>
          </w:rPr>
          <w:t>36</w:t>
        </w:r>
        <w:r w:rsidR="0086367A">
          <w:rPr>
            <w:noProof/>
            <w:webHidden/>
          </w:rPr>
          <w:fldChar w:fldCharType="end"/>
        </w:r>
      </w:hyperlink>
    </w:p>
    <w:p w14:paraId="7E5E9001" w14:textId="5ED1E3E3"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77" w:history="1">
        <w:r w:rsidR="0086367A" w:rsidRPr="00945C63">
          <w:rPr>
            <w:rStyle w:val="Hyperlink"/>
            <w:noProof/>
          </w:rPr>
          <w:t>Figure 5.5: SCE Hourly Event Day Load Impacts for the 2018 August Event Day in a Utility-Specific 1-in-2 Weather Year</w:t>
        </w:r>
        <w:r w:rsidR="0086367A">
          <w:rPr>
            <w:noProof/>
            <w:webHidden/>
          </w:rPr>
          <w:tab/>
        </w:r>
        <w:r w:rsidR="0086367A">
          <w:rPr>
            <w:noProof/>
            <w:webHidden/>
          </w:rPr>
          <w:fldChar w:fldCharType="begin"/>
        </w:r>
        <w:r w:rsidR="0086367A">
          <w:rPr>
            <w:noProof/>
            <w:webHidden/>
          </w:rPr>
          <w:instrText xml:space="preserve"> PAGEREF _Toc508800277 \h </w:instrText>
        </w:r>
        <w:r w:rsidR="0086367A">
          <w:rPr>
            <w:noProof/>
            <w:webHidden/>
          </w:rPr>
        </w:r>
        <w:r w:rsidR="0086367A">
          <w:rPr>
            <w:noProof/>
            <w:webHidden/>
          </w:rPr>
          <w:fldChar w:fldCharType="separate"/>
        </w:r>
        <w:r>
          <w:rPr>
            <w:noProof/>
            <w:webHidden/>
          </w:rPr>
          <w:t>37</w:t>
        </w:r>
        <w:r w:rsidR="0086367A">
          <w:rPr>
            <w:noProof/>
            <w:webHidden/>
          </w:rPr>
          <w:fldChar w:fldCharType="end"/>
        </w:r>
      </w:hyperlink>
    </w:p>
    <w:p w14:paraId="0CC77538" w14:textId="21EC929C"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78" w:history="1">
        <w:r w:rsidR="0086367A" w:rsidRPr="00945C63">
          <w:rPr>
            <w:rStyle w:val="Hyperlink"/>
            <w:noProof/>
            <w:highlight w:val="lightGray"/>
            <w:shd w:val="clear" w:color="auto" w:fill="E7E6E6" w:themeFill="background2"/>
          </w:rPr>
          <w:t>Figure 5.6: Share of SCE Load Impacts by LCA for the August 2018 Event Day in a Utility-specific 1</w:t>
        </w:r>
        <w:r w:rsidR="0086367A" w:rsidRPr="00945C63">
          <w:rPr>
            <w:rStyle w:val="Hyperlink"/>
            <w:noProof/>
            <w:highlight w:val="lightGray"/>
            <w:shd w:val="clear" w:color="auto" w:fill="E7E6E6" w:themeFill="background2"/>
          </w:rPr>
          <w:noBreakHyphen/>
          <w:t>in</w:t>
        </w:r>
        <w:r w:rsidR="0086367A" w:rsidRPr="00945C63">
          <w:rPr>
            <w:rStyle w:val="Hyperlink"/>
            <w:noProof/>
            <w:highlight w:val="lightGray"/>
            <w:shd w:val="clear" w:color="auto" w:fill="E7E6E6" w:themeFill="background2"/>
          </w:rPr>
          <w:noBreakHyphen/>
          <w:t>2 Weather Year</w:t>
        </w:r>
        <w:r w:rsidR="0086367A">
          <w:rPr>
            <w:noProof/>
            <w:webHidden/>
          </w:rPr>
          <w:tab/>
        </w:r>
        <w:r w:rsidR="0086367A">
          <w:rPr>
            <w:noProof/>
            <w:webHidden/>
          </w:rPr>
          <w:fldChar w:fldCharType="begin"/>
        </w:r>
        <w:r w:rsidR="0086367A">
          <w:rPr>
            <w:noProof/>
            <w:webHidden/>
          </w:rPr>
          <w:instrText xml:space="preserve"> PAGEREF _Toc508800278 \h </w:instrText>
        </w:r>
        <w:r w:rsidR="0086367A">
          <w:rPr>
            <w:noProof/>
            <w:webHidden/>
          </w:rPr>
        </w:r>
        <w:r w:rsidR="0086367A">
          <w:rPr>
            <w:noProof/>
            <w:webHidden/>
          </w:rPr>
          <w:fldChar w:fldCharType="separate"/>
        </w:r>
        <w:r>
          <w:rPr>
            <w:noProof/>
            <w:webHidden/>
          </w:rPr>
          <w:t>38</w:t>
        </w:r>
        <w:r w:rsidR="0086367A">
          <w:rPr>
            <w:noProof/>
            <w:webHidden/>
          </w:rPr>
          <w:fldChar w:fldCharType="end"/>
        </w:r>
      </w:hyperlink>
    </w:p>
    <w:p w14:paraId="5AE8ACC0" w14:textId="4845AD17"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79" w:history="1">
        <w:r w:rsidR="0086367A" w:rsidRPr="00945C63">
          <w:rPr>
            <w:rStyle w:val="Hyperlink"/>
            <w:noProof/>
            <w:highlight w:val="lightGray"/>
          </w:rPr>
          <w:t>Figure 5.7: Share of SCE Load Impacts by Notification Time for the August 2018 Event Day in a Utility-specific 1</w:t>
        </w:r>
        <w:r w:rsidR="0086367A" w:rsidRPr="00945C63">
          <w:rPr>
            <w:rStyle w:val="Hyperlink"/>
            <w:noProof/>
            <w:highlight w:val="lightGray"/>
          </w:rPr>
          <w:noBreakHyphen/>
          <w:t>in</w:t>
        </w:r>
        <w:r w:rsidR="0086367A" w:rsidRPr="00945C63">
          <w:rPr>
            <w:rStyle w:val="Hyperlink"/>
            <w:noProof/>
            <w:highlight w:val="lightGray"/>
          </w:rPr>
          <w:noBreakHyphen/>
          <w:t>2 Weather Year</w:t>
        </w:r>
        <w:r w:rsidR="0086367A">
          <w:rPr>
            <w:noProof/>
            <w:webHidden/>
          </w:rPr>
          <w:tab/>
        </w:r>
        <w:r w:rsidR="0086367A">
          <w:rPr>
            <w:noProof/>
            <w:webHidden/>
          </w:rPr>
          <w:fldChar w:fldCharType="begin"/>
        </w:r>
        <w:r w:rsidR="0086367A">
          <w:rPr>
            <w:noProof/>
            <w:webHidden/>
          </w:rPr>
          <w:instrText xml:space="preserve"> PAGEREF _Toc508800279 \h </w:instrText>
        </w:r>
        <w:r w:rsidR="0086367A">
          <w:rPr>
            <w:noProof/>
            <w:webHidden/>
          </w:rPr>
        </w:r>
        <w:r w:rsidR="0086367A">
          <w:rPr>
            <w:noProof/>
            <w:webHidden/>
          </w:rPr>
          <w:fldChar w:fldCharType="separate"/>
        </w:r>
        <w:r>
          <w:rPr>
            <w:noProof/>
            <w:webHidden/>
          </w:rPr>
          <w:t>38</w:t>
        </w:r>
        <w:r w:rsidR="0086367A">
          <w:rPr>
            <w:noProof/>
            <w:webHidden/>
          </w:rPr>
          <w:fldChar w:fldCharType="end"/>
        </w:r>
      </w:hyperlink>
    </w:p>
    <w:p w14:paraId="2B381F90" w14:textId="1843C5F4"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80" w:history="1">
        <w:r w:rsidR="0086367A" w:rsidRPr="00945C63">
          <w:rPr>
            <w:rStyle w:val="Hyperlink"/>
            <w:noProof/>
          </w:rPr>
          <w:t>Figure 5.8:  Average August Ex-ante Load Impacts by Scenario and Year, SCE</w:t>
        </w:r>
        <w:r w:rsidR="0086367A">
          <w:rPr>
            <w:noProof/>
            <w:webHidden/>
          </w:rPr>
          <w:tab/>
        </w:r>
        <w:r w:rsidR="0086367A">
          <w:rPr>
            <w:noProof/>
            <w:webHidden/>
          </w:rPr>
          <w:fldChar w:fldCharType="begin"/>
        </w:r>
        <w:r w:rsidR="0086367A">
          <w:rPr>
            <w:noProof/>
            <w:webHidden/>
          </w:rPr>
          <w:instrText xml:space="preserve"> PAGEREF _Toc508800280 \h </w:instrText>
        </w:r>
        <w:r w:rsidR="0086367A">
          <w:rPr>
            <w:noProof/>
            <w:webHidden/>
          </w:rPr>
        </w:r>
        <w:r w:rsidR="0086367A">
          <w:rPr>
            <w:noProof/>
            <w:webHidden/>
          </w:rPr>
          <w:fldChar w:fldCharType="separate"/>
        </w:r>
        <w:r>
          <w:rPr>
            <w:noProof/>
            <w:webHidden/>
          </w:rPr>
          <w:t>39</w:t>
        </w:r>
        <w:r w:rsidR="0086367A">
          <w:rPr>
            <w:noProof/>
            <w:webHidden/>
          </w:rPr>
          <w:fldChar w:fldCharType="end"/>
        </w:r>
      </w:hyperlink>
    </w:p>
    <w:p w14:paraId="231F9AAD" w14:textId="3913C888"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81" w:history="1">
        <w:r w:rsidR="0086367A" w:rsidRPr="00945C63">
          <w:rPr>
            <w:rStyle w:val="Hyperlink"/>
            <w:noProof/>
          </w:rPr>
          <w:t>Figure 5.9: SDG&amp;E Hourly Event Day Load Impacts for the August 2018 Event Day in a Utility-Specific 1-in-2 Weather Year</w:t>
        </w:r>
        <w:r w:rsidR="0086367A">
          <w:rPr>
            <w:noProof/>
            <w:webHidden/>
          </w:rPr>
          <w:tab/>
        </w:r>
        <w:r w:rsidR="0086367A">
          <w:rPr>
            <w:noProof/>
            <w:webHidden/>
          </w:rPr>
          <w:fldChar w:fldCharType="begin"/>
        </w:r>
        <w:r w:rsidR="0086367A">
          <w:rPr>
            <w:noProof/>
            <w:webHidden/>
          </w:rPr>
          <w:instrText xml:space="preserve"> PAGEREF _Toc508800281 \h </w:instrText>
        </w:r>
        <w:r w:rsidR="0086367A">
          <w:rPr>
            <w:noProof/>
            <w:webHidden/>
          </w:rPr>
        </w:r>
        <w:r w:rsidR="0086367A">
          <w:rPr>
            <w:noProof/>
            <w:webHidden/>
          </w:rPr>
          <w:fldChar w:fldCharType="separate"/>
        </w:r>
        <w:r>
          <w:rPr>
            <w:noProof/>
            <w:webHidden/>
          </w:rPr>
          <w:t>40</w:t>
        </w:r>
        <w:r w:rsidR="0086367A">
          <w:rPr>
            <w:noProof/>
            <w:webHidden/>
          </w:rPr>
          <w:fldChar w:fldCharType="end"/>
        </w:r>
      </w:hyperlink>
    </w:p>
    <w:p w14:paraId="0E7D9DA4" w14:textId="7C5494C2"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82" w:history="1">
        <w:r w:rsidR="0086367A" w:rsidRPr="00945C63">
          <w:rPr>
            <w:rStyle w:val="Hyperlink"/>
            <w:noProof/>
          </w:rPr>
          <w:t>Figure 5.10:  Average August Ex-ante Load Impacts by Scenario, 2018-2028, SDG&amp;E</w:t>
        </w:r>
        <w:r w:rsidR="0086367A">
          <w:rPr>
            <w:noProof/>
            <w:webHidden/>
          </w:rPr>
          <w:tab/>
        </w:r>
        <w:r w:rsidR="0086367A">
          <w:rPr>
            <w:noProof/>
            <w:webHidden/>
          </w:rPr>
          <w:fldChar w:fldCharType="begin"/>
        </w:r>
        <w:r w:rsidR="0086367A">
          <w:rPr>
            <w:noProof/>
            <w:webHidden/>
          </w:rPr>
          <w:instrText xml:space="preserve"> PAGEREF _Toc508800282 \h </w:instrText>
        </w:r>
        <w:r w:rsidR="0086367A">
          <w:rPr>
            <w:noProof/>
            <w:webHidden/>
          </w:rPr>
        </w:r>
        <w:r w:rsidR="0086367A">
          <w:rPr>
            <w:noProof/>
            <w:webHidden/>
          </w:rPr>
          <w:fldChar w:fldCharType="separate"/>
        </w:r>
        <w:r>
          <w:rPr>
            <w:noProof/>
            <w:webHidden/>
          </w:rPr>
          <w:t>40</w:t>
        </w:r>
        <w:r w:rsidR="0086367A">
          <w:rPr>
            <w:noProof/>
            <w:webHidden/>
          </w:rPr>
          <w:fldChar w:fldCharType="end"/>
        </w:r>
      </w:hyperlink>
    </w:p>
    <w:p w14:paraId="0415584D" w14:textId="2044CE6E"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83" w:history="1">
        <w:r w:rsidR="0086367A" w:rsidRPr="00945C63">
          <w:rPr>
            <w:rStyle w:val="Hyperlink"/>
            <w:noProof/>
          </w:rPr>
          <w:t>Figure A.1: Average Predicted and Observed Loads on Event-like Days, PG&amp;E</w:t>
        </w:r>
        <w:r w:rsidR="0086367A">
          <w:rPr>
            <w:noProof/>
            <w:webHidden/>
          </w:rPr>
          <w:tab/>
        </w:r>
        <w:r w:rsidR="0086367A">
          <w:rPr>
            <w:noProof/>
            <w:webHidden/>
          </w:rPr>
          <w:fldChar w:fldCharType="begin"/>
        </w:r>
        <w:r w:rsidR="0086367A">
          <w:rPr>
            <w:noProof/>
            <w:webHidden/>
          </w:rPr>
          <w:instrText xml:space="preserve"> PAGEREF _Toc508800283 \h </w:instrText>
        </w:r>
        <w:r w:rsidR="0086367A">
          <w:rPr>
            <w:noProof/>
            <w:webHidden/>
          </w:rPr>
        </w:r>
        <w:r w:rsidR="0086367A">
          <w:rPr>
            <w:noProof/>
            <w:webHidden/>
          </w:rPr>
          <w:fldChar w:fldCharType="separate"/>
        </w:r>
        <w:r>
          <w:rPr>
            <w:noProof/>
            <w:webHidden/>
          </w:rPr>
          <w:t>61</w:t>
        </w:r>
        <w:r w:rsidR="0086367A">
          <w:rPr>
            <w:noProof/>
            <w:webHidden/>
          </w:rPr>
          <w:fldChar w:fldCharType="end"/>
        </w:r>
      </w:hyperlink>
    </w:p>
    <w:p w14:paraId="41E92C88" w14:textId="5860761A"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84" w:history="1">
        <w:r w:rsidR="0086367A" w:rsidRPr="00945C63">
          <w:rPr>
            <w:rStyle w:val="Hyperlink"/>
            <w:noProof/>
          </w:rPr>
          <w:t>Figure A.2: Average Predicted and Observed Loads on Event-like Days, SCE</w:t>
        </w:r>
        <w:r w:rsidR="0086367A">
          <w:rPr>
            <w:noProof/>
            <w:webHidden/>
          </w:rPr>
          <w:tab/>
        </w:r>
        <w:r w:rsidR="0086367A">
          <w:rPr>
            <w:noProof/>
            <w:webHidden/>
          </w:rPr>
          <w:fldChar w:fldCharType="begin"/>
        </w:r>
        <w:r w:rsidR="0086367A">
          <w:rPr>
            <w:noProof/>
            <w:webHidden/>
          </w:rPr>
          <w:instrText xml:space="preserve"> PAGEREF _Toc508800284 \h </w:instrText>
        </w:r>
        <w:r w:rsidR="0086367A">
          <w:rPr>
            <w:noProof/>
            <w:webHidden/>
          </w:rPr>
        </w:r>
        <w:r w:rsidR="0086367A">
          <w:rPr>
            <w:noProof/>
            <w:webHidden/>
          </w:rPr>
          <w:fldChar w:fldCharType="separate"/>
        </w:r>
        <w:r>
          <w:rPr>
            <w:noProof/>
            <w:webHidden/>
          </w:rPr>
          <w:t>61</w:t>
        </w:r>
        <w:r w:rsidR="0086367A">
          <w:rPr>
            <w:noProof/>
            <w:webHidden/>
          </w:rPr>
          <w:fldChar w:fldCharType="end"/>
        </w:r>
      </w:hyperlink>
    </w:p>
    <w:p w14:paraId="295E3DD7" w14:textId="2C470890" w:rsidR="0086367A" w:rsidRDefault="00720E96">
      <w:pPr>
        <w:pStyle w:val="TableofFigures"/>
        <w:tabs>
          <w:tab w:val="right" w:leader="dot" w:pos="9350"/>
        </w:tabs>
        <w:rPr>
          <w:rFonts w:asciiTheme="minorHAnsi" w:eastAsiaTheme="minorEastAsia" w:hAnsiTheme="minorHAnsi" w:cstheme="minorBidi"/>
          <w:noProof/>
          <w:sz w:val="22"/>
          <w:szCs w:val="22"/>
        </w:rPr>
      </w:pPr>
      <w:hyperlink w:anchor="_Toc508800285" w:history="1">
        <w:r w:rsidR="0086367A" w:rsidRPr="00945C63">
          <w:rPr>
            <w:rStyle w:val="Hyperlink"/>
            <w:noProof/>
          </w:rPr>
          <w:t>Figure A.3: Average Predicted and Observed Loads on Event-like Days, SDG&amp;E</w:t>
        </w:r>
        <w:r w:rsidR="0086367A">
          <w:rPr>
            <w:noProof/>
            <w:webHidden/>
          </w:rPr>
          <w:tab/>
        </w:r>
        <w:r w:rsidR="0086367A">
          <w:rPr>
            <w:noProof/>
            <w:webHidden/>
          </w:rPr>
          <w:fldChar w:fldCharType="begin"/>
        </w:r>
        <w:r w:rsidR="0086367A">
          <w:rPr>
            <w:noProof/>
            <w:webHidden/>
          </w:rPr>
          <w:instrText xml:space="preserve"> PAGEREF _Toc508800285 \h </w:instrText>
        </w:r>
        <w:r w:rsidR="0086367A">
          <w:rPr>
            <w:noProof/>
            <w:webHidden/>
          </w:rPr>
        </w:r>
        <w:r w:rsidR="0086367A">
          <w:rPr>
            <w:noProof/>
            <w:webHidden/>
          </w:rPr>
          <w:fldChar w:fldCharType="separate"/>
        </w:r>
        <w:r>
          <w:rPr>
            <w:noProof/>
            <w:webHidden/>
          </w:rPr>
          <w:t>62</w:t>
        </w:r>
        <w:r w:rsidR="0086367A">
          <w:rPr>
            <w:noProof/>
            <w:webHidden/>
          </w:rPr>
          <w:fldChar w:fldCharType="end"/>
        </w:r>
      </w:hyperlink>
    </w:p>
    <w:p w14:paraId="0E4EE11E" w14:textId="2F6AC566" w:rsidR="00321E09" w:rsidRDefault="00321E09" w:rsidP="00321E09">
      <w:pPr>
        <w:tabs>
          <w:tab w:val="left" w:pos="1080"/>
          <w:tab w:val="right" w:leader="dot" w:pos="9360"/>
        </w:tabs>
        <w:spacing w:afterLines="60" w:after="144" w:line="360" w:lineRule="auto"/>
        <w:ind w:left="1181" w:right="720" w:hanging="1181"/>
        <w:jc w:val="center"/>
        <w:rPr>
          <w:b/>
          <w:sz w:val="28"/>
          <w:szCs w:val="28"/>
        </w:rPr>
        <w:sectPr w:rsidR="00321E09" w:rsidSect="00411FC1">
          <w:pgSz w:w="12240" w:h="15840"/>
          <w:pgMar w:top="1440" w:right="1440" w:bottom="1440" w:left="1440" w:header="720" w:footer="720" w:gutter="0"/>
          <w:pgNumType w:fmt="lowerRoman"/>
          <w:cols w:space="720"/>
          <w:docGrid w:linePitch="360"/>
        </w:sectPr>
      </w:pPr>
      <w:r>
        <w:rPr>
          <w:b/>
          <w:sz w:val="28"/>
          <w:szCs w:val="28"/>
        </w:rPr>
        <w:fldChar w:fldCharType="end"/>
      </w:r>
    </w:p>
    <w:p w14:paraId="031F03C2" w14:textId="77777777" w:rsidR="00321E09" w:rsidRDefault="00321E09" w:rsidP="00A0250B">
      <w:pPr>
        <w:pStyle w:val="Heading1"/>
      </w:pPr>
      <w:bookmarkStart w:id="1" w:name="_Toc510091086"/>
      <w:r>
        <w:lastRenderedPageBreak/>
        <w:t>Abstract</w:t>
      </w:r>
      <w:bookmarkEnd w:id="1"/>
    </w:p>
    <w:p w14:paraId="68DE04F0" w14:textId="79ABD586" w:rsidR="00AA57E8" w:rsidRDefault="00AA57E8" w:rsidP="00AA57E8">
      <w:r>
        <w:t xml:space="preserve">This report documents </w:t>
      </w:r>
      <w:r w:rsidRPr="002B076B">
        <w:rPr>
          <w:i/>
        </w:rPr>
        <w:t>ex</w:t>
      </w:r>
      <w:r w:rsidR="002B076B" w:rsidRPr="002B076B">
        <w:rPr>
          <w:i/>
        </w:rPr>
        <w:t>-</w:t>
      </w:r>
      <w:r w:rsidRPr="002B076B">
        <w:rPr>
          <w:i/>
        </w:rPr>
        <w:t>post</w:t>
      </w:r>
      <w:r>
        <w:t xml:space="preserve"> and </w:t>
      </w:r>
      <w:r w:rsidRPr="002B076B">
        <w:rPr>
          <w:i/>
        </w:rPr>
        <w:t>ex</w:t>
      </w:r>
      <w:r w:rsidR="002B076B" w:rsidRPr="002B076B">
        <w:rPr>
          <w:i/>
        </w:rPr>
        <w:t>-</w:t>
      </w:r>
      <w:r w:rsidRPr="002B076B">
        <w:rPr>
          <w:i/>
        </w:rPr>
        <w:t>ante</w:t>
      </w:r>
      <w:r>
        <w:t xml:space="preserve"> load impact evaluations for the statewide Base Interruptible Program (“BIP”) in place at Pacific Gas and Electric Company (“PG&amp;E”), Southern California Edison (“SCE”), and San Diego Gas and El</w:t>
      </w:r>
      <w:r w:rsidR="006948A6">
        <w:t>ectric Company (“SDG&amp;E”) in 2017</w:t>
      </w:r>
      <w:r>
        <w:t xml:space="preserve">. The report provides estimates of </w:t>
      </w:r>
      <w:r w:rsidRPr="002B076B">
        <w:rPr>
          <w:i/>
        </w:rPr>
        <w:t>ex</w:t>
      </w:r>
      <w:r w:rsidR="002B076B" w:rsidRPr="002B076B">
        <w:rPr>
          <w:i/>
        </w:rPr>
        <w:t>-</w:t>
      </w:r>
      <w:r w:rsidRPr="002B076B">
        <w:rPr>
          <w:i/>
        </w:rPr>
        <w:t>post</w:t>
      </w:r>
      <w:r>
        <w:t xml:space="preserve"> load impacts that occurred during events called in 201</w:t>
      </w:r>
      <w:r w:rsidR="006948A6">
        <w:t>7</w:t>
      </w:r>
      <w:r>
        <w:t xml:space="preserve"> and an </w:t>
      </w:r>
      <w:r w:rsidRPr="002B076B">
        <w:rPr>
          <w:i/>
        </w:rPr>
        <w:t>ex</w:t>
      </w:r>
      <w:r w:rsidR="002B076B" w:rsidRPr="002B076B">
        <w:rPr>
          <w:i/>
        </w:rPr>
        <w:t>-</w:t>
      </w:r>
      <w:r w:rsidRPr="002B076B">
        <w:rPr>
          <w:i/>
        </w:rPr>
        <w:t>ante</w:t>
      </w:r>
      <w:r>
        <w:t xml:space="preserve"> f</w:t>
      </w:r>
      <w:r w:rsidR="006948A6">
        <w:t>orecast of load impacts for 2018</w:t>
      </w:r>
      <w:r>
        <w:t xml:space="preserve"> through 202</w:t>
      </w:r>
      <w:r w:rsidR="006948A6">
        <w:t>8</w:t>
      </w:r>
      <w:r>
        <w:t xml:space="preserve"> that is based on the IOU’s enrollment forecasts and the </w:t>
      </w:r>
      <w:r w:rsidRPr="002B076B">
        <w:rPr>
          <w:i/>
        </w:rPr>
        <w:t>ex</w:t>
      </w:r>
      <w:r w:rsidR="002B076B" w:rsidRPr="002B076B">
        <w:rPr>
          <w:i/>
        </w:rPr>
        <w:t>-</w:t>
      </w:r>
      <w:r w:rsidRPr="002B076B">
        <w:rPr>
          <w:i/>
        </w:rPr>
        <w:t>post</w:t>
      </w:r>
      <w:r>
        <w:t xml:space="preserve"> loa</w:t>
      </w:r>
      <w:r w:rsidR="006948A6">
        <w:t>d impacts estimated for the 2017</w:t>
      </w:r>
      <w:r>
        <w:t xml:space="preserve"> program year.</w:t>
      </w:r>
    </w:p>
    <w:p w14:paraId="28706300" w14:textId="77777777" w:rsidR="00AA57E8" w:rsidRDefault="00AA57E8" w:rsidP="00AA57E8"/>
    <w:p w14:paraId="7A92BB7B" w14:textId="726B1676" w:rsidR="00AA57E8" w:rsidRDefault="00AA57E8" w:rsidP="00AA57E8">
      <w:r w:rsidRPr="00305DDF">
        <w:t>Base Interruptible Program</w:t>
      </w:r>
      <w:r>
        <w:t>s</w:t>
      </w:r>
      <w:r w:rsidRPr="00305DDF">
        <w:t xml:space="preserve"> are statewide voluntary programs that offer customers a monthly capacity bill credit in exchange for the commitment to reduce their energy consumption to an amount that meets the customer’s minimum operational requirements, also known as a Firm Service Level (</w:t>
      </w:r>
      <w:r>
        <w:t>“</w:t>
      </w:r>
      <w:r w:rsidRPr="00305DDF">
        <w:t>FSL</w:t>
      </w:r>
      <w:r>
        <w:t>”</w:t>
      </w:r>
      <w:r w:rsidRPr="00305DDF">
        <w:t>).</w:t>
      </w:r>
      <w:r>
        <w:t xml:space="preserve"> </w:t>
      </w:r>
    </w:p>
    <w:p w14:paraId="6A2F5EA2" w14:textId="77777777" w:rsidR="00AA57E8" w:rsidRDefault="00AA57E8" w:rsidP="00AA57E8"/>
    <w:p w14:paraId="364E5DEB" w14:textId="0FDDABF5" w:rsidR="00AA57E8" w:rsidRPr="00F47D60" w:rsidRDefault="008B101F" w:rsidP="00AA57E8">
      <w:r>
        <w:t>In 2017, each utility called at least one event day</w:t>
      </w:r>
      <w:r w:rsidR="00AA57E8">
        <w:t xml:space="preserve">: PG&amp;E </w:t>
      </w:r>
      <w:r>
        <w:t xml:space="preserve">called </w:t>
      </w:r>
      <w:r w:rsidR="001310E7">
        <w:t xml:space="preserve">an event </w:t>
      </w:r>
      <w:r>
        <w:t>May 3</w:t>
      </w:r>
      <w:r w:rsidR="001310E7" w:rsidRPr="001310E7">
        <w:rPr>
          <w:vertAlign w:val="superscript"/>
        </w:rPr>
        <w:t>rd</w:t>
      </w:r>
      <w:r w:rsidR="001310E7">
        <w:t xml:space="preserve"> and two re-test events on </w:t>
      </w:r>
      <w:r>
        <w:t>July 11</w:t>
      </w:r>
      <w:r w:rsidR="001310E7" w:rsidRPr="001310E7">
        <w:rPr>
          <w:vertAlign w:val="superscript"/>
        </w:rPr>
        <w:t>th</w:t>
      </w:r>
      <w:r w:rsidR="001310E7">
        <w:t xml:space="preserve"> </w:t>
      </w:r>
      <w:r>
        <w:t xml:space="preserve">and </w:t>
      </w:r>
      <w:r w:rsidR="001310E7">
        <w:t>Oc</w:t>
      </w:r>
      <w:r>
        <w:t>tober 17</w:t>
      </w:r>
      <w:r w:rsidR="001310E7" w:rsidRPr="001310E7">
        <w:rPr>
          <w:vertAlign w:val="superscript"/>
        </w:rPr>
        <w:t>th</w:t>
      </w:r>
      <w:r w:rsidR="001310E7">
        <w:t>;</w:t>
      </w:r>
      <w:r w:rsidR="00AA57E8">
        <w:t xml:space="preserve"> SCE </w:t>
      </w:r>
      <w:r>
        <w:t>called one event on May 3</w:t>
      </w:r>
      <w:r w:rsidR="001310E7" w:rsidRPr="001310E7">
        <w:rPr>
          <w:vertAlign w:val="superscript"/>
        </w:rPr>
        <w:t>rd</w:t>
      </w:r>
      <w:r>
        <w:t>;</w:t>
      </w:r>
      <w:r w:rsidR="00AA57E8">
        <w:t xml:space="preserve"> and SDG&amp;E</w:t>
      </w:r>
      <w:r>
        <w:t xml:space="preserve"> called one event</w:t>
      </w:r>
      <w:r w:rsidR="00AA57E8">
        <w:t xml:space="preserve"> on August </w:t>
      </w:r>
      <w:r>
        <w:t>31</w:t>
      </w:r>
      <w:r w:rsidR="001310E7" w:rsidRPr="001310E7">
        <w:rPr>
          <w:vertAlign w:val="superscript"/>
        </w:rPr>
        <w:t>st</w:t>
      </w:r>
      <w:r w:rsidR="00AA57E8">
        <w:t xml:space="preserve">. </w:t>
      </w:r>
      <w:r w:rsidR="00F17C02">
        <w:t>On May 3</w:t>
      </w:r>
      <w:r w:rsidR="001310E7" w:rsidRPr="001310E7">
        <w:rPr>
          <w:vertAlign w:val="superscript"/>
        </w:rPr>
        <w:t>rd</w:t>
      </w:r>
      <w:r w:rsidR="00F17C02">
        <w:t xml:space="preserve">, PG&amp;E called 331 </w:t>
      </w:r>
      <w:r w:rsidR="00AA57E8" w:rsidRPr="00F47D60">
        <w:t xml:space="preserve">service </w:t>
      </w:r>
      <w:r w:rsidR="00F17C02">
        <w:t>accounts for its BIP, and only 76 and 2 on its July 11</w:t>
      </w:r>
      <w:r w:rsidR="001310E7" w:rsidRPr="001310E7">
        <w:rPr>
          <w:vertAlign w:val="superscript"/>
        </w:rPr>
        <w:t>th</w:t>
      </w:r>
      <w:r w:rsidR="00F17C02">
        <w:t xml:space="preserve"> and October 17</w:t>
      </w:r>
      <w:r w:rsidR="001310E7" w:rsidRPr="001310E7">
        <w:rPr>
          <w:vertAlign w:val="superscript"/>
        </w:rPr>
        <w:t>th</w:t>
      </w:r>
      <w:r w:rsidR="001310E7">
        <w:t xml:space="preserve"> </w:t>
      </w:r>
      <w:r w:rsidR="00F17C02">
        <w:t>events, respectively</w:t>
      </w:r>
      <w:r w:rsidR="00AA57E8" w:rsidRPr="00F47D60">
        <w:t xml:space="preserve">. The </w:t>
      </w:r>
      <w:r w:rsidR="00DF0378">
        <w:t xml:space="preserve">highest aggregate reference load for any hour </w:t>
      </w:r>
      <w:r w:rsidR="00F17C02">
        <w:t xml:space="preserve">on each event day </w:t>
      </w:r>
      <w:r w:rsidR="00AA57E8" w:rsidRPr="00F47D60">
        <w:t xml:space="preserve">was </w:t>
      </w:r>
      <w:r w:rsidR="00F17C02">
        <w:t>366</w:t>
      </w:r>
      <w:r w:rsidR="00AA57E8" w:rsidRPr="00F47D60">
        <w:t xml:space="preserve"> MW</w:t>
      </w:r>
      <w:r w:rsidR="00F17C02">
        <w:t xml:space="preserve">, </w:t>
      </w:r>
      <w:r w:rsidR="007357E6" w:rsidRPr="007357E6">
        <w:rPr>
          <w:highlight w:val="black"/>
        </w:rPr>
        <w:t>-----------------------------------</w:t>
      </w:r>
      <w:r w:rsidR="00F17C02" w:rsidRPr="00A61A22">
        <w:t>,</w:t>
      </w:r>
      <w:r w:rsidR="00F17C02">
        <w:t xml:space="preserve"> with values declining on each event due to a lower number of accounts called</w:t>
      </w:r>
      <w:r w:rsidR="00F47D60">
        <w:t xml:space="preserve">. Enrollment in SCE’s BIP was </w:t>
      </w:r>
      <w:r w:rsidR="00F17C02">
        <w:t>571</w:t>
      </w:r>
      <w:r w:rsidR="00AA57E8" w:rsidRPr="00F47D60">
        <w:t xml:space="preserve"> service accounts on the </w:t>
      </w:r>
      <w:r w:rsidR="00F17C02">
        <w:t>May</w:t>
      </w:r>
      <w:r w:rsidR="00F47D60">
        <w:t xml:space="preserve"> </w:t>
      </w:r>
      <w:r w:rsidR="00F17C02">
        <w:t>3</w:t>
      </w:r>
      <w:r w:rsidR="001310E7" w:rsidRPr="001310E7">
        <w:rPr>
          <w:vertAlign w:val="superscript"/>
        </w:rPr>
        <w:t>rd</w:t>
      </w:r>
      <w:r w:rsidR="001310E7">
        <w:t xml:space="preserve"> </w:t>
      </w:r>
      <w:r w:rsidR="00AA57E8" w:rsidRPr="00F47D60">
        <w:t xml:space="preserve">event day. The </w:t>
      </w:r>
      <w:r w:rsidR="00DF0378">
        <w:t>aggregate reference load reached</w:t>
      </w:r>
      <w:r w:rsidR="00AA57E8" w:rsidRPr="00F47D60">
        <w:t xml:space="preserve"> </w:t>
      </w:r>
      <w:r w:rsidR="00DF0378">
        <w:t xml:space="preserve">a high of </w:t>
      </w:r>
      <w:r w:rsidR="00B4724C">
        <w:t>864</w:t>
      </w:r>
      <w:r w:rsidR="00AA57E8" w:rsidRPr="00F47D60">
        <w:t xml:space="preserve"> MW</w:t>
      </w:r>
      <w:r w:rsidR="00DF0378">
        <w:t xml:space="preserve"> on that day</w:t>
      </w:r>
      <w:r w:rsidR="00AA57E8" w:rsidRPr="00F47D60">
        <w:t>. SDG&amp;</w:t>
      </w:r>
      <w:r w:rsidR="00F47D60">
        <w:t xml:space="preserve">E’s BIP enrollment was </w:t>
      </w:r>
      <w:r w:rsidR="00B4724C">
        <w:t>6</w:t>
      </w:r>
      <w:r w:rsidR="00AA57E8" w:rsidRPr="00F47D60">
        <w:t xml:space="preserve"> service accounts on </w:t>
      </w:r>
      <w:r w:rsidR="00F47D60">
        <w:t xml:space="preserve">the August </w:t>
      </w:r>
      <w:r w:rsidR="00B4724C">
        <w:t>31</w:t>
      </w:r>
      <w:r w:rsidR="001310E7" w:rsidRPr="001310E7">
        <w:rPr>
          <w:vertAlign w:val="superscript"/>
        </w:rPr>
        <w:t>st</w:t>
      </w:r>
      <w:r w:rsidR="001310E7">
        <w:t xml:space="preserve"> </w:t>
      </w:r>
      <w:r w:rsidR="00AA57E8" w:rsidRPr="00F47D60">
        <w:t>event day</w:t>
      </w:r>
      <w:r w:rsidR="00F47D60">
        <w:t>,</w:t>
      </w:r>
      <w:r w:rsidR="00AA57E8" w:rsidRPr="00F47D60">
        <w:t xml:space="preserve"> and </w:t>
      </w:r>
      <w:r w:rsidR="00DF0378">
        <w:t xml:space="preserve">the highest aggregate reference load </w:t>
      </w:r>
      <w:r w:rsidR="0001773B">
        <w:t xml:space="preserve">on </w:t>
      </w:r>
      <w:r w:rsidR="00F47D60">
        <w:t xml:space="preserve">that day was </w:t>
      </w:r>
      <w:r w:rsidR="00B4724C" w:rsidRPr="0086367A">
        <w:t>4</w:t>
      </w:r>
      <w:r w:rsidR="00AA57E8" w:rsidRPr="0086367A">
        <w:t>.2 MW</w:t>
      </w:r>
      <w:r w:rsidR="00AA57E8" w:rsidRPr="00F47D60">
        <w:t xml:space="preserve">. </w:t>
      </w:r>
    </w:p>
    <w:p w14:paraId="7775DDE1" w14:textId="77777777" w:rsidR="00AA57E8" w:rsidRPr="00F47D60" w:rsidRDefault="00AA57E8" w:rsidP="00AA57E8"/>
    <w:p w14:paraId="7FCDF4F3" w14:textId="3F007664" w:rsidR="00AA57E8" w:rsidRPr="00F47D60" w:rsidRDefault="00AA57E8" w:rsidP="00AA57E8">
      <w:r w:rsidRPr="002B076B">
        <w:rPr>
          <w:i/>
        </w:rPr>
        <w:t>Ex</w:t>
      </w:r>
      <w:r w:rsidR="002B076B" w:rsidRPr="002B076B">
        <w:rPr>
          <w:i/>
        </w:rPr>
        <w:t>-</w:t>
      </w:r>
      <w:r w:rsidRPr="002B076B">
        <w:rPr>
          <w:i/>
        </w:rPr>
        <w:t>post</w:t>
      </w:r>
      <w:r w:rsidRPr="00F47D60">
        <w:t xml:space="preserve"> load impacts were estimated from regression analysis of customer-level hourly load data, where the equations modeled hourly load as a function of variables that control for factors affecting consumers’ hourly demand levels. BIP load impacts for each event were obtained by summing the estimated hourly event coefficients across the customer-level models.  </w:t>
      </w:r>
    </w:p>
    <w:p w14:paraId="1B3B03FE" w14:textId="77777777" w:rsidR="00AA57E8" w:rsidRPr="00F47D60" w:rsidRDefault="00AA57E8" w:rsidP="00AA57E8"/>
    <w:p w14:paraId="4214E889" w14:textId="32E917D8" w:rsidR="00AA57E8" w:rsidRPr="001310E7" w:rsidRDefault="00AA57E8" w:rsidP="00AA57E8">
      <w:r w:rsidRPr="001310E7">
        <w:t xml:space="preserve">The total program load impact for PG&amp;E’s </w:t>
      </w:r>
      <w:r w:rsidR="00B167C1">
        <w:t>May</w:t>
      </w:r>
      <w:r w:rsidR="00B167C1" w:rsidRPr="001310E7">
        <w:t xml:space="preserve"> </w:t>
      </w:r>
      <w:r w:rsidR="00B167C1">
        <w:t>3</w:t>
      </w:r>
      <w:r w:rsidR="00B167C1" w:rsidRPr="001310E7">
        <w:rPr>
          <w:vertAlign w:val="superscript"/>
        </w:rPr>
        <w:t>rd</w:t>
      </w:r>
      <w:r w:rsidR="00B167C1">
        <w:t xml:space="preserve"> </w:t>
      </w:r>
      <w:r w:rsidRPr="001310E7">
        <w:t xml:space="preserve">test event averaged </w:t>
      </w:r>
      <w:r w:rsidR="00B167C1" w:rsidRPr="001310E7">
        <w:t xml:space="preserve">195 </w:t>
      </w:r>
      <w:r w:rsidRPr="001310E7">
        <w:t xml:space="preserve">MW, or </w:t>
      </w:r>
      <w:r w:rsidR="00B167C1" w:rsidRPr="001310E7">
        <w:t xml:space="preserve">57 </w:t>
      </w:r>
      <w:r w:rsidRPr="001310E7">
        <w:t>percent of</w:t>
      </w:r>
      <w:r w:rsidR="00447980" w:rsidRPr="001310E7">
        <w:t xml:space="preserve"> enrolled load</w:t>
      </w:r>
      <w:r w:rsidR="00CA537E" w:rsidRPr="001310E7">
        <w:t>. This was</w:t>
      </w:r>
      <w:r w:rsidR="00447980" w:rsidRPr="001310E7">
        <w:t xml:space="preserve"> </w:t>
      </w:r>
      <w:r w:rsidR="00B167C1">
        <w:t>75</w:t>
      </w:r>
      <w:r w:rsidR="00B167C1" w:rsidRPr="001310E7">
        <w:t xml:space="preserve"> </w:t>
      </w:r>
      <w:r w:rsidR="00CA537E" w:rsidRPr="001310E7">
        <w:t>percent</w:t>
      </w:r>
      <w:r w:rsidRPr="001310E7">
        <w:t xml:space="preserve"> of the reduction required to </w:t>
      </w:r>
      <w:r w:rsidR="00CA537E" w:rsidRPr="001310E7">
        <w:t xml:space="preserve">meet </w:t>
      </w:r>
      <w:r w:rsidRPr="001310E7">
        <w:t>the aggregate FSL</w:t>
      </w:r>
      <w:r w:rsidR="00CA537E" w:rsidRPr="001310E7">
        <w:t>, calculated as the estimated load impact divided by the load impact that would have occurred if customers had (in aggregate) exactly attained their FSL</w:t>
      </w:r>
      <w:r w:rsidRPr="001310E7">
        <w:t xml:space="preserve">. </w:t>
      </w:r>
    </w:p>
    <w:p w14:paraId="3729B1A0" w14:textId="77777777" w:rsidR="00AA57E8" w:rsidRPr="001310E7" w:rsidRDefault="00AA57E8" w:rsidP="00AA57E8"/>
    <w:p w14:paraId="55902981" w14:textId="0E945DF0" w:rsidR="00AA57E8" w:rsidRPr="001310E7" w:rsidRDefault="00AA57E8" w:rsidP="00AA57E8">
      <w:r w:rsidRPr="001310E7">
        <w:t xml:space="preserve">For SCE, the load impact </w:t>
      </w:r>
      <w:r w:rsidR="001310E7">
        <w:t xml:space="preserve">during the only full hour of </w:t>
      </w:r>
      <w:r w:rsidRPr="001310E7">
        <w:t xml:space="preserve">its </w:t>
      </w:r>
      <w:r w:rsidR="00B167C1">
        <w:t>May 3</w:t>
      </w:r>
      <w:r w:rsidR="00B167C1" w:rsidRPr="001310E7">
        <w:rPr>
          <w:vertAlign w:val="superscript"/>
        </w:rPr>
        <w:t>rd</w:t>
      </w:r>
      <w:r w:rsidR="00B167C1">
        <w:t xml:space="preserve"> </w:t>
      </w:r>
      <w:r w:rsidR="000F08B5" w:rsidRPr="001310E7">
        <w:t xml:space="preserve">Measurement and Evaluation </w:t>
      </w:r>
      <w:r w:rsidRPr="001310E7">
        <w:t xml:space="preserve">event was </w:t>
      </w:r>
      <w:r w:rsidR="001310E7">
        <w:t>615</w:t>
      </w:r>
      <w:r w:rsidR="00B167C1" w:rsidRPr="001310E7">
        <w:t xml:space="preserve"> </w:t>
      </w:r>
      <w:r w:rsidRPr="001310E7">
        <w:t xml:space="preserve">MW, or </w:t>
      </w:r>
      <w:r w:rsidR="001310E7">
        <w:t>78</w:t>
      </w:r>
      <w:r w:rsidRPr="001310E7">
        <w:t xml:space="preserve"> perce</w:t>
      </w:r>
      <w:r w:rsidR="00CA537E" w:rsidRPr="001310E7">
        <w:t xml:space="preserve">nt of the total reference load, representing </w:t>
      </w:r>
      <w:r w:rsidR="001310E7">
        <w:t>89</w:t>
      </w:r>
      <w:r w:rsidR="00B167C1" w:rsidRPr="001310E7">
        <w:t xml:space="preserve"> </w:t>
      </w:r>
      <w:r w:rsidRPr="001310E7">
        <w:t>percent of the reduction required to meet the aggregate FSL.</w:t>
      </w:r>
    </w:p>
    <w:p w14:paraId="169526A9" w14:textId="77777777" w:rsidR="00AA57E8" w:rsidRPr="001310E7" w:rsidRDefault="00AA57E8" w:rsidP="00AA57E8"/>
    <w:p w14:paraId="72F8F157" w14:textId="4675C1D8" w:rsidR="00AA57E8" w:rsidRPr="00F47D60" w:rsidRDefault="00AA57E8" w:rsidP="00AA57E8">
      <w:r w:rsidRPr="001310E7">
        <w:t xml:space="preserve">SDG&amp;E’s total load impact for its </w:t>
      </w:r>
      <w:r w:rsidR="00447980" w:rsidRPr="001310E7">
        <w:t>August</w:t>
      </w:r>
      <w:r w:rsidRPr="001310E7">
        <w:t xml:space="preserve"> </w:t>
      </w:r>
      <w:r w:rsidR="00B167C1">
        <w:t>31</w:t>
      </w:r>
      <w:r w:rsidR="00B167C1" w:rsidRPr="001310E7">
        <w:rPr>
          <w:vertAlign w:val="superscript"/>
        </w:rPr>
        <w:t>st</w:t>
      </w:r>
      <w:r w:rsidR="00B167C1">
        <w:t xml:space="preserve"> </w:t>
      </w:r>
      <w:r w:rsidRPr="001310E7">
        <w:t xml:space="preserve">test event averaged </w:t>
      </w:r>
      <w:r w:rsidR="00B167C1">
        <w:t>2</w:t>
      </w:r>
      <w:r w:rsidR="00447980" w:rsidRPr="001310E7">
        <w:t>.5</w:t>
      </w:r>
      <w:r w:rsidRPr="001310E7">
        <w:t xml:space="preserve"> MW, or</w:t>
      </w:r>
      <w:r w:rsidR="00B167C1">
        <w:t xml:space="preserve"> 71</w:t>
      </w:r>
      <w:r w:rsidRPr="001310E7">
        <w:t xml:space="preserve"> percent of enrolled load, representing </w:t>
      </w:r>
      <w:r w:rsidR="00B167C1">
        <w:t>108</w:t>
      </w:r>
      <w:r w:rsidR="00B167C1" w:rsidRPr="001310E7">
        <w:t xml:space="preserve"> </w:t>
      </w:r>
      <w:r w:rsidR="00CA537E" w:rsidRPr="001310E7">
        <w:t>percent</w:t>
      </w:r>
      <w:r w:rsidRPr="001310E7">
        <w:t xml:space="preserve"> of the reduction required to meet the aggregate FSL.</w:t>
      </w:r>
      <w:r w:rsidR="00E3061F" w:rsidRPr="00E3061F">
        <w:rPr>
          <w:noProof/>
          <w:szCs w:val="32"/>
        </w:rPr>
        <w:t xml:space="preserve"> </w:t>
      </w:r>
    </w:p>
    <w:p w14:paraId="534F8F8A" w14:textId="77777777" w:rsidR="00AA57E8" w:rsidRPr="00F47D60" w:rsidRDefault="00AA57E8" w:rsidP="00AA57E8"/>
    <w:p w14:paraId="2E428191" w14:textId="73041D62" w:rsidR="00AA57E8" w:rsidRDefault="00AA57E8" w:rsidP="00AA57E8">
      <w:r w:rsidRPr="00F47D60">
        <w:t xml:space="preserve">In the </w:t>
      </w:r>
      <w:r w:rsidRPr="00A47ED2">
        <w:rPr>
          <w:i/>
        </w:rPr>
        <w:t>ex</w:t>
      </w:r>
      <w:r w:rsidR="00A47ED2" w:rsidRPr="00A47ED2">
        <w:rPr>
          <w:i/>
        </w:rPr>
        <w:t>-</w:t>
      </w:r>
      <w:r w:rsidRPr="00A47ED2">
        <w:rPr>
          <w:i/>
        </w:rPr>
        <w:t>ante</w:t>
      </w:r>
      <w:r w:rsidRPr="00F47D60">
        <w:t xml:space="preserve"> evaluation, </w:t>
      </w:r>
      <w:r w:rsidR="00447980" w:rsidRPr="00F47D60">
        <w:t>PG&amp;E forecasts BIP enrollment to remain constant from 201</w:t>
      </w:r>
      <w:r w:rsidR="003330C8">
        <w:t>8</w:t>
      </w:r>
      <w:r w:rsidR="00447980">
        <w:t xml:space="preserve"> to 202</w:t>
      </w:r>
      <w:r w:rsidR="003330C8">
        <w:t>8</w:t>
      </w:r>
      <w:r w:rsidR="00447980" w:rsidRPr="00F47D60">
        <w:t xml:space="preserve"> at </w:t>
      </w:r>
      <w:r w:rsidR="0086367A">
        <w:t>362</w:t>
      </w:r>
      <w:r w:rsidR="00447980" w:rsidRPr="00F47D60">
        <w:t xml:space="preserve"> service agreements. PG&amp;E's average event-hour load impact is forecast to be </w:t>
      </w:r>
      <w:r w:rsidR="0086367A">
        <w:t>221</w:t>
      </w:r>
      <w:r w:rsidR="00447980" w:rsidRPr="00F47D60">
        <w:t xml:space="preserve"> MW during a utility-specific 1-in-2 August</w:t>
      </w:r>
      <w:r w:rsidR="00B4724C">
        <w:t xml:space="preserve"> 2018</w:t>
      </w:r>
      <w:r w:rsidR="00447980" w:rsidRPr="00F47D60">
        <w:t xml:space="preserve"> </w:t>
      </w:r>
      <w:r w:rsidR="00447980">
        <w:t>typical event</w:t>
      </w:r>
      <w:r w:rsidR="00447980" w:rsidRPr="00F47D60">
        <w:t xml:space="preserve"> day. </w:t>
      </w:r>
      <w:r w:rsidRPr="00F47D60">
        <w:t xml:space="preserve">SCE forecasts BIP customer enrollment to decrease </w:t>
      </w:r>
      <w:r w:rsidR="00447980">
        <w:t>somewhat</w:t>
      </w:r>
      <w:r w:rsidRPr="00F47D60">
        <w:t xml:space="preserve"> from </w:t>
      </w:r>
      <w:r w:rsidR="00447980">
        <w:t>201</w:t>
      </w:r>
      <w:r w:rsidR="00B4724C">
        <w:t>8</w:t>
      </w:r>
      <w:r w:rsidRPr="00F47D60">
        <w:t xml:space="preserve"> through 20</w:t>
      </w:r>
      <w:r w:rsidR="00B4724C">
        <w:t>23</w:t>
      </w:r>
      <w:r w:rsidRPr="00F47D60">
        <w:t xml:space="preserve"> </w:t>
      </w:r>
      <w:r w:rsidR="001310E7">
        <w:t>(</w:t>
      </w:r>
      <w:r w:rsidRPr="00F47D60">
        <w:t>due to opt outs from the program</w:t>
      </w:r>
      <w:r w:rsidR="001310E7">
        <w:t>) and then remain constant through 2028</w:t>
      </w:r>
      <w:r w:rsidRPr="00F47D60">
        <w:t>. During the 201</w:t>
      </w:r>
      <w:r w:rsidR="00B4724C">
        <w:t>8</w:t>
      </w:r>
      <w:r w:rsidRPr="00F47D60">
        <w:t xml:space="preserve"> program year, SCE's average event-hour load impact is approximately </w:t>
      </w:r>
      <w:r w:rsidR="00B4724C">
        <w:t>619</w:t>
      </w:r>
      <w:r w:rsidRPr="00F47D60">
        <w:t xml:space="preserve"> MW. SDG&amp;E enrollment </w:t>
      </w:r>
      <w:r w:rsidR="00B167C1">
        <w:t>increases slightly</w:t>
      </w:r>
      <w:r w:rsidRPr="00F47D60">
        <w:t xml:space="preserve"> thro</w:t>
      </w:r>
      <w:r w:rsidR="00BA6A6E">
        <w:t>ughout the forecast period</w:t>
      </w:r>
      <w:r w:rsidRPr="00F47D60">
        <w:t xml:space="preserve">. SDG&amp;E's average event-hour load impact is forecast to be </w:t>
      </w:r>
      <w:r w:rsidR="00B4724C" w:rsidRPr="0086367A">
        <w:t>1.</w:t>
      </w:r>
      <w:r w:rsidR="00622E57" w:rsidRPr="0086367A">
        <w:t>3</w:t>
      </w:r>
      <w:r w:rsidRPr="0086367A">
        <w:t xml:space="preserve"> MW</w:t>
      </w:r>
      <w:r w:rsidRPr="00F47D60">
        <w:t xml:space="preserve"> during a utility-specific 1-in-2 August </w:t>
      </w:r>
      <w:r w:rsidR="00B4724C">
        <w:t>2018</w:t>
      </w:r>
      <w:r w:rsidRPr="00F47D60">
        <w:t xml:space="preserve"> </w:t>
      </w:r>
      <w:r w:rsidR="00447980">
        <w:t>typical event</w:t>
      </w:r>
      <w:r w:rsidRPr="00F47D60">
        <w:t xml:space="preserve"> day.</w:t>
      </w:r>
    </w:p>
    <w:p w14:paraId="6896928F" w14:textId="7FB1A870" w:rsidR="00321E09" w:rsidRDefault="00321E09" w:rsidP="00156F79">
      <w:r>
        <w:br w:type="page"/>
      </w:r>
      <w:bookmarkStart w:id="2" w:name="_Toc510091087"/>
      <w:r w:rsidRPr="00156F79">
        <w:rPr>
          <w:rStyle w:val="Heading1Char"/>
        </w:rPr>
        <w:lastRenderedPageBreak/>
        <w:t>Executive Summary</w:t>
      </w:r>
      <w:bookmarkEnd w:id="2"/>
      <w:r w:rsidRPr="00A4025E">
        <w:t xml:space="preserve"> </w:t>
      </w:r>
    </w:p>
    <w:p w14:paraId="3284A112" w14:textId="7C7C18D9" w:rsidR="00A50491" w:rsidRDefault="00A50491" w:rsidP="00A50491">
      <w:r>
        <w:t xml:space="preserve">This report documents </w:t>
      </w:r>
      <w:r w:rsidRPr="00A47ED2">
        <w:rPr>
          <w:i/>
        </w:rPr>
        <w:t>ex</w:t>
      </w:r>
      <w:r w:rsidR="00A47ED2" w:rsidRPr="00A47ED2">
        <w:rPr>
          <w:i/>
        </w:rPr>
        <w:t>-</w:t>
      </w:r>
      <w:r w:rsidRPr="00A47ED2">
        <w:rPr>
          <w:i/>
        </w:rPr>
        <w:t>post</w:t>
      </w:r>
      <w:r>
        <w:t xml:space="preserve"> and </w:t>
      </w:r>
      <w:r w:rsidRPr="00A47ED2">
        <w:rPr>
          <w:i/>
        </w:rPr>
        <w:t>ex</w:t>
      </w:r>
      <w:r w:rsidR="00A47ED2" w:rsidRPr="00A47ED2">
        <w:rPr>
          <w:i/>
        </w:rPr>
        <w:t>-</w:t>
      </w:r>
      <w:r w:rsidRPr="00A47ED2">
        <w:rPr>
          <w:i/>
        </w:rPr>
        <w:t>ante</w:t>
      </w:r>
      <w:r>
        <w:t xml:space="preserve"> load impact evaluations for the statewide Base Interruptible Program (“BIP”) in place at Pacific Gas and Electric Company (“PG&amp;E”), Southern California Edison (“SCE”), and San Diego Gas and El</w:t>
      </w:r>
      <w:r w:rsidR="003330C8">
        <w:t>ectric Company (“SDG&amp;E”) in 2017</w:t>
      </w:r>
      <w:r>
        <w:t xml:space="preserve">. The report provides estimates of </w:t>
      </w:r>
      <w:r w:rsidRPr="00A47ED2">
        <w:rPr>
          <w:i/>
        </w:rPr>
        <w:t>ex</w:t>
      </w:r>
      <w:r w:rsidR="00A47ED2" w:rsidRPr="00A47ED2">
        <w:rPr>
          <w:i/>
        </w:rPr>
        <w:t>-</w:t>
      </w:r>
      <w:r w:rsidRPr="00A47ED2">
        <w:rPr>
          <w:i/>
        </w:rPr>
        <w:t>post</w:t>
      </w:r>
      <w:r>
        <w:t xml:space="preserve"> load impacts that occur</w:t>
      </w:r>
      <w:r w:rsidR="003330C8">
        <w:t>red during events called in 2017</w:t>
      </w:r>
      <w:r>
        <w:t xml:space="preserve"> and an </w:t>
      </w:r>
      <w:r w:rsidRPr="00A47ED2">
        <w:rPr>
          <w:i/>
        </w:rPr>
        <w:t>ex</w:t>
      </w:r>
      <w:r w:rsidR="00A47ED2" w:rsidRPr="00A47ED2">
        <w:rPr>
          <w:i/>
        </w:rPr>
        <w:t>-</w:t>
      </w:r>
      <w:r w:rsidRPr="00A47ED2">
        <w:rPr>
          <w:i/>
        </w:rPr>
        <w:t>ante</w:t>
      </w:r>
      <w:r>
        <w:t xml:space="preserve"> f</w:t>
      </w:r>
      <w:r w:rsidR="003330C8">
        <w:t>orecast of load impacts for 2018</w:t>
      </w:r>
      <w:r>
        <w:t xml:space="preserve"> through 202</w:t>
      </w:r>
      <w:r w:rsidR="003330C8">
        <w:t>8</w:t>
      </w:r>
      <w:r>
        <w:t xml:space="preserve"> that is based on the IOU’s enrollment forecasts and the </w:t>
      </w:r>
      <w:r w:rsidRPr="00A47ED2">
        <w:rPr>
          <w:i/>
        </w:rPr>
        <w:t>ex</w:t>
      </w:r>
      <w:r w:rsidR="00A47ED2" w:rsidRPr="00A47ED2">
        <w:rPr>
          <w:i/>
        </w:rPr>
        <w:t>-</w:t>
      </w:r>
      <w:r w:rsidRPr="00A47ED2">
        <w:rPr>
          <w:i/>
        </w:rPr>
        <w:t>post</w:t>
      </w:r>
      <w:r>
        <w:t xml:space="preserve"> loa</w:t>
      </w:r>
      <w:r w:rsidR="003330C8">
        <w:t>d impacts estimated for the 2017</w:t>
      </w:r>
      <w:r>
        <w:t xml:space="preserve"> program year. </w:t>
      </w:r>
    </w:p>
    <w:p w14:paraId="2523F646" w14:textId="77777777" w:rsidR="00A50491" w:rsidRDefault="00A50491" w:rsidP="00A50491"/>
    <w:p w14:paraId="6FABA0E3" w14:textId="77777777" w:rsidR="00A50491" w:rsidRDefault="00A50491" w:rsidP="00A50491">
      <w:pPr>
        <w:spacing w:after="240"/>
      </w:pPr>
      <w:r>
        <w:t>The primary research questions addressed by this evaluation are:</w:t>
      </w:r>
    </w:p>
    <w:p w14:paraId="26480CEB" w14:textId="02EF0154" w:rsidR="00A50491" w:rsidRDefault="00A50491" w:rsidP="00A50491">
      <w:pPr>
        <w:numPr>
          <w:ilvl w:val="0"/>
          <w:numId w:val="9"/>
        </w:numPr>
      </w:pPr>
      <w:r>
        <w:t>What were the BIP load impacts in 201</w:t>
      </w:r>
      <w:r w:rsidR="003330C8">
        <w:t>7</w:t>
      </w:r>
      <w:r>
        <w:t>?</w:t>
      </w:r>
    </w:p>
    <w:p w14:paraId="35244EF1" w14:textId="77777777" w:rsidR="00A50491" w:rsidRDefault="00A50491" w:rsidP="00A50491">
      <w:pPr>
        <w:numPr>
          <w:ilvl w:val="0"/>
          <w:numId w:val="9"/>
        </w:numPr>
      </w:pPr>
      <w:r>
        <w:t>How were the load impacts distributed across industry groups?</w:t>
      </w:r>
    </w:p>
    <w:p w14:paraId="063E88B5" w14:textId="77777777" w:rsidR="00A47ED2" w:rsidRDefault="00A50491" w:rsidP="002E033B">
      <w:pPr>
        <w:numPr>
          <w:ilvl w:val="0"/>
          <w:numId w:val="9"/>
        </w:numPr>
      </w:pPr>
      <w:r>
        <w:t>How were the load impacts distributed across CAISO local capacity areas?</w:t>
      </w:r>
    </w:p>
    <w:p w14:paraId="360F2DD1" w14:textId="7731BD10" w:rsidR="00A50491" w:rsidRDefault="00A50491" w:rsidP="002E033B">
      <w:pPr>
        <w:numPr>
          <w:ilvl w:val="0"/>
          <w:numId w:val="9"/>
        </w:numPr>
      </w:pPr>
      <w:r>
        <w:t xml:space="preserve">What are the </w:t>
      </w:r>
      <w:r w:rsidRPr="00A47ED2">
        <w:rPr>
          <w:i/>
        </w:rPr>
        <w:t>ex</w:t>
      </w:r>
      <w:r w:rsidR="00A47ED2" w:rsidRPr="00A47ED2">
        <w:rPr>
          <w:i/>
        </w:rPr>
        <w:t>-</w:t>
      </w:r>
      <w:r w:rsidRPr="00A47ED2">
        <w:rPr>
          <w:i/>
        </w:rPr>
        <w:t>ante</w:t>
      </w:r>
      <w:r w:rsidR="003330C8">
        <w:t xml:space="preserve"> load impacts for 2018 through 2028</w:t>
      </w:r>
      <w:r>
        <w:t>?</w:t>
      </w:r>
    </w:p>
    <w:p w14:paraId="4081D2F9" w14:textId="77777777" w:rsidR="00A50491" w:rsidRDefault="00A50491" w:rsidP="00A50491">
      <w:pPr>
        <w:pStyle w:val="Heading2"/>
      </w:pPr>
      <w:bookmarkStart w:id="3" w:name="_Toc415488933"/>
      <w:bookmarkStart w:id="4" w:name="_Toc510091088"/>
      <w:r>
        <w:t>ES.1 Resources Covered</w:t>
      </w:r>
      <w:bookmarkEnd w:id="3"/>
      <w:bookmarkEnd w:id="4"/>
    </w:p>
    <w:p w14:paraId="4F8768C2" w14:textId="77777777" w:rsidR="00A50491" w:rsidRDefault="00A50491" w:rsidP="00A50491">
      <w:pPr>
        <w:pStyle w:val="Heading3"/>
      </w:pPr>
      <w:bookmarkStart w:id="5" w:name="_Toc415488934"/>
      <w:bookmarkStart w:id="6" w:name="_Toc510091089"/>
      <w:r>
        <w:t>Base Interruptible Program</w:t>
      </w:r>
      <w:bookmarkEnd w:id="5"/>
      <w:bookmarkEnd w:id="6"/>
    </w:p>
    <w:p w14:paraId="18CAAD33" w14:textId="77777777" w:rsidR="00A50491" w:rsidRDefault="00A50491" w:rsidP="00A50491">
      <w:r w:rsidRPr="00305DDF">
        <w:t>Base Interruptible Program</w:t>
      </w:r>
      <w:r>
        <w:t>s</w:t>
      </w:r>
      <w:r w:rsidRPr="00305DDF">
        <w:t xml:space="preserve"> are statewide voluntary programs that offer customers a monthly capacity bill credit in exchange for the commitment to reduce their energy consumption to an amount that meets the customer’s minimum operational requirements, also known as a Firm Service Level (</w:t>
      </w:r>
      <w:r>
        <w:t>“</w:t>
      </w:r>
      <w:r w:rsidRPr="00305DDF">
        <w:t>FSL</w:t>
      </w:r>
      <w:r>
        <w:t>”</w:t>
      </w:r>
      <w:r w:rsidRPr="00305DDF">
        <w:t>).</w:t>
      </w:r>
    </w:p>
    <w:p w14:paraId="32634562" w14:textId="77777777" w:rsidR="00A50491" w:rsidRDefault="00A50491" w:rsidP="00A50491"/>
    <w:p w14:paraId="2569A1DC" w14:textId="77777777" w:rsidR="00A50491" w:rsidRDefault="00A50491" w:rsidP="00A50491">
      <w:r w:rsidRPr="00305DDF">
        <w:t>There are a number of similarities and differences in the BIPs offered by the California investor-owned utilities (</w:t>
      </w:r>
      <w:r>
        <w:t>“</w:t>
      </w:r>
      <w:r w:rsidRPr="00305DDF">
        <w:t>IOUs</w:t>
      </w:r>
      <w:r>
        <w:t>”</w:t>
      </w:r>
      <w:r w:rsidRPr="00305DDF">
        <w:t>)</w:t>
      </w:r>
      <w:r>
        <w:t xml:space="preserve">. </w:t>
      </w:r>
      <w:r w:rsidRPr="00305DDF">
        <w:t>The programs consist of an interruptible tariff available to both customers and aggregators with a minimum demand.</w:t>
      </w:r>
    </w:p>
    <w:p w14:paraId="607345EB" w14:textId="77777777" w:rsidR="00A50491" w:rsidRDefault="00A50491" w:rsidP="00A50491"/>
    <w:p w14:paraId="6FF684E8" w14:textId="65738DBF" w:rsidR="00A50491" w:rsidRDefault="00A50491" w:rsidP="00A50491">
      <w:r>
        <w:t xml:space="preserve">All three utilities called </w:t>
      </w:r>
      <w:r w:rsidR="00DF0AF3">
        <w:t>at least one full event in 2017</w:t>
      </w:r>
      <w:r>
        <w:t xml:space="preserve">: </w:t>
      </w:r>
      <w:r w:rsidR="0011138E">
        <w:t>PG&amp;E called an event May 3</w:t>
      </w:r>
      <w:r w:rsidR="0011138E" w:rsidRPr="001310E7">
        <w:rPr>
          <w:vertAlign w:val="superscript"/>
        </w:rPr>
        <w:t>rd</w:t>
      </w:r>
      <w:r w:rsidR="0011138E">
        <w:t xml:space="preserve"> and two re-test events on July 11</w:t>
      </w:r>
      <w:r w:rsidR="0011138E" w:rsidRPr="001310E7">
        <w:rPr>
          <w:vertAlign w:val="superscript"/>
        </w:rPr>
        <w:t>th</w:t>
      </w:r>
      <w:r w:rsidR="0011138E">
        <w:t xml:space="preserve"> and October 17</w:t>
      </w:r>
      <w:r w:rsidR="0011138E" w:rsidRPr="001310E7">
        <w:rPr>
          <w:vertAlign w:val="superscript"/>
        </w:rPr>
        <w:t>th</w:t>
      </w:r>
      <w:r w:rsidR="0011138E">
        <w:t>; SCE called one event on May 3</w:t>
      </w:r>
      <w:r w:rsidR="0011138E" w:rsidRPr="001310E7">
        <w:rPr>
          <w:vertAlign w:val="superscript"/>
        </w:rPr>
        <w:t>rd</w:t>
      </w:r>
      <w:r w:rsidR="0011138E">
        <w:t>; and SDG&amp;E called one event on August 31</w:t>
      </w:r>
      <w:r w:rsidR="0011138E" w:rsidRPr="001310E7">
        <w:rPr>
          <w:vertAlign w:val="superscript"/>
        </w:rPr>
        <w:t>st</w:t>
      </w:r>
      <w:r w:rsidR="0011138E">
        <w:t>.</w:t>
      </w:r>
    </w:p>
    <w:p w14:paraId="0CC08520" w14:textId="77777777" w:rsidR="00A4624C" w:rsidRDefault="00A4624C">
      <w:pPr>
        <w:rPr>
          <w:rFonts w:ascii="Arial" w:hAnsi="Arial" w:cs="Arial"/>
          <w:b/>
          <w:bCs/>
          <w:sz w:val="26"/>
          <w:szCs w:val="26"/>
        </w:rPr>
      </w:pPr>
      <w:bookmarkStart w:id="7" w:name="_Toc415488935"/>
      <w:r>
        <w:br w:type="page"/>
      </w:r>
    </w:p>
    <w:p w14:paraId="5F559976" w14:textId="2AA811D3" w:rsidR="00A50491" w:rsidRDefault="00A50491" w:rsidP="00A50491">
      <w:pPr>
        <w:pStyle w:val="Heading3"/>
      </w:pPr>
      <w:bookmarkStart w:id="8" w:name="_Toc510091090"/>
      <w:r>
        <w:lastRenderedPageBreak/>
        <w:t>Enrollment</w:t>
      </w:r>
      <w:bookmarkEnd w:id="7"/>
      <w:bookmarkEnd w:id="8"/>
    </w:p>
    <w:p w14:paraId="71ED3455" w14:textId="30E0C01C" w:rsidR="00A50491" w:rsidRDefault="00A50491" w:rsidP="00A50491">
      <w:r w:rsidRPr="002C31CE">
        <w:t>Enrollment in PG&amp;E’s B</w:t>
      </w:r>
      <w:r>
        <w:t>I</w:t>
      </w:r>
      <w:r w:rsidRPr="002C31CE">
        <w:t xml:space="preserve">P </w:t>
      </w:r>
      <w:r w:rsidR="00D85C47">
        <w:t>increased relative to PY2016</w:t>
      </w:r>
      <w:r>
        <w:t xml:space="preserve">, from </w:t>
      </w:r>
      <w:r w:rsidR="00D85C47">
        <w:t>247</w:t>
      </w:r>
      <w:r>
        <w:t xml:space="preserve"> to </w:t>
      </w:r>
      <w:r w:rsidR="00D85C47">
        <w:t>331</w:t>
      </w:r>
      <w:r>
        <w:t xml:space="preserve"> in 201</w:t>
      </w:r>
      <w:r w:rsidR="00B167C1">
        <w:t>7</w:t>
      </w:r>
      <w:r w:rsidRPr="002C31CE">
        <w:t xml:space="preserve">. </w:t>
      </w:r>
      <w:r>
        <w:t>T</w:t>
      </w:r>
      <w:r w:rsidRPr="002C31CE">
        <w:t xml:space="preserve">he sum of enrolled customers’ </w:t>
      </w:r>
      <w:r>
        <w:t>coincident</w:t>
      </w:r>
      <w:r w:rsidRPr="002C31CE">
        <w:t xml:space="preserve"> maximum demands</w:t>
      </w:r>
      <w:r w:rsidR="00877D6C">
        <w:t xml:space="preserve"> </w:t>
      </w:r>
      <w:r>
        <w:t xml:space="preserve">was </w:t>
      </w:r>
      <w:r w:rsidR="00D85C47">
        <w:t>365.8 MW, or 1.11</w:t>
      </w:r>
      <w:r>
        <w:t xml:space="preserve"> </w:t>
      </w:r>
      <w:r w:rsidRPr="009D06AF">
        <w:t xml:space="preserve">MW for the average </w:t>
      </w:r>
      <w:r>
        <w:t>service agreement</w:t>
      </w:r>
      <w:r w:rsidRPr="009D06AF">
        <w:t>.</w:t>
      </w:r>
      <w:r w:rsidR="00877D6C" w:rsidRPr="00877D6C">
        <w:rPr>
          <w:rStyle w:val="FootnoteReference"/>
        </w:rPr>
        <w:t xml:space="preserve"> </w:t>
      </w:r>
      <w:r w:rsidR="00877D6C">
        <w:rPr>
          <w:rStyle w:val="FootnoteReference"/>
        </w:rPr>
        <w:footnoteReference w:id="1"/>
      </w:r>
      <w:r w:rsidR="00877D6C" w:rsidRPr="002C31CE">
        <w:t xml:space="preserve"> </w:t>
      </w:r>
      <w:r w:rsidRPr="002C31CE">
        <w:t>T</w:t>
      </w:r>
      <w:r>
        <w:t xml:space="preserve">he </w:t>
      </w:r>
      <w:r w:rsidR="0011138E">
        <w:t xml:space="preserve">Manufacturing </w:t>
      </w:r>
      <w:r w:rsidR="00E370BF">
        <w:t xml:space="preserve">industry group contains </w:t>
      </w:r>
      <w:r w:rsidR="0011138E">
        <w:t xml:space="preserve">62 percent </w:t>
      </w:r>
      <w:r>
        <w:t>of the enrolled load. Figure ES.1 illustrates the distribution of BIP load across the indicated industry types.</w:t>
      </w:r>
    </w:p>
    <w:p w14:paraId="11CCA31C" w14:textId="25176A8B" w:rsidR="00CB112D" w:rsidRDefault="00CB112D" w:rsidP="00A50491"/>
    <w:p w14:paraId="4AE1AB27" w14:textId="33AA8786" w:rsidR="00CB112D" w:rsidRDefault="00CB112D" w:rsidP="00CB112D">
      <w:pPr>
        <w:jc w:val="center"/>
      </w:pPr>
      <w:bookmarkStart w:id="9" w:name="_Toc415489047"/>
      <w:bookmarkStart w:id="10" w:name="_Toc508800263"/>
      <w:r w:rsidRPr="005D103A">
        <w:rPr>
          <w:rStyle w:val="FigureCaptionChar"/>
          <w:highlight w:val="lightGray"/>
        </w:rPr>
        <w:t>Figure ES.1</w:t>
      </w:r>
      <w:r w:rsidR="005221FA">
        <w:rPr>
          <w:rStyle w:val="FigureCaptionChar"/>
          <w:highlight w:val="lightGray"/>
        </w:rPr>
        <w:t>:</w:t>
      </w:r>
      <w:r w:rsidRPr="005D103A">
        <w:rPr>
          <w:rStyle w:val="FigureCaptionChar"/>
          <w:highlight w:val="lightGray"/>
        </w:rPr>
        <w:t xml:space="preserve"> Distribution of BIP Enrolled Load by Industry Type, PG&amp;E</w:t>
      </w:r>
      <w:bookmarkEnd w:id="9"/>
      <w:bookmarkEnd w:id="10"/>
      <w:r>
        <w:t xml:space="preserve"> </w:t>
      </w:r>
    </w:p>
    <w:p w14:paraId="06B20F29" w14:textId="1C8F61CB" w:rsidR="00A4624C" w:rsidRDefault="007357E6" w:rsidP="000B0F3A">
      <w:pPr>
        <w:jc w:val="center"/>
      </w:pPr>
      <w:r>
        <w:rPr>
          <w:noProof/>
        </w:rPr>
        <w:drawing>
          <wp:inline distT="0" distB="0" distL="0" distR="0" wp14:anchorId="43A76C8E" wp14:editId="08FC6C31">
            <wp:extent cx="4572000" cy="2743200"/>
            <wp:effectExtent l="0" t="0" r="0" b="0"/>
            <wp:docPr id="1" name="Chart 1">
              <a:extLst xmlns:a="http://schemas.openxmlformats.org/drawingml/2006/main">
                <a:ext uri="{FF2B5EF4-FFF2-40B4-BE49-F238E27FC236}">
                  <a16:creationId xmlns:a16="http://schemas.microsoft.com/office/drawing/2014/main" id="{DDBDE29C-35CB-413C-8EFD-A482C7CFA0F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FFF36AF" w14:textId="74F30737" w:rsidR="00A4624C" w:rsidRDefault="00A4624C">
      <w:r>
        <w:br w:type="page"/>
      </w:r>
    </w:p>
    <w:p w14:paraId="3F27AF92" w14:textId="54862E48" w:rsidR="00CB112D" w:rsidRDefault="00CB112D" w:rsidP="00CB112D">
      <w:r w:rsidRPr="00550E7D">
        <w:lastRenderedPageBreak/>
        <w:t>SCE’s enrollment in B</w:t>
      </w:r>
      <w:r>
        <w:t>I</w:t>
      </w:r>
      <w:r w:rsidRPr="00550E7D">
        <w:t xml:space="preserve">P </w:t>
      </w:r>
      <w:r>
        <w:t xml:space="preserve">was </w:t>
      </w:r>
      <w:r w:rsidR="00D85C47">
        <w:t>571</w:t>
      </w:r>
      <w:r>
        <w:t xml:space="preserve"> </w:t>
      </w:r>
      <w:r w:rsidRPr="00550E7D">
        <w:t xml:space="preserve">service accounts </w:t>
      </w:r>
      <w:r>
        <w:t xml:space="preserve">on the </w:t>
      </w:r>
      <w:r w:rsidR="00D85C47">
        <w:t>May 3, 2017</w:t>
      </w:r>
      <w:r>
        <w:t xml:space="preserve"> event day</w:t>
      </w:r>
      <w:r w:rsidRPr="00550E7D">
        <w:t xml:space="preserve">, which is a </w:t>
      </w:r>
      <w:r>
        <w:t xml:space="preserve">slight </w:t>
      </w:r>
      <w:r w:rsidRPr="00550E7D">
        <w:t xml:space="preserve">decrease relative to the </w:t>
      </w:r>
      <w:r w:rsidR="00D85C47">
        <w:t>593</w:t>
      </w:r>
      <w:r>
        <w:t xml:space="preserve"> </w:t>
      </w:r>
      <w:r w:rsidRPr="00550E7D">
        <w:t xml:space="preserve">enrolled service accounts </w:t>
      </w:r>
      <w:r>
        <w:t xml:space="preserve">during </w:t>
      </w:r>
      <w:r w:rsidRPr="00550E7D">
        <w:t>PY201</w:t>
      </w:r>
      <w:r w:rsidR="00D85C47">
        <w:t>6</w:t>
      </w:r>
      <w:r w:rsidRPr="00550E7D">
        <w:t>.</w:t>
      </w:r>
      <w:r>
        <w:t xml:space="preserve"> </w:t>
      </w:r>
      <w:r w:rsidRPr="00550E7D">
        <w:t xml:space="preserve">These accounted for a total of </w:t>
      </w:r>
      <w:r w:rsidR="00D85C47">
        <w:t>863</w:t>
      </w:r>
      <w:r w:rsidR="00F00E8C">
        <w:t>.5</w:t>
      </w:r>
      <w:r>
        <w:t xml:space="preserve"> </w:t>
      </w:r>
      <w:r w:rsidRPr="00550E7D">
        <w:t xml:space="preserve">MW of maximum demand, or </w:t>
      </w:r>
      <w:r w:rsidR="00D85C47">
        <w:t>1.51</w:t>
      </w:r>
      <w:r w:rsidRPr="00550E7D">
        <w:t xml:space="preserve"> MW per service account. Manufacturers make up </w:t>
      </w:r>
      <w:r>
        <w:t>two-thirds of the enrolled load. Figure ES.2 illustrates the distribution of SCE’s BIP load across the indicated industry types.</w:t>
      </w:r>
    </w:p>
    <w:p w14:paraId="5889D0F7" w14:textId="14EEC5C9" w:rsidR="00A4624C" w:rsidRDefault="00A4624C" w:rsidP="00CB112D"/>
    <w:p w14:paraId="2A1BE168" w14:textId="35EA93E3" w:rsidR="00CB112D" w:rsidRDefault="00CB112D" w:rsidP="00CB112D">
      <w:pPr>
        <w:jc w:val="center"/>
        <w:rPr>
          <w:noProof/>
        </w:rPr>
      </w:pPr>
      <w:bookmarkStart w:id="11" w:name="_Toc415489048"/>
      <w:bookmarkStart w:id="12" w:name="_Toc508800264"/>
      <w:r w:rsidRPr="005D103A">
        <w:rPr>
          <w:rStyle w:val="FigureCaptionChar"/>
          <w:highlight w:val="lightGray"/>
        </w:rPr>
        <w:t>Figure ES.2</w:t>
      </w:r>
      <w:r w:rsidR="005221FA">
        <w:rPr>
          <w:rStyle w:val="FigureCaptionChar"/>
          <w:highlight w:val="lightGray"/>
        </w:rPr>
        <w:t>:</w:t>
      </w:r>
      <w:r w:rsidRPr="005D103A">
        <w:rPr>
          <w:rStyle w:val="FigureCaptionChar"/>
          <w:highlight w:val="lightGray"/>
        </w:rPr>
        <w:t xml:space="preserve"> Distribution of BIP Enrolled Load by Industry Type, SCE</w:t>
      </w:r>
      <w:bookmarkEnd w:id="11"/>
      <w:bookmarkEnd w:id="12"/>
      <w:r>
        <w:t xml:space="preserve"> </w:t>
      </w:r>
    </w:p>
    <w:p w14:paraId="55443DE5" w14:textId="2DC26932" w:rsidR="00A052EA" w:rsidRDefault="00A052EA" w:rsidP="00CB112D">
      <w:pPr>
        <w:jc w:val="center"/>
      </w:pPr>
    </w:p>
    <w:p w14:paraId="56E68CB2" w14:textId="3D041D58" w:rsidR="00A4624C" w:rsidRDefault="00D67BC6" w:rsidP="00F46E39">
      <w:pPr>
        <w:jc w:val="center"/>
      </w:pPr>
      <w:r>
        <w:rPr>
          <w:noProof/>
        </w:rPr>
        <w:drawing>
          <wp:inline distT="0" distB="0" distL="0" distR="0" wp14:anchorId="61E690A2" wp14:editId="6547849F">
            <wp:extent cx="4572000" cy="2743200"/>
            <wp:effectExtent l="0" t="0" r="0" b="0"/>
            <wp:docPr id="36" name="Chart 36">
              <a:extLst xmlns:a="http://schemas.openxmlformats.org/drawingml/2006/main">
                <a:ext uri="{FF2B5EF4-FFF2-40B4-BE49-F238E27FC236}">
                  <a16:creationId xmlns:a16="http://schemas.microsoft.com/office/drawing/2014/main" id="{DDBDE29C-35CB-413C-8EFD-A482C7CFA0F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DF686B8" w14:textId="7886F559" w:rsidR="00A4624C" w:rsidRDefault="00A4624C">
      <w:r>
        <w:br w:type="page"/>
      </w:r>
    </w:p>
    <w:p w14:paraId="0369BC54" w14:textId="4A049F86" w:rsidR="00CB112D" w:rsidRDefault="00CB112D" w:rsidP="00CB112D">
      <w:r>
        <w:lastRenderedPageBreak/>
        <w:t>SDG&amp;E</w:t>
      </w:r>
      <w:r w:rsidRPr="00550E7D">
        <w:t>’s enrollment in B</w:t>
      </w:r>
      <w:r>
        <w:t>I</w:t>
      </w:r>
      <w:r w:rsidRPr="00550E7D">
        <w:t xml:space="preserve">P </w:t>
      </w:r>
      <w:r w:rsidR="00D85C47">
        <w:t>was 6</w:t>
      </w:r>
      <w:r>
        <w:t xml:space="preserve"> </w:t>
      </w:r>
      <w:r w:rsidRPr="00550E7D">
        <w:t xml:space="preserve">service accounts </w:t>
      </w:r>
      <w:r>
        <w:t xml:space="preserve">on its August </w:t>
      </w:r>
      <w:r w:rsidR="0094204D">
        <w:t>31</w:t>
      </w:r>
      <w:r>
        <w:t>, 201</w:t>
      </w:r>
      <w:r w:rsidR="0094204D">
        <w:t>7</w:t>
      </w:r>
      <w:r>
        <w:t xml:space="preserve"> event day</w:t>
      </w:r>
      <w:r w:rsidRPr="00550E7D">
        <w:t xml:space="preserve">, which is </w:t>
      </w:r>
      <w:r>
        <w:t xml:space="preserve">down from 7 service accounts enrolled during </w:t>
      </w:r>
      <w:r w:rsidRPr="00550E7D">
        <w:t>PY201</w:t>
      </w:r>
      <w:r w:rsidR="00D85C47">
        <w:t>6</w:t>
      </w:r>
      <w:r w:rsidRPr="00550E7D">
        <w:t>.</w:t>
      </w:r>
      <w:r>
        <w:t xml:space="preserve"> </w:t>
      </w:r>
      <w:r w:rsidRPr="00550E7D">
        <w:t xml:space="preserve">These accounted for a total of </w:t>
      </w:r>
      <w:r w:rsidR="007918A5" w:rsidRPr="0086367A">
        <w:t>4</w:t>
      </w:r>
      <w:r w:rsidRPr="0086367A">
        <w:t>.2 MW of maximum demand, or 0.</w:t>
      </w:r>
      <w:r w:rsidR="007918A5" w:rsidRPr="0086367A">
        <w:t>70</w:t>
      </w:r>
      <w:r w:rsidRPr="0086367A">
        <w:t xml:space="preserve"> MW per service account. </w:t>
      </w:r>
      <w:r w:rsidR="007918A5" w:rsidRPr="0086367A">
        <w:t>Four</w:t>
      </w:r>
      <w:r w:rsidRPr="0086367A">
        <w:t xml:space="preserve"> </w:t>
      </w:r>
      <w:r w:rsidR="00C76A87" w:rsidRPr="0086367A">
        <w:t>A</w:t>
      </w:r>
      <w:r w:rsidRPr="0086367A">
        <w:t xml:space="preserve">griculture, </w:t>
      </w:r>
      <w:r w:rsidR="00C76A87" w:rsidRPr="0086367A">
        <w:t>M</w:t>
      </w:r>
      <w:r w:rsidRPr="0086367A">
        <w:t xml:space="preserve">ining, and </w:t>
      </w:r>
      <w:r w:rsidR="00C76A87" w:rsidRPr="0086367A">
        <w:t>C</w:t>
      </w:r>
      <w:r w:rsidRPr="0086367A">
        <w:t xml:space="preserve">onstruction customers make up </w:t>
      </w:r>
      <w:r w:rsidR="00C76A87" w:rsidRPr="0086367A">
        <w:t>84</w:t>
      </w:r>
      <w:r w:rsidRPr="0086367A">
        <w:t xml:space="preserve"> percent of the enrolled load.</w:t>
      </w:r>
      <w:r>
        <w:t xml:space="preserve"> Figure ES.3 illustrates the distribution of SDG&amp;E’s BIP load across the indicated industry types.</w:t>
      </w:r>
    </w:p>
    <w:p w14:paraId="33EF7B21" w14:textId="77777777" w:rsidR="00CB112D" w:rsidRDefault="00CB112D" w:rsidP="00CB112D"/>
    <w:p w14:paraId="5588F63D" w14:textId="2E8BF8E8" w:rsidR="00A72C68" w:rsidRDefault="00CB112D" w:rsidP="00CB112D">
      <w:pPr>
        <w:jc w:val="center"/>
        <w:rPr>
          <w:noProof/>
        </w:rPr>
      </w:pPr>
      <w:bookmarkStart w:id="13" w:name="_Toc415489049"/>
      <w:bookmarkStart w:id="14" w:name="_Toc508800265"/>
      <w:r w:rsidRPr="0086367A">
        <w:rPr>
          <w:rStyle w:val="FigureCaptionChar"/>
        </w:rPr>
        <w:t>Figure ES.3</w:t>
      </w:r>
      <w:r w:rsidR="005221FA" w:rsidRPr="0086367A">
        <w:rPr>
          <w:rStyle w:val="FigureCaptionChar"/>
        </w:rPr>
        <w:t>:</w:t>
      </w:r>
      <w:r w:rsidRPr="0086367A">
        <w:rPr>
          <w:rStyle w:val="FigureCaptionChar"/>
        </w:rPr>
        <w:t xml:space="preserve"> Distribution of BIP Enrolled Load by Industry Type, SDG&amp;E</w:t>
      </w:r>
      <w:bookmarkEnd w:id="13"/>
      <w:bookmarkEnd w:id="14"/>
      <w:r>
        <w:t xml:space="preserve"> </w:t>
      </w:r>
    </w:p>
    <w:p w14:paraId="0B332C4B" w14:textId="2AF7AE2C" w:rsidR="00A052EA" w:rsidRDefault="001773CE" w:rsidP="00CB112D">
      <w:pPr>
        <w:jc w:val="center"/>
      </w:pPr>
      <w:r>
        <w:rPr>
          <w:noProof/>
        </w:rPr>
        <w:drawing>
          <wp:inline distT="0" distB="0" distL="0" distR="0" wp14:anchorId="17DBC60D" wp14:editId="49144DC1">
            <wp:extent cx="4572635" cy="2737485"/>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635" cy="2737485"/>
                    </a:xfrm>
                    <a:prstGeom prst="rect">
                      <a:avLst/>
                    </a:prstGeom>
                    <a:noFill/>
                  </pic:spPr>
                </pic:pic>
              </a:graphicData>
            </a:graphic>
          </wp:inline>
        </w:drawing>
      </w:r>
    </w:p>
    <w:p w14:paraId="6566572C" w14:textId="77777777" w:rsidR="00A72C68" w:rsidRDefault="00A72C68" w:rsidP="00A72C68">
      <w:pPr>
        <w:pStyle w:val="Heading2"/>
      </w:pPr>
      <w:bookmarkStart w:id="15" w:name="_Toc415488936"/>
      <w:bookmarkStart w:id="16" w:name="_Toc510091091"/>
      <w:r>
        <w:t>ES.2 Evaluation Methodology</w:t>
      </w:r>
      <w:bookmarkEnd w:id="15"/>
      <w:bookmarkEnd w:id="16"/>
    </w:p>
    <w:p w14:paraId="222B2F98" w14:textId="2E10A4AD" w:rsidR="00A72C68" w:rsidRDefault="00A72C68" w:rsidP="00A72C68">
      <w:pPr>
        <w:spacing w:after="240"/>
      </w:pPr>
      <w:r>
        <w:t xml:space="preserve">We estimated </w:t>
      </w:r>
      <w:r w:rsidRPr="00A47ED2">
        <w:rPr>
          <w:i/>
        </w:rPr>
        <w:t>ex</w:t>
      </w:r>
      <w:r w:rsidR="00A47ED2" w:rsidRPr="00A47ED2">
        <w:rPr>
          <w:i/>
        </w:rPr>
        <w:t>-</w:t>
      </w:r>
      <w:r w:rsidRPr="00A47ED2">
        <w:rPr>
          <w:i/>
        </w:rPr>
        <w:t>post</w:t>
      </w:r>
      <w:r>
        <w:t xml:space="preserve"> load impacts using regression analysis of customer-level hourly load data. Individual-customer regression equations modeled hourly load as a function of several variables designed to control for factors affecting consumers’ hourly demand levels, including:</w:t>
      </w:r>
    </w:p>
    <w:p w14:paraId="6DCD9051" w14:textId="77777777" w:rsidR="00A72C68" w:rsidRPr="001E060E" w:rsidRDefault="00A72C68" w:rsidP="00A72C68">
      <w:pPr>
        <w:numPr>
          <w:ilvl w:val="0"/>
          <w:numId w:val="1"/>
        </w:numPr>
      </w:pPr>
      <w:r>
        <w:t>Seasonal and hourly time patterns (</w:t>
      </w:r>
      <w:r>
        <w:rPr>
          <w:i/>
        </w:rPr>
        <w:t>e.g.</w:t>
      </w:r>
      <w:r>
        <w:t xml:space="preserve">, year, month, day-of-week, and hour, plus </w:t>
      </w:r>
      <w:r w:rsidRPr="001E060E">
        <w:t>various hour/day-type interactions)</w:t>
      </w:r>
      <w:r>
        <w:t>;</w:t>
      </w:r>
    </w:p>
    <w:p w14:paraId="022652D0" w14:textId="77777777" w:rsidR="00A72C68" w:rsidRPr="001E060E" w:rsidRDefault="00A72C68" w:rsidP="00A72C68">
      <w:pPr>
        <w:numPr>
          <w:ilvl w:val="0"/>
          <w:numId w:val="1"/>
        </w:numPr>
      </w:pPr>
      <w:r w:rsidRPr="001E060E">
        <w:t>Weather (</w:t>
      </w:r>
      <w:r w:rsidRPr="001E060E">
        <w:rPr>
          <w:i/>
        </w:rPr>
        <w:t>e.g.</w:t>
      </w:r>
      <w:r w:rsidRPr="001E060E">
        <w:t xml:space="preserve">, cooling degree </w:t>
      </w:r>
      <w:r>
        <w:t>hours</w:t>
      </w:r>
      <w:r w:rsidRPr="001E060E">
        <w:t>, including hour-specific weather coefficients)</w:t>
      </w:r>
      <w:r>
        <w:t>;</w:t>
      </w:r>
    </w:p>
    <w:p w14:paraId="1343B1E2" w14:textId="77777777" w:rsidR="00A72C68" w:rsidRPr="001E060E" w:rsidRDefault="00A72C68" w:rsidP="00A72C68">
      <w:pPr>
        <w:numPr>
          <w:ilvl w:val="0"/>
          <w:numId w:val="1"/>
        </w:numPr>
      </w:pPr>
      <w:r w:rsidRPr="001E060E">
        <w:t xml:space="preserve">Event </w:t>
      </w:r>
      <w:r>
        <w:t xml:space="preserve">indicator (dummy) variables. A series of variables was included to account for each hour of each event day, allowing us to estimate the load impacts for each hour of each event day.  </w:t>
      </w:r>
    </w:p>
    <w:p w14:paraId="270BE70C" w14:textId="77777777" w:rsidR="00A72C68" w:rsidRDefault="00A72C68" w:rsidP="00A72C68"/>
    <w:p w14:paraId="0EAB8DD4" w14:textId="77777777" w:rsidR="00A72C68" w:rsidRDefault="00A72C68" w:rsidP="00A72C68">
      <w:r>
        <w:t>BIP load impacts for each event were obtained by summing the estimated hourly event coefficients from the customer-level regressions. The individual customer models allow the development of information on the distribution of load impacts across industry types and geographical regions, by aggregating customer load impacts for the relevant industry group or local capacity area.</w:t>
      </w:r>
    </w:p>
    <w:p w14:paraId="546C9A3F" w14:textId="77777777" w:rsidR="00A72C68" w:rsidRDefault="00A72C68" w:rsidP="00A72C68"/>
    <w:p w14:paraId="5B3D383D" w14:textId="79ED002F" w:rsidR="00A72C68" w:rsidRDefault="00A72C68" w:rsidP="00A72C68">
      <w:pPr>
        <w:pStyle w:val="Heading2"/>
      </w:pPr>
      <w:bookmarkStart w:id="17" w:name="_Toc206570217"/>
      <w:bookmarkStart w:id="18" w:name="_Toc257708584"/>
      <w:bookmarkStart w:id="19" w:name="_Toc289180058"/>
      <w:bookmarkStart w:id="20" w:name="_Toc326224615"/>
      <w:bookmarkStart w:id="21" w:name="_Toc352235830"/>
      <w:bookmarkStart w:id="22" w:name="_Toc383597899"/>
      <w:bookmarkStart w:id="23" w:name="_Toc415488937"/>
      <w:bookmarkStart w:id="24" w:name="_Toc510091092"/>
      <w:r>
        <w:lastRenderedPageBreak/>
        <w:t xml:space="preserve">ES.3 </w:t>
      </w:r>
      <w:bookmarkEnd w:id="17"/>
      <w:r>
        <w:t>Ex</w:t>
      </w:r>
      <w:r w:rsidR="00A47ED2">
        <w:t>-p</w:t>
      </w:r>
      <w:r>
        <w:t>ost Load Impacts</w:t>
      </w:r>
      <w:bookmarkEnd w:id="18"/>
      <w:bookmarkEnd w:id="19"/>
      <w:bookmarkEnd w:id="20"/>
      <w:bookmarkEnd w:id="21"/>
      <w:bookmarkEnd w:id="22"/>
      <w:bookmarkEnd w:id="23"/>
      <w:bookmarkEnd w:id="24"/>
    </w:p>
    <w:p w14:paraId="56A3509A" w14:textId="27F33BC8" w:rsidR="00A72C68" w:rsidRDefault="00A72C68" w:rsidP="00A72C68">
      <w:r>
        <w:t xml:space="preserve">The total program load impact for PG&amp;E’s </w:t>
      </w:r>
      <w:r w:rsidR="00D43871">
        <w:t>May 3</w:t>
      </w:r>
      <w:r w:rsidR="00D43871" w:rsidRPr="00D43871">
        <w:rPr>
          <w:vertAlign w:val="superscript"/>
        </w:rPr>
        <w:t>rd</w:t>
      </w:r>
      <w:r w:rsidR="00D43871">
        <w:t xml:space="preserve"> </w:t>
      </w:r>
      <w:r>
        <w:t xml:space="preserve">event averaged </w:t>
      </w:r>
      <w:r w:rsidR="00D02C67">
        <w:t>195</w:t>
      </w:r>
      <w:r>
        <w:t xml:space="preserve"> MW, or </w:t>
      </w:r>
      <w:r w:rsidR="00D02C67">
        <w:t xml:space="preserve">57 </w:t>
      </w:r>
      <w:r>
        <w:t xml:space="preserve">percent of enrolled load, representing </w:t>
      </w:r>
      <w:r w:rsidR="00D02C67">
        <w:t>75</w:t>
      </w:r>
      <w:r>
        <w:t xml:space="preserve"> percent of the reduction required to meet the aggregate FSL.</w:t>
      </w:r>
      <w:r w:rsidR="00D02C67">
        <w:t xml:space="preserve"> Total load Impact for the July 11</w:t>
      </w:r>
      <w:r w:rsidR="00D02C67" w:rsidRPr="00D02C67">
        <w:rPr>
          <w:vertAlign w:val="superscript"/>
        </w:rPr>
        <w:t>th</w:t>
      </w:r>
      <w:r w:rsidR="00D02C67">
        <w:t xml:space="preserve"> event averaged </w:t>
      </w:r>
      <w:r w:rsidR="00606F5B">
        <w:t>69</w:t>
      </w:r>
      <w:r w:rsidR="00D02C67">
        <w:t xml:space="preserve"> MW, or </w:t>
      </w:r>
      <w:r w:rsidR="00606F5B">
        <w:t>63</w:t>
      </w:r>
      <w:r w:rsidR="00D02C67">
        <w:t xml:space="preserve"> percent of enrolled load, representing </w:t>
      </w:r>
      <w:r w:rsidR="00606F5B">
        <w:t>99</w:t>
      </w:r>
      <w:r w:rsidR="00D02C67">
        <w:t xml:space="preserve"> percent of the reduction required to meet the aggregate FSL.</w:t>
      </w:r>
    </w:p>
    <w:p w14:paraId="525818FC" w14:textId="77777777" w:rsidR="00A72C68" w:rsidRDefault="00A72C68" w:rsidP="00A72C68"/>
    <w:p w14:paraId="18C34AC0" w14:textId="2F2CC745" w:rsidR="00A72C68" w:rsidRDefault="00A72C68" w:rsidP="00A72C68">
      <w:r w:rsidRPr="009D488A">
        <w:t xml:space="preserve">For SCE, </w:t>
      </w:r>
      <w:r>
        <w:t>the load impact</w:t>
      </w:r>
      <w:r w:rsidRPr="009D488A">
        <w:t xml:space="preserve"> </w:t>
      </w:r>
      <w:r w:rsidR="00C76A87">
        <w:t xml:space="preserve">during the only full hour of </w:t>
      </w:r>
      <w:r>
        <w:t xml:space="preserve">its </w:t>
      </w:r>
      <w:r w:rsidR="00D02C67">
        <w:t>May</w:t>
      </w:r>
      <w:r>
        <w:t xml:space="preserve"> </w:t>
      </w:r>
      <w:r w:rsidR="00D02C67">
        <w:t>3</w:t>
      </w:r>
      <w:r w:rsidR="00D02C67" w:rsidRPr="00D02C67">
        <w:rPr>
          <w:vertAlign w:val="superscript"/>
        </w:rPr>
        <w:t>rd</w:t>
      </w:r>
      <w:r w:rsidR="00D02C67">
        <w:t xml:space="preserve"> </w:t>
      </w:r>
      <w:r>
        <w:t>event was</w:t>
      </w:r>
      <w:r w:rsidRPr="009D488A">
        <w:t xml:space="preserve"> </w:t>
      </w:r>
      <w:r w:rsidR="00C76A87">
        <w:t>615</w:t>
      </w:r>
      <w:r>
        <w:t xml:space="preserve"> MW, or </w:t>
      </w:r>
      <w:r w:rsidR="00C76A87">
        <w:t>78</w:t>
      </w:r>
      <w:r w:rsidRPr="009D488A">
        <w:t xml:space="preserve"> percent of the total reference load. </w:t>
      </w:r>
      <w:r>
        <w:t xml:space="preserve">This was </w:t>
      </w:r>
      <w:r w:rsidR="00C76A87">
        <w:t>89</w:t>
      </w:r>
      <w:r>
        <w:t xml:space="preserve"> percent of the reduction required to meet the aggregate FSL.</w:t>
      </w:r>
    </w:p>
    <w:p w14:paraId="17175B01" w14:textId="77777777" w:rsidR="00A72C68" w:rsidRDefault="00A72C68" w:rsidP="00A72C68"/>
    <w:p w14:paraId="666CC904" w14:textId="12BC26AB" w:rsidR="00A72C68" w:rsidRDefault="00A72C68" w:rsidP="00A72C68">
      <w:r>
        <w:t>SDG&amp;E’s tot</w:t>
      </w:r>
      <w:r w:rsidR="005767A7">
        <w:t>al load impact for its August 31</w:t>
      </w:r>
      <w:r w:rsidR="005767A7" w:rsidRPr="005767A7">
        <w:rPr>
          <w:vertAlign w:val="superscript"/>
        </w:rPr>
        <w:t>st</w:t>
      </w:r>
      <w:r w:rsidR="005767A7">
        <w:t xml:space="preserve"> </w:t>
      </w:r>
      <w:r>
        <w:t xml:space="preserve">test event averaged </w:t>
      </w:r>
      <w:r w:rsidR="006866CB" w:rsidRPr="0086367A">
        <w:t>2</w:t>
      </w:r>
      <w:r w:rsidRPr="0086367A">
        <w:t xml:space="preserve">.5 MW, or </w:t>
      </w:r>
      <w:r w:rsidR="006866CB" w:rsidRPr="0086367A">
        <w:t>71</w:t>
      </w:r>
      <w:r w:rsidRPr="0086367A">
        <w:t xml:space="preserve"> percent of enrolled load, representing </w:t>
      </w:r>
      <w:r w:rsidR="00AD7506" w:rsidRPr="0086367A">
        <w:t>10</w:t>
      </w:r>
      <w:r w:rsidR="006866CB" w:rsidRPr="0086367A">
        <w:t>8</w:t>
      </w:r>
      <w:r w:rsidRPr="0086367A">
        <w:t xml:space="preserve"> percent of the reduction required to meet the aggregate FSL.</w:t>
      </w:r>
    </w:p>
    <w:p w14:paraId="476AD169" w14:textId="31DD4132" w:rsidR="00DF4321" w:rsidRDefault="00DF4321" w:rsidP="00DF4321">
      <w:pPr>
        <w:pStyle w:val="Heading2"/>
      </w:pPr>
      <w:bookmarkStart w:id="25" w:name="_Toc289180060"/>
      <w:bookmarkStart w:id="26" w:name="_Toc326224618"/>
      <w:bookmarkStart w:id="27" w:name="_Toc352235833"/>
      <w:bookmarkStart w:id="28" w:name="_Toc383597902"/>
      <w:bookmarkStart w:id="29" w:name="_Toc415488938"/>
      <w:bookmarkStart w:id="30" w:name="_Toc510091093"/>
      <w:r>
        <w:t>ES.4 Ex</w:t>
      </w:r>
      <w:r w:rsidR="00A47ED2">
        <w:t>-a</w:t>
      </w:r>
      <w:r>
        <w:t>nte Load Impacts</w:t>
      </w:r>
      <w:bookmarkEnd w:id="25"/>
      <w:bookmarkEnd w:id="26"/>
      <w:bookmarkEnd w:id="27"/>
      <w:bookmarkEnd w:id="28"/>
      <w:bookmarkEnd w:id="29"/>
      <w:bookmarkEnd w:id="30"/>
    </w:p>
    <w:p w14:paraId="67F09437" w14:textId="62F3807D" w:rsidR="00DF4321" w:rsidRDefault="00DF4321" w:rsidP="00DF4321">
      <w:r>
        <w:t xml:space="preserve">Scenarios of </w:t>
      </w:r>
      <w:r w:rsidRPr="00A47ED2">
        <w:rPr>
          <w:i/>
        </w:rPr>
        <w:t>ex</w:t>
      </w:r>
      <w:r w:rsidR="00A47ED2" w:rsidRPr="00A47ED2">
        <w:rPr>
          <w:i/>
        </w:rPr>
        <w:t>-</w:t>
      </w:r>
      <w:r w:rsidRPr="00A47ED2">
        <w:rPr>
          <w:i/>
        </w:rPr>
        <w:t>ante</w:t>
      </w:r>
      <w:r>
        <w:t xml:space="preserve"> load impacts are developed by combining enrollment forecasts with per-customer reference loads and load impacts, which were developed using the results of the </w:t>
      </w:r>
      <w:r w:rsidRPr="00A47ED2">
        <w:rPr>
          <w:i/>
        </w:rPr>
        <w:t>ex</w:t>
      </w:r>
      <w:r w:rsidR="00A47ED2" w:rsidRPr="00A47ED2">
        <w:rPr>
          <w:i/>
        </w:rPr>
        <w:t>-</w:t>
      </w:r>
      <w:r w:rsidRPr="00A47ED2">
        <w:rPr>
          <w:i/>
        </w:rPr>
        <w:t>post</w:t>
      </w:r>
      <w:r>
        <w:t xml:space="preserve"> load impact evaluation.</w:t>
      </w:r>
    </w:p>
    <w:p w14:paraId="1372F17A" w14:textId="77777777" w:rsidR="00DF4321" w:rsidRDefault="00DF4321" w:rsidP="00DF4321"/>
    <w:p w14:paraId="3BA69396" w14:textId="4A1ACBE3" w:rsidR="00DF4321" w:rsidRDefault="00DF4321" w:rsidP="00DF4321">
      <w:r>
        <w:t>PG&amp;E forecasts BIP enrollments to remain constant</w:t>
      </w:r>
      <w:r w:rsidR="00103D54">
        <w:t xml:space="preserve"> from 201</w:t>
      </w:r>
      <w:r w:rsidR="00AD7506">
        <w:t>8</w:t>
      </w:r>
      <w:r w:rsidR="00103D54">
        <w:t xml:space="preserve"> through 202</w:t>
      </w:r>
      <w:r w:rsidR="00AD7506">
        <w:t>8</w:t>
      </w:r>
      <w:r w:rsidR="00103D54">
        <w:t xml:space="preserve">, with </w:t>
      </w:r>
      <w:r w:rsidR="0022708D">
        <w:t>362</w:t>
      </w:r>
      <w:r>
        <w:t xml:space="preserve"> enrolled</w:t>
      </w:r>
      <w:r w:rsidR="0022708D">
        <w:t xml:space="preserve"> customers</w:t>
      </w:r>
      <w:r>
        <w:t xml:space="preserve">. </w:t>
      </w:r>
      <w:r w:rsidRPr="006753ED">
        <w:t>SCE projects BIP enr</w:t>
      </w:r>
      <w:r w:rsidR="00AD7506">
        <w:t>ollments to decrease during 2018 through 2023</w:t>
      </w:r>
      <w:r w:rsidRPr="006753ED">
        <w:t xml:space="preserve"> by </w:t>
      </w:r>
      <w:r>
        <w:t>a total of</w:t>
      </w:r>
      <w:r w:rsidR="00AD7506">
        <w:t xml:space="preserve"> 9</w:t>
      </w:r>
      <w:r>
        <w:t xml:space="preserve"> percent</w:t>
      </w:r>
      <w:r w:rsidR="00C76A87">
        <w:t xml:space="preserve"> and then remain constant through 2028</w:t>
      </w:r>
      <w:r>
        <w:t xml:space="preserve">. SDG&amp;E forecasts </w:t>
      </w:r>
      <w:r w:rsidR="005A625A">
        <w:t xml:space="preserve">a small increase in enrollments until 2022 and then remaining constant thereafter with 11 </w:t>
      </w:r>
      <w:r w:rsidR="00E336FE">
        <w:t>customers</w:t>
      </w:r>
      <w:r w:rsidR="005A625A">
        <w:t xml:space="preserve">. </w:t>
      </w:r>
    </w:p>
    <w:p w14:paraId="0078B92A" w14:textId="77777777" w:rsidR="00DF4321" w:rsidRDefault="00DF4321" w:rsidP="00DF4321"/>
    <w:p w14:paraId="3264214D" w14:textId="7CEB8C5F" w:rsidR="00DF4321" w:rsidRDefault="00DF4321" w:rsidP="00DF4321">
      <w:r>
        <w:t xml:space="preserve">SDG&amp;E’s </w:t>
      </w:r>
      <w:r w:rsidRPr="007D7308">
        <w:rPr>
          <w:i/>
        </w:rPr>
        <w:t>ex</w:t>
      </w:r>
      <w:r w:rsidR="007D7308" w:rsidRPr="007D7308">
        <w:rPr>
          <w:i/>
        </w:rPr>
        <w:t>-</w:t>
      </w:r>
      <w:r w:rsidRPr="007D7308">
        <w:rPr>
          <w:i/>
        </w:rPr>
        <w:t>ante</w:t>
      </w:r>
      <w:r>
        <w:t xml:space="preserve"> load impact for a typical event day under utility-specific 1-in-2 weather conditions is </w:t>
      </w:r>
      <w:r w:rsidRPr="0086367A">
        <w:t>1.</w:t>
      </w:r>
      <w:r w:rsidR="00AD7506" w:rsidRPr="0086367A">
        <w:t>3</w:t>
      </w:r>
      <w:r w:rsidRPr="0086367A">
        <w:t xml:space="preserve"> MW</w:t>
      </w:r>
      <w:r>
        <w:t xml:space="preserve">. </w:t>
      </w:r>
    </w:p>
    <w:p w14:paraId="465E64C9" w14:textId="77777777" w:rsidR="00DF4321" w:rsidRDefault="00DF4321" w:rsidP="00DF4321"/>
    <w:p w14:paraId="12830531" w14:textId="60AC13A1" w:rsidR="00DF4321" w:rsidRDefault="00DF4321" w:rsidP="00DF4321">
      <w:r>
        <w:t>Figures ES.4</w:t>
      </w:r>
      <w:r w:rsidR="00C76A87">
        <w:t xml:space="preserve"> through ES.</w:t>
      </w:r>
      <w:r w:rsidR="00DF0378">
        <w:t>6</w:t>
      </w:r>
      <w:r>
        <w:t xml:space="preserve"> show the </w:t>
      </w:r>
      <w:r w:rsidRPr="007D7308">
        <w:rPr>
          <w:i/>
        </w:rPr>
        <w:t>e</w:t>
      </w:r>
      <w:r w:rsidR="007D7308" w:rsidRPr="007D7308">
        <w:rPr>
          <w:i/>
        </w:rPr>
        <w:t>x-</w:t>
      </w:r>
      <w:r w:rsidRPr="007D7308">
        <w:rPr>
          <w:i/>
        </w:rPr>
        <w:t>ante</w:t>
      </w:r>
      <w:r>
        <w:t xml:space="preserve"> load impacts for PG&amp;E</w:t>
      </w:r>
      <w:r w:rsidR="00DF0378">
        <w:t>,</w:t>
      </w:r>
      <w:r>
        <w:t xml:space="preserve"> SCE,</w:t>
      </w:r>
      <w:r w:rsidR="00DF0378">
        <w:t xml:space="preserve"> and SDG&amp;E</w:t>
      </w:r>
      <w:r>
        <w:t xml:space="preserve"> respectively. </w:t>
      </w:r>
      <w:r w:rsidR="00DF0378">
        <w:t>These</w:t>
      </w:r>
      <w:r>
        <w:t xml:space="preserve"> figures illustrate the lack of weather sensitivity at the aggregate level.</w:t>
      </w:r>
    </w:p>
    <w:p w14:paraId="09C4FC86" w14:textId="77777777" w:rsidR="00A72C68" w:rsidRDefault="00A72C68" w:rsidP="00CB112D">
      <w:pPr>
        <w:jc w:val="center"/>
      </w:pPr>
    </w:p>
    <w:p w14:paraId="5A2EC879" w14:textId="59176DCC" w:rsidR="00111550" w:rsidRDefault="007F5303" w:rsidP="00111550">
      <w:pPr>
        <w:keepNext/>
        <w:jc w:val="center"/>
        <w:rPr>
          <w:rStyle w:val="FigureCaptionChar"/>
        </w:rPr>
      </w:pPr>
      <w:bookmarkStart w:id="31" w:name="_Toc289180142"/>
      <w:bookmarkStart w:id="32" w:name="_Toc326224711"/>
      <w:bookmarkStart w:id="33" w:name="_Toc352235939"/>
      <w:bookmarkStart w:id="34" w:name="_Toc383598036"/>
      <w:bookmarkStart w:id="35" w:name="_Toc415489050"/>
      <w:bookmarkStart w:id="36" w:name="_Toc508800266"/>
      <w:r w:rsidRPr="00D93FB3">
        <w:rPr>
          <w:rStyle w:val="FigureCaptionChar"/>
        </w:rPr>
        <w:lastRenderedPageBreak/>
        <w:t xml:space="preserve">Figure ES.4: Average August </w:t>
      </w:r>
      <w:r w:rsidRPr="00A22D15">
        <w:rPr>
          <w:rStyle w:val="FigureCaptionChar"/>
          <w:i/>
        </w:rPr>
        <w:t>Ex</w:t>
      </w:r>
      <w:r w:rsidR="007D7308" w:rsidRPr="00A22D15">
        <w:rPr>
          <w:rStyle w:val="FigureCaptionChar"/>
          <w:i/>
        </w:rPr>
        <w:t>-</w:t>
      </w:r>
      <w:r w:rsidR="00C76A87">
        <w:rPr>
          <w:rStyle w:val="FigureCaptionChar"/>
          <w:i/>
        </w:rPr>
        <w:t>A</w:t>
      </w:r>
      <w:r w:rsidRPr="00A22D15">
        <w:rPr>
          <w:rStyle w:val="FigureCaptionChar"/>
          <w:i/>
        </w:rPr>
        <w:t>nte</w:t>
      </w:r>
      <w:r w:rsidRPr="00D93FB3">
        <w:rPr>
          <w:rStyle w:val="FigureCaptionChar"/>
        </w:rPr>
        <w:t xml:space="preserve"> Load Impacts by Scenario</w:t>
      </w:r>
      <w:r w:rsidR="00AD7506">
        <w:rPr>
          <w:rStyle w:val="FigureCaptionChar"/>
        </w:rPr>
        <w:t>, 2018</w:t>
      </w:r>
      <w:r w:rsidR="00D93FB3" w:rsidRPr="00D93FB3">
        <w:rPr>
          <w:rStyle w:val="FigureCaptionChar"/>
        </w:rPr>
        <w:t>-202</w:t>
      </w:r>
      <w:r w:rsidR="00AD7506">
        <w:rPr>
          <w:rStyle w:val="FigureCaptionChar"/>
        </w:rPr>
        <w:t>8</w:t>
      </w:r>
      <w:r w:rsidRPr="00D93FB3">
        <w:rPr>
          <w:rStyle w:val="FigureCaptionChar"/>
        </w:rPr>
        <w:t xml:space="preserve">, </w:t>
      </w:r>
      <w:bookmarkEnd w:id="31"/>
      <w:r w:rsidRPr="00C76A87">
        <w:rPr>
          <w:rStyle w:val="FigureCaptionChar"/>
          <w:i/>
        </w:rPr>
        <w:t>PG&amp;E</w:t>
      </w:r>
      <w:bookmarkEnd w:id="32"/>
      <w:bookmarkEnd w:id="33"/>
      <w:bookmarkEnd w:id="34"/>
      <w:bookmarkEnd w:id="35"/>
      <w:bookmarkEnd w:id="36"/>
    </w:p>
    <w:p w14:paraId="3F898F20" w14:textId="2BE73A15" w:rsidR="00423149" w:rsidRDefault="0022708D" w:rsidP="0026083E">
      <w:pPr>
        <w:jc w:val="center"/>
      </w:pPr>
      <w:bookmarkStart w:id="37" w:name="_Toc415489051"/>
      <w:r>
        <w:rPr>
          <w:noProof/>
        </w:rPr>
        <w:drawing>
          <wp:inline distT="0" distB="0" distL="0" distR="0" wp14:anchorId="598A4F67" wp14:editId="60AC0E9E">
            <wp:extent cx="4572635" cy="2743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423595D6" w14:textId="77777777" w:rsidR="00F21F46" w:rsidRDefault="00F21F46" w:rsidP="0026083E">
      <w:pPr>
        <w:jc w:val="center"/>
      </w:pPr>
    </w:p>
    <w:p w14:paraId="7415718B" w14:textId="6AB4EBC8" w:rsidR="007F5303" w:rsidRPr="0097115E" w:rsidRDefault="007F5303" w:rsidP="007F5303">
      <w:pPr>
        <w:pStyle w:val="FigureCaption"/>
        <w:keepNext/>
        <w:keepLines/>
      </w:pPr>
      <w:bookmarkStart w:id="38" w:name="_Toc508800267"/>
      <w:r w:rsidRPr="00DD49B6">
        <w:t>Figure ES.</w:t>
      </w:r>
      <w:r>
        <w:t>5</w:t>
      </w:r>
      <w:r w:rsidRPr="00DD49B6">
        <w:t xml:space="preserve">: Average </w:t>
      </w:r>
      <w:r>
        <w:t xml:space="preserve">August </w:t>
      </w:r>
      <w:r w:rsidRPr="007D7308">
        <w:rPr>
          <w:i/>
        </w:rPr>
        <w:t>Ex</w:t>
      </w:r>
      <w:r w:rsidR="007D7308" w:rsidRPr="007D7308">
        <w:rPr>
          <w:i/>
        </w:rPr>
        <w:t>-</w:t>
      </w:r>
      <w:r w:rsidR="00C76A87">
        <w:rPr>
          <w:i/>
        </w:rPr>
        <w:t>A</w:t>
      </w:r>
      <w:r w:rsidRPr="007D7308">
        <w:rPr>
          <w:i/>
        </w:rPr>
        <w:t>nte</w:t>
      </w:r>
      <w:r w:rsidRPr="00DD49B6">
        <w:t xml:space="preserve"> Load Impacts by Year and Scenario, </w:t>
      </w:r>
      <w:r w:rsidRPr="00DD49B6">
        <w:rPr>
          <w:i/>
        </w:rPr>
        <w:t>SCE</w:t>
      </w:r>
      <w:bookmarkEnd w:id="37"/>
      <w:bookmarkEnd w:id="38"/>
    </w:p>
    <w:p w14:paraId="53FB5718" w14:textId="75F28BAE" w:rsidR="007F5303" w:rsidRDefault="00624096" w:rsidP="00CB112D">
      <w:pPr>
        <w:jc w:val="center"/>
      </w:pPr>
      <w:r>
        <w:rPr>
          <w:noProof/>
        </w:rPr>
        <w:drawing>
          <wp:inline distT="0" distB="0" distL="0" distR="0" wp14:anchorId="358044D3" wp14:editId="725D076B">
            <wp:extent cx="4572635" cy="274320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2041C2E0" w14:textId="08BA8B00" w:rsidR="00D93FB3" w:rsidRDefault="00D93FB3" w:rsidP="007F5303"/>
    <w:p w14:paraId="77732DFA" w14:textId="439C80CA" w:rsidR="00D93FB3" w:rsidRDefault="00D93FB3" w:rsidP="007F5303"/>
    <w:p w14:paraId="66059D59" w14:textId="0580FE4B" w:rsidR="00D93FB3" w:rsidRDefault="00D93FB3" w:rsidP="007030CD">
      <w:pPr>
        <w:keepNext/>
        <w:tabs>
          <w:tab w:val="left" w:pos="5025"/>
        </w:tabs>
        <w:jc w:val="center"/>
        <w:rPr>
          <w:noProof/>
        </w:rPr>
      </w:pPr>
      <w:bookmarkStart w:id="39" w:name="_Toc508800268"/>
      <w:r w:rsidRPr="0086367A">
        <w:rPr>
          <w:rStyle w:val="FigureCaptionChar"/>
        </w:rPr>
        <w:lastRenderedPageBreak/>
        <w:t xml:space="preserve">Figure ES.6: Average August </w:t>
      </w:r>
      <w:r w:rsidRPr="0086367A">
        <w:rPr>
          <w:rStyle w:val="FigureCaptionChar"/>
          <w:i/>
        </w:rPr>
        <w:t>Ex-</w:t>
      </w:r>
      <w:r w:rsidR="00C76A87" w:rsidRPr="0086367A">
        <w:rPr>
          <w:rStyle w:val="FigureCaptionChar"/>
          <w:i/>
        </w:rPr>
        <w:t>A</w:t>
      </w:r>
      <w:r w:rsidRPr="0086367A">
        <w:rPr>
          <w:rStyle w:val="FigureCaptionChar"/>
          <w:i/>
        </w:rPr>
        <w:t>nte</w:t>
      </w:r>
      <w:r w:rsidRPr="0086367A">
        <w:rPr>
          <w:rStyle w:val="FigureCaptionChar"/>
        </w:rPr>
        <w:t xml:space="preserve"> Load Impacts by Scenario, 201</w:t>
      </w:r>
      <w:r w:rsidR="00AD7506" w:rsidRPr="0086367A">
        <w:rPr>
          <w:rStyle w:val="FigureCaptionChar"/>
        </w:rPr>
        <w:t>8</w:t>
      </w:r>
      <w:r w:rsidRPr="0086367A">
        <w:rPr>
          <w:rStyle w:val="FigureCaptionChar"/>
        </w:rPr>
        <w:t>-20</w:t>
      </w:r>
      <w:r w:rsidR="00392C79" w:rsidRPr="0086367A">
        <w:rPr>
          <w:rStyle w:val="FigureCaptionChar"/>
        </w:rPr>
        <w:t>2</w:t>
      </w:r>
      <w:r w:rsidR="00AD7506" w:rsidRPr="0086367A">
        <w:rPr>
          <w:rStyle w:val="FigureCaptionChar"/>
        </w:rPr>
        <w:t>8</w:t>
      </w:r>
      <w:r w:rsidRPr="0086367A">
        <w:rPr>
          <w:rStyle w:val="FigureCaptionChar"/>
        </w:rPr>
        <w:t xml:space="preserve">, </w:t>
      </w:r>
      <w:r w:rsidRPr="0086367A">
        <w:rPr>
          <w:rStyle w:val="FigureCaptionChar"/>
          <w:i/>
        </w:rPr>
        <w:t>SDG&amp;E</w:t>
      </w:r>
      <w:bookmarkEnd w:id="39"/>
      <w:r w:rsidRPr="00D93FB3">
        <w:rPr>
          <w:noProof/>
        </w:rPr>
        <w:t xml:space="preserve"> </w:t>
      </w:r>
    </w:p>
    <w:p w14:paraId="04E18491" w14:textId="079BCA9B" w:rsidR="007030CD" w:rsidRDefault="007030CD" w:rsidP="00F15230">
      <w:pPr>
        <w:widowControl w:val="0"/>
        <w:tabs>
          <w:tab w:val="left" w:pos="5025"/>
        </w:tabs>
        <w:jc w:val="center"/>
        <w:rPr>
          <w:noProof/>
        </w:rPr>
      </w:pPr>
      <w:r>
        <w:rPr>
          <w:noProof/>
        </w:rPr>
        <w:drawing>
          <wp:inline distT="0" distB="0" distL="0" distR="0" wp14:anchorId="61E10475" wp14:editId="3AF5ED42">
            <wp:extent cx="4572635" cy="2743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52CA38CC" w14:textId="1BD79584" w:rsidR="00C2663F" w:rsidRDefault="00C2663F" w:rsidP="00F15230">
      <w:pPr>
        <w:rPr>
          <w:rStyle w:val="Heading1Char"/>
        </w:rPr>
      </w:pPr>
      <w:r>
        <w:rPr>
          <w:rStyle w:val="Heading1Char"/>
        </w:rPr>
        <w:br w:type="page"/>
      </w:r>
    </w:p>
    <w:p w14:paraId="73D377C0" w14:textId="31C0F6D6" w:rsidR="00321E09" w:rsidRDefault="00321E09" w:rsidP="00C2663F">
      <w:bookmarkStart w:id="40" w:name="_Toc510091094"/>
      <w:r w:rsidRPr="007F5303">
        <w:rPr>
          <w:rStyle w:val="Heading1Char"/>
        </w:rPr>
        <w:lastRenderedPageBreak/>
        <w:t>1. Introduction and Purpose of the Study</w:t>
      </w:r>
      <w:bookmarkEnd w:id="40"/>
    </w:p>
    <w:p w14:paraId="15DDBFD4" w14:textId="3B338F23" w:rsidR="00321E09" w:rsidRDefault="00321E09" w:rsidP="00053AAD">
      <w:r>
        <w:t xml:space="preserve">This report documents </w:t>
      </w:r>
      <w:r w:rsidRPr="00700291">
        <w:rPr>
          <w:i/>
        </w:rPr>
        <w:t>ex</w:t>
      </w:r>
      <w:r w:rsidR="00700291" w:rsidRPr="00700291">
        <w:rPr>
          <w:i/>
        </w:rPr>
        <w:t>-</w:t>
      </w:r>
      <w:r w:rsidRPr="00700291">
        <w:rPr>
          <w:i/>
        </w:rPr>
        <w:t>post</w:t>
      </w:r>
      <w:r>
        <w:t xml:space="preserve"> </w:t>
      </w:r>
      <w:r w:rsidR="00186A8C">
        <w:t xml:space="preserve">and </w:t>
      </w:r>
      <w:r w:rsidR="00186A8C" w:rsidRPr="00700291">
        <w:rPr>
          <w:i/>
        </w:rPr>
        <w:t>ex</w:t>
      </w:r>
      <w:r w:rsidR="00700291" w:rsidRPr="00700291">
        <w:rPr>
          <w:i/>
        </w:rPr>
        <w:t>-</w:t>
      </w:r>
      <w:r w:rsidR="00186A8C" w:rsidRPr="00700291">
        <w:rPr>
          <w:i/>
        </w:rPr>
        <w:t>ante</w:t>
      </w:r>
      <w:r w:rsidR="00186A8C">
        <w:t xml:space="preserve"> </w:t>
      </w:r>
      <w:r>
        <w:t xml:space="preserve">load impact evaluations for the statewide </w:t>
      </w:r>
      <w:r w:rsidR="00305DDF">
        <w:t xml:space="preserve">Base Interruptible </w:t>
      </w:r>
      <w:r w:rsidR="00EE335D">
        <w:t>Program (“BIP</w:t>
      </w:r>
      <w:r>
        <w:t>”) in place at Pacific Gas and Electric Company (“PG&amp;E”)</w:t>
      </w:r>
      <w:r w:rsidR="000B3C39">
        <w:t xml:space="preserve">, </w:t>
      </w:r>
      <w:r>
        <w:t>Southern California Edison (“SCE”)</w:t>
      </w:r>
      <w:r w:rsidR="000B3C39">
        <w:t>, and San Diego Gas and Electric Company (“SDG&amp;E”)</w:t>
      </w:r>
      <w:r>
        <w:t xml:space="preserve"> in 201</w:t>
      </w:r>
      <w:r w:rsidR="00802AEA">
        <w:t>7</w:t>
      </w:r>
      <w:r>
        <w:t xml:space="preserve">. The report provides estimates of </w:t>
      </w:r>
      <w:r w:rsidRPr="00700291">
        <w:rPr>
          <w:i/>
        </w:rPr>
        <w:t>ex</w:t>
      </w:r>
      <w:r w:rsidR="00700291" w:rsidRPr="00700291">
        <w:rPr>
          <w:i/>
        </w:rPr>
        <w:t>-</w:t>
      </w:r>
      <w:r w:rsidRPr="00700291">
        <w:rPr>
          <w:i/>
        </w:rPr>
        <w:t>post</w:t>
      </w:r>
      <w:r>
        <w:t xml:space="preserve"> load impacts that occurred during events called in 201</w:t>
      </w:r>
      <w:r w:rsidR="00802AEA">
        <w:t>7</w:t>
      </w:r>
      <w:r w:rsidR="00C4613B">
        <w:t xml:space="preserve"> and </w:t>
      </w:r>
      <w:r>
        <w:t xml:space="preserve">an </w:t>
      </w:r>
      <w:r w:rsidRPr="00700291">
        <w:rPr>
          <w:i/>
        </w:rPr>
        <w:t>ex</w:t>
      </w:r>
      <w:r w:rsidR="00700291" w:rsidRPr="00700291">
        <w:rPr>
          <w:i/>
        </w:rPr>
        <w:t>-</w:t>
      </w:r>
      <w:r w:rsidRPr="00700291">
        <w:rPr>
          <w:i/>
        </w:rPr>
        <w:t>ante</w:t>
      </w:r>
      <w:r>
        <w:t xml:space="preserve"> forecast of load impacts for 201</w:t>
      </w:r>
      <w:r w:rsidR="00802AEA">
        <w:t>8</w:t>
      </w:r>
      <w:r>
        <w:t xml:space="preserve"> through 202</w:t>
      </w:r>
      <w:r w:rsidR="00802AEA">
        <w:t>8</w:t>
      </w:r>
      <w:r>
        <w:t xml:space="preserve"> that is based on </w:t>
      </w:r>
      <w:r w:rsidR="00BE7AE9">
        <w:t xml:space="preserve">the IOU’s </w:t>
      </w:r>
      <w:r>
        <w:t xml:space="preserve">enrollment forecasts and the </w:t>
      </w:r>
      <w:r w:rsidRPr="00700291">
        <w:rPr>
          <w:i/>
        </w:rPr>
        <w:t>ex</w:t>
      </w:r>
      <w:r w:rsidR="00700291" w:rsidRPr="00700291">
        <w:rPr>
          <w:i/>
        </w:rPr>
        <w:t>-</w:t>
      </w:r>
      <w:r w:rsidRPr="00700291">
        <w:rPr>
          <w:i/>
        </w:rPr>
        <w:t>post</w:t>
      </w:r>
      <w:r>
        <w:t xml:space="preserve"> load impacts estimated for </w:t>
      </w:r>
      <w:r w:rsidR="00305DDF">
        <w:t>the 201</w:t>
      </w:r>
      <w:r w:rsidR="00802AEA">
        <w:t>7</w:t>
      </w:r>
      <w:r w:rsidR="00305DDF">
        <w:t xml:space="preserve"> </w:t>
      </w:r>
      <w:r w:rsidR="00467BD7">
        <w:t>program year</w:t>
      </w:r>
      <w:r>
        <w:t>.</w:t>
      </w:r>
      <w:r w:rsidR="00186A8C">
        <w:t xml:space="preserve"> </w:t>
      </w:r>
    </w:p>
    <w:p w14:paraId="7714E12F" w14:textId="77777777" w:rsidR="005A13A1" w:rsidRDefault="005A13A1" w:rsidP="00053AAD"/>
    <w:p w14:paraId="4097844A" w14:textId="77777777" w:rsidR="00321E09" w:rsidRDefault="00321E09" w:rsidP="003601DE">
      <w:pPr>
        <w:spacing w:after="240"/>
      </w:pPr>
      <w:r>
        <w:t>The primary research questions addressed by this evaluation are:</w:t>
      </w:r>
    </w:p>
    <w:p w14:paraId="0FBAD644" w14:textId="52C7EA27" w:rsidR="00321E09" w:rsidRDefault="00321E09" w:rsidP="00EB6CC5">
      <w:pPr>
        <w:numPr>
          <w:ilvl w:val="0"/>
          <w:numId w:val="16"/>
        </w:numPr>
      </w:pPr>
      <w:r>
        <w:t>What were the B</w:t>
      </w:r>
      <w:r w:rsidR="00305DDF">
        <w:t>I</w:t>
      </w:r>
      <w:r>
        <w:t>P load impacts in 201</w:t>
      </w:r>
      <w:r w:rsidR="00802AEA">
        <w:t>7</w:t>
      </w:r>
      <w:r>
        <w:t>?</w:t>
      </w:r>
    </w:p>
    <w:p w14:paraId="0DBA97D8" w14:textId="77777777" w:rsidR="00321E09" w:rsidRDefault="00321E09" w:rsidP="00EB6CC5">
      <w:pPr>
        <w:numPr>
          <w:ilvl w:val="0"/>
          <w:numId w:val="16"/>
        </w:numPr>
      </w:pPr>
      <w:r>
        <w:t>How were the load impacts distributed across industry groups?</w:t>
      </w:r>
    </w:p>
    <w:p w14:paraId="4A5FE23B" w14:textId="77777777" w:rsidR="00321E09" w:rsidRDefault="00321E09" w:rsidP="00EB6CC5">
      <w:pPr>
        <w:numPr>
          <w:ilvl w:val="0"/>
          <w:numId w:val="16"/>
        </w:numPr>
      </w:pPr>
      <w:r>
        <w:t>How were the load impacts distributed across CAISO local capacity areas?</w:t>
      </w:r>
    </w:p>
    <w:p w14:paraId="06FF1F56" w14:textId="7C6B4954" w:rsidR="00C4613B" w:rsidRDefault="00C4613B" w:rsidP="00EB6CC5">
      <w:pPr>
        <w:numPr>
          <w:ilvl w:val="0"/>
          <w:numId w:val="16"/>
        </w:numPr>
      </w:pPr>
      <w:r>
        <w:t xml:space="preserve">What are the </w:t>
      </w:r>
      <w:r w:rsidRPr="00700291">
        <w:rPr>
          <w:i/>
        </w:rPr>
        <w:t>ex</w:t>
      </w:r>
      <w:r w:rsidR="00700291" w:rsidRPr="00700291">
        <w:rPr>
          <w:i/>
        </w:rPr>
        <w:t>-</w:t>
      </w:r>
      <w:r w:rsidRPr="00700291">
        <w:rPr>
          <w:i/>
        </w:rPr>
        <w:t>ante</w:t>
      </w:r>
      <w:r>
        <w:t xml:space="preserve"> load impacts for 201</w:t>
      </w:r>
      <w:r w:rsidR="00802AEA">
        <w:t>8</w:t>
      </w:r>
      <w:r>
        <w:t xml:space="preserve"> through 202</w:t>
      </w:r>
      <w:r w:rsidR="00802AEA">
        <w:t>8</w:t>
      </w:r>
      <w:r>
        <w:t>?</w:t>
      </w:r>
    </w:p>
    <w:p w14:paraId="0461D095" w14:textId="77777777" w:rsidR="00321E09" w:rsidRDefault="00321E09" w:rsidP="00681C96"/>
    <w:p w14:paraId="378B894B" w14:textId="696F92B6" w:rsidR="00321E09" w:rsidRDefault="00321E09" w:rsidP="00681C96">
      <w:r w:rsidRPr="00DD49B6">
        <w:t xml:space="preserve">The report is organized as follows. Section 2 contains a description of the programs, the enrolled customers, and the events called; Section 3 describes the methods used in the study; Section 4 contains the detailed </w:t>
      </w:r>
      <w:r w:rsidRPr="00700291">
        <w:rPr>
          <w:i/>
        </w:rPr>
        <w:t>ex</w:t>
      </w:r>
      <w:r w:rsidR="00700291" w:rsidRPr="00700291">
        <w:rPr>
          <w:i/>
        </w:rPr>
        <w:t>-</w:t>
      </w:r>
      <w:r w:rsidRPr="00700291">
        <w:rPr>
          <w:i/>
        </w:rPr>
        <w:t>post</w:t>
      </w:r>
      <w:r w:rsidRPr="00DD49B6">
        <w:t xml:space="preserve"> load impact results; </w:t>
      </w:r>
      <w:r w:rsidR="00047B5B" w:rsidRPr="00DD49B6">
        <w:t xml:space="preserve">Section </w:t>
      </w:r>
      <w:r w:rsidR="007B05B9">
        <w:t>5</w:t>
      </w:r>
      <w:r w:rsidR="00047B5B" w:rsidRPr="00DD49B6">
        <w:t xml:space="preserve"> describes the </w:t>
      </w:r>
      <w:r w:rsidR="00047B5B" w:rsidRPr="00700291">
        <w:rPr>
          <w:i/>
        </w:rPr>
        <w:t>ex</w:t>
      </w:r>
      <w:r w:rsidR="00700291" w:rsidRPr="00700291">
        <w:rPr>
          <w:i/>
        </w:rPr>
        <w:t>-</w:t>
      </w:r>
      <w:r w:rsidR="00047B5B" w:rsidRPr="00700291">
        <w:rPr>
          <w:i/>
        </w:rPr>
        <w:t>ante</w:t>
      </w:r>
      <w:r w:rsidR="00047B5B" w:rsidRPr="00DD49B6">
        <w:t xml:space="preserve"> load impact forecast</w:t>
      </w:r>
      <w:r w:rsidR="00197099" w:rsidRPr="00DD49B6">
        <w:t>;</w:t>
      </w:r>
      <w:r w:rsidR="00047B5B" w:rsidRPr="00DD49B6">
        <w:t xml:space="preserve"> </w:t>
      </w:r>
      <w:r w:rsidR="00DD49B6" w:rsidRPr="00DD49B6">
        <w:t xml:space="preserve">Section </w:t>
      </w:r>
      <w:r w:rsidR="007B05B9">
        <w:t>6</w:t>
      </w:r>
      <w:r w:rsidR="00DD49B6" w:rsidRPr="00DD49B6">
        <w:t xml:space="preserve"> contains descriptions of differences in various scenarios of </w:t>
      </w:r>
      <w:r w:rsidR="00DD49B6" w:rsidRPr="00700291">
        <w:rPr>
          <w:i/>
        </w:rPr>
        <w:t>ex</w:t>
      </w:r>
      <w:r w:rsidR="00700291" w:rsidRPr="00700291">
        <w:rPr>
          <w:i/>
        </w:rPr>
        <w:t>-</w:t>
      </w:r>
      <w:r w:rsidR="00DD49B6" w:rsidRPr="00700291">
        <w:rPr>
          <w:i/>
        </w:rPr>
        <w:t>post</w:t>
      </w:r>
      <w:r w:rsidR="00DD49B6" w:rsidRPr="00DD49B6">
        <w:t xml:space="preserve"> and </w:t>
      </w:r>
      <w:r w:rsidR="00DD49B6" w:rsidRPr="00700291">
        <w:rPr>
          <w:i/>
        </w:rPr>
        <w:t>ex</w:t>
      </w:r>
      <w:r w:rsidR="00700291" w:rsidRPr="00700291">
        <w:rPr>
          <w:i/>
        </w:rPr>
        <w:t>-</w:t>
      </w:r>
      <w:r w:rsidR="00DD49B6" w:rsidRPr="00700291">
        <w:rPr>
          <w:i/>
        </w:rPr>
        <w:t>ante</w:t>
      </w:r>
      <w:r w:rsidR="00DD49B6" w:rsidRPr="00DD49B6">
        <w:t xml:space="preserve"> load impacts;</w:t>
      </w:r>
      <w:r w:rsidRPr="00DD49B6">
        <w:t xml:space="preserve"> </w:t>
      </w:r>
      <w:r w:rsidR="00002762">
        <w:t xml:space="preserve">and </w:t>
      </w:r>
      <w:r w:rsidRPr="00DD49B6">
        <w:t xml:space="preserve">Section </w:t>
      </w:r>
      <w:r w:rsidR="007B05B9">
        <w:t>7</w:t>
      </w:r>
      <w:r w:rsidRPr="00DD49B6">
        <w:t xml:space="preserve"> provides recommendations.</w:t>
      </w:r>
      <w:r w:rsidRPr="009068D9">
        <w:t xml:space="preserve"> </w:t>
      </w:r>
      <w:r w:rsidR="00002762">
        <w:t xml:space="preserve">Appendix A </w:t>
      </w:r>
      <w:r w:rsidR="00002762" w:rsidRPr="00DD49B6">
        <w:t>contains an assessment of the validity of the study</w:t>
      </w:r>
      <w:r w:rsidR="00002762">
        <w:t>.</w:t>
      </w:r>
      <w:r w:rsidR="00424EEE">
        <w:t xml:space="preserve"> Appendix B shows the FSL achievement rate by industry group.</w:t>
      </w:r>
    </w:p>
    <w:p w14:paraId="7F1EDFAE" w14:textId="77777777" w:rsidR="00321E09" w:rsidRDefault="00321E09" w:rsidP="00751406">
      <w:pPr>
        <w:pStyle w:val="Heading1"/>
      </w:pPr>
      <w:bookmarkStart w:id="41" w:name="_Toc510091095"/>
      <w:r>
        <w:t>2. Description of Resources Covered in the Study</w:t>
      </w:r>
      <w:bookmarkEnd w:id="41"/>
    </w:p>
    <w:p w14:paraId="1461B3BA" w14:textId="4117CB9A" w:rsidR="007B05B9" w:rsidRDefault="00321E09" w:rsidP="008943AD">
      <w:r>
        <w:t xml:space="preserve">This section provides details on the </w:t>
      </w:r>
      <w:r w:rsidR="00305DDF">
        <w:t xml:space="preserve">Base Interruptible </w:t>
      </w:r>
      <w:r>
        <w:t>Programs, including the characteristics of the participants enrolled in the programs and the events called in 201</w:t>
      </w:r>
      <w:r w:rsidR="00802AEA">
        <w:t>7</w:t>
      </w:r>
      <w:r>
        <w:t>.</w:t>
      </w:r>
    </w:p>
    <w:p w14:paraId="3D29730D" w14:textId="77777777" w:rsidR="00321E09" w:rsidRPr="00146E50" w:rsidRDefault="00321E09" w:rsidP="00751406">
      <w:pPr>
        <w:pStyle w:val="Heading2"/>
      </w:pPr>
      <w:bookmarkStart w:id="42" w:name="_Toc510091096"/>
      <w:r>
        <w:t>2</w:t>
      </w:r>
      <w:r w:rsidRPr="00146E50">
        <w:t>.1 Program Description</w:t>
      </w:r>
      <w:r>
        <w:t>s</w:t>
      </w:r>
      <w:bookmarkEnd w:id="42"/>
    </w:p>
    <w:p w14:paraId="0A950DC5" w14:textId="1029583F" w:rsidR="00305DDF" w:rsidRDefault="00305DDF" w:rsidP="00B43905">
      <w:r w:rsidRPr="00305DDF">
        <w:t>Base Interruptible Program</w:t>
      </w:r>
      <w:r>
        <w:t>s</w:t>
      </w:r>
      <w:r w:rsidRPr="00305DDF">
        <w:t xml:space="preserve"> are statewide voluntary programs that offer customers a monthly capacity bill credit in exchange for the commitment to reduce their energy consumption to an amount that meets the customer’s minimum operational requirements, also known as a Firm Service Level (</w:t>
      </w:r>
      <w:r w:rsidR="00AD1A7C">
        <w:t>“</w:t>
      </w:r>
      <w:r w:rsidRPr="00305DDF">
        <w:t>FSL</w:t>
      </w:r>
      <w:r w:rsidR="00AD1A7C">
        <w:t>”</w:t>
      </w:r>
      <w:r w:rsidRPr="00305DDF">
        <w:t>).</w:t>
      </w:r>
    </w:p>
    <w:p w14:paraId="5BB78D97" w14:textId="77777777" w:rsidR="00305DDF" w:rsidRDefault="00305DDF" w:rsidP="00B43905"/>
    <w:p w14:paraId="6CE63D8D" w14:textId="01503493" w:rsidR="00305DDF" w:rsidRDefault="00305DDF" w:rsidP="00B43905">
      <w:r w:rsidRPr="00305DDF">
        <w:t>There are a number of similarities and differences in the BIPs offered by the California investor-owned utilities (</w:t>
      </w:r>
      <w:r w:rsidR="00AD1A7C">
        <w:t>“</w:t>
      </w:r>
      <w:r w:rsidRPr="00305DDF">
        <w:t>IOUs</w:t>
      </w:r>
      <w:r w:rsidR="00AD1A7C">
        <w:t>”</w:t>
      </w:r>
      <w:r w:rsidRPr="00305DDF">
        <w:t>)</w:t>
      </w:r>
      <w:r>
        <w:t xml:space="preserve">. </w:t>
      </w:r>
      <w:r w:rsidRPr="00305DDF">
        <w:t xml:space="preserve">The programs consist of an interruptible tariff available to both customers and aggregators with a minimum demand. Descriptions of </w:t>
      </w:r>
      <w:r>
        <w:t xml:space="preserve">each utility’s </w:t>
      </w:r>
      <w:r w:rsidRPr="00305DDF">
        <w:t>BIP</w:t>
      </w:r>
      <w:r>
        <w:t xml:space="preserve"> are provided below.</w:t>
      </w:r>
    </w:p>
    <w:p w14:paraId="293EFC6B" w14:textId="306E2357" w:rsidR="00321E09" w:rsidRPr="004F7CDA" w:rsidRDefault="00305DDF" w:rsidP="00B43905">
      <w:pPr>
        <w:pStyle w:val="Heading3"/>
      </w:pPr>
      <w:bookmarkStart w:id="43" w:name="_Toc248733671"/>
      <w:bookmarkStart w:id="44" w:name="_Toc510091097"/>
      <w:r>
        <w:t>SCE</w:t>
      </w:r>
      <w:r w:rsidR="00321E09" w:rsidRPr="004F7CDA">
        <w:t xml:space="preserve">’s </w:t>
      </w:r>
      <w:r>
        <w:t xml:space="preserve">Base Interruptible </w:t>
      </w:r>
      <w:r w:rsidR="00321E09" w:rsidRPr="004F7CDA">
        <w:t>Program</w:t>
      </w:r>
      <w:bookmarkEnd w:id="43"/>
      <w:bookmarkEnd w:id="44"/>
    </w:p>
    <w:p w14:paraId="145B33FE" w14:textId="77777777" w:rsidR="00305DDF" w:rsidRDefault="00305DDF" w:rsidP="00305DDF">
      <w:bookmarkStart w:id="45" w:name="_Toc248733672"/>
      <w:r>
        <w:t>SCE’s BIP is designed for customers and aggregators with demands of 200 kW and above. The program includes two participation options:</w:t>
      </w:r>
    </w:p>
    <w:p w14:paraId="743304FD" w14:textId="621ECA85" w:rsidR="00305DDF" w:rsidRDefault="00305DDF" w:rsidP="00AD1A7C">
      <w:pPr>
        <w:pStyle w:val="ListParagraph"/>
        <w:numPr>
          <w:ilvl w:val="0"/>
          <w:numId w:val="15"/>
        </w:numPr>
      </w:pPr>
      <w:r>
        <w:lastRenderedPageBreak/>
        <w:t>Option A, which requires a customer or Aggregated Group to reduce its demand to its FSL with</w:t>
      </w:r>
      <w:r w:rsidR="00EE335D">
        <w:t>in</w:t>
      </w:r>
      <w:r>
        <w:t xml:space="preserve"> 15</w:t>
      </w:r>
      <w:r w:rsidR="00EE335D">
        <w:t xml:space="preserve"> </w:t>
      </w:r>
      <w:r>
        <w:t xml:space="preserve">minutes of a Notice of Interruption; and </w:t>
      </w:r>
    </w:p>
    <w:p w14:paraId="3622BFD1" w14:textId="414FFBB3" w:rsidR="00305DDF" w:rsidRDefault="00305DDF" w:rsidP="00AD1A7C">
      <w:pPr>
        <w:pStyle w:val="ListParagraph"/>
        <w:numPr>
          <w:ilvl w:val="0"/>
          <w:numId w:val="15"/>
        </w:numPr>
      </w:pPr>
      <w:r>
        <w:t xml:space="preserve">Option B, which requires a customer or Aggregated Group to reduce its demand to its FSL within 30 minutes of a Notice of Interruption. </w:t>
      </w:r>
    </w:p>
    <w:p w14:paraId="3477D32D" w14:textId="77777777" w:rsidR="00305DDF" w:rsidRDefault="00305DDF" w:rsidP="00305DDF">
      <w:pPr>
        <w:pStyle w:val="ListParagraph"/>
      </w:pPr>
    </w:p>
    <w:p w14:paraId="650843CB" w14:textId="524C49D9" w:rsidR="00305DDF" w:rsidRDefault="00305DDF" w:rsidP="00305DDF">
      <w:r>
        <w:t>Excess energy charges are applied when a customer is unable to reduce its demand to its FSL during events. Interruption events for an individual BIP customer or aggregated group are limited to no more</w:t>
      </w:r>
      <w:r w:rsidR="00EE335D">
        <w:t xml:space="preserve"> than</w:t>
      </w:r>
      <w:r>
        <w:t xml:space="preserve"> one event per day (lasting no more than 6 hours), ten in any calendar month, and a total of 180 hours per calendar year. </w:t>
      </w:r>
    </w:p>
    <w:p w14:paraId="54F7FF85" w14:textId="77777777" w:rsidR="00305DDF" w:rsidRDefault="00305DDF" w:rsidP="00305DDF"/>
    <w:p w14:paraId="6E258852" w14:textId="0FD51C31" w:rsidR="00305DDF" w:rsidRDefault="00305DDF" w:rsidP="00305DDF">
      <w:r>
        <w:t>An interruption event may be called by the California Independent System Operator (“CAISO”) or SCE at any time during the year.</w:t>
      </w:r>
    </w:p>
    <w:p w14:paraId="79485BFD" w14:textId="7B2FFC74" w:rsidR="00321E09" w:rsidRPr="004F7CDA" w:rsidRDefault="00816EE1" w:rsidP="00B43905">
      <w:pPr>
        <w:pStyle w:val="Heading3"/>
      </w:pPr>
      <w:bookmarkStart w:id="46" w:name="_Toc248733670"/>
      <w:bookmarkStart w:id="47" w:name="_Toc510091098"/>
      <w:r>
        <w:t>PG&amp;E</w:t>
      </w:r>
      <w:r w:rsidR="00321E09" w:rsidRPr="004F7CDA">
        <w:t xml:space="preserve">’s </w:t>
      </w:r>
      <w:bookmarkEnd w:id="46"/>
      <w:r>
        <w:t>Base Interruptible P</w:t>
      </w:r>
      <w:r w:rsidR="002870B7" w:rsidRPr="004F7CDA">
        <w:t>rogram</w:t>
      </w:r>
      <w:bookmarkEnd w:id="47"/>
    </w:p>
    <w:p w14:paraId="25BD8152" w14:textId="72CF06B9" w:rsidR="00AD1A7C" w:rsidRDefault="00AD1A7C" w:rsidP="00AD1A7C">
      <w:r>
        <w:t>PG&amp;E’s BIP</w:t>
      </w:r>
      <w:r w:rsidR="001C090F">
        <w:t xml:space="preserve">, a tariff-based program, </w:t>
      </w:r>
      <w:r>
        <w:t xml:space="preserve">is designed to provide load reductions on PG&amp;E’s system on a day-of basis when the CAISO issues a curtailment notice or in the event of a transmission </w:t>
      </w:r>
      <w:r w:rsidR="001C090F">
        <w:t xml:space="preserve">or distribution system </w:t>
      </w:r>
      <w:r>
        <w:t>contingency.</w:t>
      </w:r>
      <w:r w:rsidR="00EB6CC5">
        <w:t xml:space="preserve"> </w:t>
      </w:r>
      <w:r w:rsidR="00EB6CC5" w:rsidRPr="00A11E7E">
        <w:t>Customers must be notified at least 30 minutes prior to the event</w:t>
      </w:r>
      <w:r w:rsidR="00EB6CC5">
        <w:t>.</w:t>
      </w:r>
      <w:r>
        <w:t xml:space="preserve"> BIP events can be operated year-round, with a maximum of one event per day and four hours per event. The program cannot exceed ten events during a calendar month or 180 hours per calendar year. </w:t>
      </w:r>
    </w:p>
    <w:p w14:paraId="7546CBC4" w14:textId="77777777" w:rsidR="00AD1A7C" w:rsidRDefault="00AD1A7C" w:rsidP="00AD1A7C"/>
    <w:p w14:paraId="779F429B" w14:textId="356BA5AB" w:rsidR="00AD1A7C" w:rsidRDefault="00AD1A7C" w:rsidP="00AD1A7C">
      <w:r>
        <w:t xml:space="preserve">Participants who do not comply with the curtailment order are </w:t>
      </w:r>
      <w:r w:rsidR="001C090F">
        <w:t xml:space="preserve">subject to a substantial excess </w:t>
      </w:r>
      <w:r>
        <w:t xml:space="preserve">energy charge on any power used </w:t>
      </w:r>
      <w:r w:rsidR="001C090F">
        <w:t xml:space="preserve">above </w:t>
      </w:r>
      <w:r>
        <w:t>their contracted amount, or FSL. This potential energy charge has resulted in a high compliance rate. Effective January 2013, PG&amp;E may require a customer that fails to reduce its load down to or below its FSL to re-test, modify its FSL, de-enroll from the program, or successfully comply with the re-test.</w:t>
      </w:r>
    </w:p>
    <w:p w14:paraId="6298E5F2" w14:textId="77777777" w:rsidR="00AD1A7C" w:rsidRDefault="00AD1A7C" w:rsidP="00AD1A7C"/>
    <w:p w14:paraId="40C64459" w14:textId="5BE29F78" w:rsidR="00AD1A7C" w:rsidRDefault="00AD1A7C" w:rsidP="00AD1A7C">
      <w:r>
        <w:t>Directly-enrolled customers may participate in PG&amp;E’s Underfrequency Relay (UFR) Program. The UFR Program is not available to customers enrolled through aggregators. Under the UFR Program, customers agree to be subject at all times to automatic interruptions of service caused by an underfrequency relay device that may be installed by PG&amp;E. PG&amp;E may require up to 3-years’ written notice for termination of participation in the UFR Program. Customers participating in the UFR program will receive a demand credit on a monthly basis based on their average monthly on-peak period demand in the summer and their average monthly partial-peak demand in the winter.</w:t>
      </w:r>
    </w:p>
    <w:p w14:paraId="11C9C7A2" w14:textId="4F7457BB" w:rsidR="00321E09" w:rsidRPr="004F7CDA" w:rsidRDefault="00321E09" w:rsidP="00B43905">
      <w:pPr>
        <w:pStyle w:val="Heading3"/>
      </w:pPr>
      <w:bookmarkStart w:id="48" w:name="_Toc510091099"/>
      <w:r w:rsidRPr="004F7CDA">
        <w:t xml:space="preserve">SDG&amp;E’s </w:t>
      </w:r>
      <w:bookmarkEnd w:id="45"/>
      <w:r w:rsidR="00AD1A7C">
        <w:t>Base Interruptible</w:t>
      </w:r>
      <w:r w:rsidR="002870B7" w:rsidRPr="004F7CDA">
        <w:t xml:space="preserve"> Program</w:t>
      </w:r>
      <w:bookmarkEnd w:id="48"/>
    </w:p>
    <w:p w14:paraId="5621F485" w14:textId="6B46EB2A" w:rsidR="00AD1A7C" w:rsidRDefault="00AD1A7C" w:rsidP="00AD1A7C">
      <w:r>
        <w:t xml:space="preserve">SDG&amp;E’s BIP is a voluntary program that offers participants a monthly capacity bill credit in exchange for committing to reduce their demand to a contracted FSL on short notice during emergency situations. </w:t>
      </w:r>
      <w:r w:rsidR="00992729" w:rsidRPr="00992729">
        <w:t xml:space="preserve">Non-residential customers who can </w:t>
      </w:r>
      <w:r w:rsidR="00992729">
        <w:t>commit to curtail 15 percent</w:t>
      </w:r>
      <w:r w:rsidR="00992729" w:rsidRPr="00992729">
        <w:t xml:space="preserve"> of monthly peak demand with a minimum load reduction of 100 kW are eligible for the program. </w:t>
      </w:r>
      <w:r>
        <w:t xml:space="preserve">Customers </w:t>
      </w:r>
      <w:r w:rsidR="00992729">
        <w:t>are</w:t>
      </w:r>
      <w:r>
        <w:t xml:space="preserve"> notified </w:t>
      </w:r>
      <w:r w:rsidR="00992729">
        <w:t>no later than</w:t>
      </w:r>
      <w:r>
        <w:t xml:space="preserve"> </w:t>
      </w:r>
      <w:r w:rsidR="00DF5A48">
        <w:t>20</w:t>
      </w:r>
      <w:r>
        <w:t xml:space="preserve"> minutes </w:t>
      </w:r>
      <w:r w:rsidR="00992729">
        <w:t>before</w:t>
      </w:r>
      <w:r>
        <w:t xml:space="preserve"> the event</w:t>
      </w:r>
      <w:r w:rsidR="00992729">
        <w:t>.</w:t>
      </w:r>
      <w:r w:rsidR="00DF5A48">
        <w:t xml:space="preserve"> In 2017, the m</w:t>
      </w:r>
      <w:r w:rsidR="00992729">
        <w:t xml:space="preserve">onthly incentive payments </w:t>
      </w:r>
      <w:r w:rsidR="00DF5A48">
        <w:t>were</w:t>
      </w:r>
      <w:r w:rsidR="00992729">
        <w:t xml:space="preserve"> $12</w:t>
      </w:r>
      <w:r>
        <w:t xml:space="preserve"> per kW </w:t>
      </w:r>
      <w:r w:rsidR="00992729">
        <w:t>during</w:t>
      </w:r>
      <w:r>
        <w:t xml:space="preserve"> May through October </w:t>
      </w:r>
      <w:r>
        <w:lastRenderedPageBreak/>
        <w:t>and $</w:t>
      </w:r>
      <w:r w:rsidR="009940DA">
        <w:t>2</w:t>
      </w:r>
      <w:r>
        <w:t xml:space="preserve"> per kW </w:t>
      </w:r>
      <w:r w:rsidR="00992729">
        <w:t>during</w:t>
      </w:r>
      <w:r w:rsidR="009940DA">
        <w:t xml:space="preserve"> </w:t>
      </w:r>
      <w:r>
        <w:t xml:space="preserve">all other months. </w:t>
      </w:r>
      <w:r w:rsidR="00DF5A48">
        <w:t xml:space="preserve">Currently, the monthly incentive payments are $10.80 per kW during May through October and $1.80 per kW during all other months. </w:t>
      </w:r>
      <w:r w:rsidR="00992729" w:rsidRPr="00992729">
        <w:t>Curtailment events for an individual BIP customer are limited to a single 4-hour event per day, no more than 10 events per month and no more than 120 event hours per calendar year. A curtailment event may be called under BIP at any time during the year.</w:t>
      </w:r>
    </w:p>
    <w:p w14:paraId="2DEBA0E0" w14:textId="77777777" w:rsidR="00AD1A7C" w:rsidRDefault="00AD1A7C" w:rsidP="00AD1A7C"/>
    <w:p w14:paraId="3D568F01" w14:textId="7A3406E0" w:rsidR="00AD1A7C" w:rsidRDefault="00AD1A7C" w:rsidP="00AD1A7C">
      <w:r>
        <w:t xml:space="preserve">Participation in SDG&amp;E’s program has been low, consistent with the California Public Utilities Commission (“Commission” or “CPUC”) direction to focus marketing efforts on price responsive programs. There were no participants in 2006, three participants in 2007, five participants in 2008, 20 in 2009, 19 customers in </w:t>
      </w:r>
      <w:r w:rsidR="00AF1B75">
        <w:t xml:space="preserve">2010, 21 customers in 2011, </w:t>
      </w:r>
      <w:r>
        <w:t>11 in 2012</w:t>
      </w:r>
      <w:r w:rsidR="00AF1B75">
        <w:t>,</w:t>
      </w:r>
      <w:r w:rsidR="00992729">
        <w:rPr>
          <w:rStyle w:val="FootnoteReference"/>
        </w:rPr>
        <w:footnoteReference w:id="2"/>
      </w:r>
      <w:r w:rsidR="00AF1B75">
        <w:t xml:space="preserve"> seven participants in 2013</w:t>
      </w:r>
      <w:r w:rsidR="009070B8">
        <w:t xml:space="preserve"> and 2014</w:t>
      </w:r>
      <w:r w:rsidR="00992729">
        <w:t>, five participants in 2015</w:t>
      </w:r>
      <w:r w:rsidR="00802AEA">
        <w:t>, seven in 2016, and six in 2017</w:t>
      </w:r>
      <w:r>
        <w:t>.</w:t>
      </w:r>
    </w:p>
    <w:p w14:paraId="070D9B0E" w14:textId="77777777" w:rsidR="00321E09" w:rsidRDefault="00321E09" w:rsidP="00751406">
      <w:pPr>
        <w:pStyle w:val="Heading2"/>
      </w:pPr>
      <w:bookmarkStart w:id="49" w:name="_Toc510091100"/>
      <w:r w:rsidRPr="008F1160">
        <w:t>2.2 Participant Characteristics</w:t>
      </w:r>
      <w:bookmarkEnd w:id="49"/>
    </w:p>
    <w:p w14:paraId="300223A8" w14:textId="77777777" w:rsidR="00321E09" w:rsidRPr="00146E50" w:rsidRDefault="00321E09" w:rsidP="00751406">
      <w:pPr>
        <w:pStyle w:val="Heading3"/>
        <w:rPr>
          <w:sz w:val="22"/>
          <w:szCs w:val="22"/>
        </w:rPr>
      </w:pPr>
      <w:bookmarkStart w:id="50" w:name="_Toc510091101"/>
      <w:r>
        <w:rPr>
          <w:sz w:val="22"/>
          <w:szCs w:val="22"/>
        </w:rPr>
        <w:t>2</w:t>
      </w:r>
      <w:r w:rsidRPr="00146E50">
        <w:rPr>
          <w:sz w:val="22"/>
          <w:szCs w:val="22"/>
        </w:rPr>
        <w:t>.2.1 Development of Customer Groups</w:t>
      </w:r>
      <w:bookmarkEnd w:id="50"/>
    </w:p>
    <w:p w14:paraId="5D1EA704" w14:textId="77777777" w:rsidR="00321E09" w:rsidRDefault="00321E09" w:rsidP="00751406">
      <w:bookmarkStart w:id="51" w:name="OLE_LINK29"/>
      <w:r>
        <w:t xml:space="preserve">In order to assess differences in load impacts across customer types, the program participants were categorized according to eight industry types. The industry groups are defined according to their applicable two-digit </w:t>
      </w:r>
      <w:r w:rsidR="00BB1058">
        <w:t>North American Industry Classification System (</w:t>
      </w:r>
      <w:r>
        <w:t>NAICS</w:t>
      </w:r>
      <w:r w:rsidR="00BB1058">
        <w:t>)</w:t>
      </w:r>
      <w:r>
        <w:t xml:space="preserve"> codes:</w:t>
      </w:r>
    </w:p>
    <w:p w14:paraId="7BFA2D20" w14:textId="77777777" w:rsidR="00321E09" w:rsidRDefault="00321E09" w:rsidP="00751406"/>
    <w:p w14:paraId="47A21B50" w14:textId="77777777" w:rsidR="00321E09" w:rsidRDefault="00321E09" w:rsidP="004C60FB">
      <w:pPr>
        <w:numPr>
          <w:ilvl w:val="0"/>
          <w:numId w:val="2"/>
        </w:numPr>
      </w:pPr>
      <w:r>
        <w:t>Agriculture, Mining and Oil and Gas, Construction: 11, 21, 23</w:t>
      </w:r>
    </w:p>
    <w:p w14:paraId="30FE9B1D" w14:textId="77777777" w:rsidR="00321E09" w:rsidRDefault="00321E09" w:rsidP="004C60FB">
      <w:pPr>
        <w:numPr>
          <w:ilvl w:val="0"/>
          <w:numId w:val="2"/>
        </w:numPr>
      </w:pPr>
      <w:r>
        <w:t>Manufacturing: 31-33</w:t>
      </w:r>
    </w:p>
    <w:p w14:paraId="32917337" w14:textId="77777777" w:rsidR="00321E09" w:rsidRDefault="00321E09" w:rsidP="004C60FB">
      <w:pPr>
        <w:numPr>
          <w:ilvl w:val="0"/>
          <w:numId w:val="2"/>
        </w:numPr>
      </w:pPr>
      <w:r>
        <w:t>Wholesale, Transport, other Utilities: 22, 42, 48-49</w:t>
      </w:r>
    </w:p>
    <w:p w14:paraId="10FDC9FE" w14:textId="77777777" w:rsidR="00321E09" w:rsidRDefault="00321E09" w:rsidP="004C60FB">
      <w:pPr>
        <w:numPr>
          <w:ilvl w:val="0"/>
          <w:numId w:val="2"/>
        </w:numPr>
      </w:pPr>
      <w:r>
        <w:t>Retail stores: 44-45</w:t>
      </w:r>
    </w:p>
    <w:p w14:paraId="733AD3E9" w14:textId="77777777" w:rsidR="00321E09" w:rsidRDefault="00321E09" w:rsidP="004C60FB">
      <w:pPr>
        <w:numPr>
          <w:ilvl w:val="0"/>
          <w:numId w:val="2"/>
        </w:numPr>
      </w:pPr>
      <w:r>
        <w:t>Offices, Hotels, Finance, Services: 51-56, 62, 72</w:t>
      </w:r>
    </w:p>
    <w:p w14:paraId="32E08C27" w14:textId="77777777" w:rsidR="00321E09" w:rsidRDefault="00321E09" w:rsidP="004C60FB">
      <w:pPr>
        <w:numPr>
          <w:ilvl w:val="0"/>
          <w:numId w:val="2"/>
        </w:numPr>
      </w:pPr>
      <w:r>
        <w:t>Schools: 61</w:t>
      </w:r>
    </w:p>
    <w:p w14:paraId="6B6D8D68" w14:textId="77777777" w:rsidR="00321E09" w:rsidRDefault="00321E09" w:rsidP="004C60FB">
      <w:pPr>
        <w:numPr>
          <w:ilvl w:val="0"/>
          <w:numId w:val="2"/>
        </w:numPr>
      </w:pPr>
      <w:r>
        <w:t>Entertainment, Other services and Government: 71, 81, 92</w:t>
      </w:r>
    </w:p>
    <w:p w14:paraId="64D6B56E" w14:textId="77777777" w:rsidR="00321E09" w:rsidRDefault="00321E09" w:rsidP="004C60FB">
      <w:pPr>
        <w:numPr>
          <w:ilvl w:val="0"/>
          <w:numId w:val="2"/>
        </w:numPr>
      </w:pPr>
      <w:r>
        <w:t>Other or unknown.</w:t>
      </w:r>
    </w:p>
    <w:p w14:paraId="1BFB3779" w14:textId="77777777" w:rsidR="00321E09" w:rsidRDefault="00321E09" w:rsidP="00751406"/>
    <w:p w14:paraId="0F8BCFC3" w14:textId="3EE83B27" w:rsidR="00321E09" w:rsidRDefault="00321E09" w:rsidP="00751406">
      <w:r>
        <w:t>In addition, each utility provided information regarding the CAISO Local Capacity Area (LCA) in which the customer resides (if any).</w:t>
      </w:r>
      <w:r w:rsidRPr="008A3E42">
        <w:rPr>
          <w:rStyle w:val="FootnoteReference"/>
        </w:rPr>
        <w:footnoteReference w:id="3"/>
      </w:r>
      <w:r>
        <w:t xml:space="preserve"> </w:t>
      </w:r>
      <w:bookmarkEnd w:id="51"/>
    </w:p>
    <w:p w14:paraId="01AE252A" w14:textId="77777777" w:rsidR="00321E09" w:rsidRPr="00146E50" w:rsidRDefault="00321E09" w:rsidP="00751406">
      <w:pPr>
        <w:pStyle w:val="Heading3"/>
        <w:rPr>
          <w:sz w:val="22"/>
          <w:szCs w:val="22"/>
        </w:rPr>
      </w:pPr>
      <w:bookmarkStart w:id="52" w:name="_Toc510091102"/>
      <w:r>
        <w:rPr>
          <w:sz w:val="22"/>
          <w:szCs w:val="22"/>
        </w:rPr>
        <w:t>2</w:t>
      </w:r>
      <w:r w:rsidRPr="00146E50">
        <w:rPr>
          <w:sz w:val="22"/>
          <w:szCs w:val="22"/>
        </w:rPr>
        <w:t>.2.</w:t>
      </w:r>
      <w:r>
        <w:rPr>
          <w:sz w:val="22"/>
          <w:szCs w:val="22"/>
        </w:rPr>
        <w:t>2</w:t>
      </w:r>
      <w:r w:rsidRPr="00146E50">
        <w:rPr>
          <w:sz w:val="22"/>
          <w:szCs w:val="22"/>
        </w:rPr>
        <w:t xml:space="preserve"> </w:t>
      </w:r>
      <w:r>
        <w:rPr>
          <w:sz w:val="22"/>
          <w:szCs w:val="22"/>
        </w:rPr>
        <w:t>Program Participants by Type</w:t>
      </w:r>
      <w:bookmarkEnd w:id="52"/>
    </w:p>
    <w:p w14:paraId="10D46E03" w14:textId="5AA07943" w:rsidR="00321E09" w:rsidRDefault="00321E09" w:rsidP="005839AE">
      <w:r>
        <w:t>The following sets of tables summarize the characteristics of the participating customer accounts, including size, industry type, and LCA. Table 2.1 shows B</w:t>
      </w:r>
      <w:r w:rsidR="008F1160">
        <w:t>I</w:t>
      </w:r>
      <w:r>
        <w:t>P enrollment by industry group for PG&amp;E</w:t>
      </w:r>
      <w:r w:rsidR="00742A4F">
        <w:t xml:space="preserve"> on the </w:t>
      </w:r>
      <w:r w:rsidR="00BE3CCE">
        <w:t>May 3</w:t>
      </w:r>
      <w:r w:rsidR="000E32E6">
        <w:t>, 201</w:t>
      </w:r>
      <w:r w:rsidR="00BE3CCE">
        <w:t>7</w:t>
      </w:r>
      <w:r w:rsidR="00742A4F">
        <w:t xml:space="preserve"> event day</w:t>
      </w:r>
      <w:r>
        <w:t xml:space="preserve">. </w:t>
      </w:r>
      <w:r w:rsidRPr="002C31CE">
        <w:t>Enrollment in PG&amp;E’s B</w:t>
      </w:r>
      <w:r w:rsidR="008F1160">
        <w:t>I</w:t>
      </w:r>
      <w:r w:rsidRPr="002C31CE">
        <w:t xml:space="preserve">P </w:t>
      </w:r>
      <w:r w:rsidR="00BE3CCE">
        <w:lastRenderedPageBreak/>
        <w:t>inc</w:t>
      </w:r>
      <w:r w:rsidR="00B2345B">
        <w:t xml:space="preserve">reased </w:t>
      </w:r>
      <w:r w:rsidR="009012D7">
        <w:t>relative to PY201</w:t>
      </w:r>
      <w:r w:rsidR="00BE3CCE">
        <w:t>6</w:t>
      </w:r>
      <w:r w:rsidR="009012D7">
        <w:t xml:space="preserve">, </w:t>
      </w:r>
      <w:r w:rsidR="00B2345B">
        <w:t>from</w:t>
      </w:r>
      <w:r w:rsidR="00BF0B77">
        <w:t xml:space="preserve"> </w:t>
      </w:r>
      <w:r w:rsidR="000E32E6">
        <w:t>2</w:t>
      </w:r>
      <w:r w:rsidR="00BE3CCE">
        <w:t>47</w:t>
      </w:r>
      <w:r w:rsidR="00BF0B77">
        <w:t xml:space="preserve"> to</w:t>
      </w:r>
      <w:r w:rsidR="00BE3CCE">
        <w:t xml:space="preserve"> 331</w:t>
      </w:r>
      <w:r w:rsidRPr="002C31CE">
        <w:t>.</w:t>
      </w:r>
      <w:r w:rsidR="009C08A8">
        <w:rPr>
          <w:rStyle w:val="FootnoteReference"/>
        </w:rPr>
        <w:footnoteReference w:id="4"/>
      </w:r>
      <w:r w:rsidRPr="002C31CE">
        <w:t xml:space="preserve"> </w:t>
      </w:r>
      <w:r w:rsidR="000B4FFE">
        <w:t>T</w:t>
      </w:r>
      <w:r w:rsidRPr="002C31CE">
        <w:t xml:space="preserve">he sum of enrolled customers’ </w:t>
      </w:r>
      <w:r w:rsidR="009D06AF">
        <w:t>coincident</w:t>
      </w:r>
      <w:r w:rsidRPr="002C31CE">
        <w:t xml:space="preserve"> maximum demands</w:t>
      </w:r>
      <w:r w:rsidRPr="008A3E42">
        <w:rPr>
          <w:rStyle w:val="FootnoteReference"/>
        </w:rPr>
        <w:footnoteReference w:id="5"/>
      </w:r>
      <w:r w:rsidRPr="002C31CE">
        <w:t xml:space="preserve"> </w:t>
      </w:r>
      <w:r w:rsidR="009012D7">
        <w:t xml:space="preserve">was </w:t>
      </w:r>
      <w:r w:rsidR="006556EC">
        <w:t>366</w:t>
      </w:r>
      <w:r>
        <w:t xml:space="preserve"> MW, </w:t>
      </w:r>
      <w:r w:rsidR="009D06AF">
        <w:t xml:space="preserve">or </w:t>
      </w:r>
      <w:r w:rsidR="000E32E6">
        <w:t>1</w:t>
      </w:r>
      <w:r w:rsidR="009012D7">
        <w:t>.</w:t>
      </w:r>
      <w:r w:rsidR="006556EC">
        <w:t>11</w:t>
      </w:r>
      <w:r w:rsidR="009012D7">
        <w:t xml:space="preserve"> </w:t>
      </w:r>
      <w:r w:rsidRPr="009D06AF">
        <w:t xml:space="preserve">MW </w:t>
      </w:r>
      <w:r w:rsidR="006A00FD" w:rsidRPr="009D06AF">
        <w:t xml:space="preserve">for the average </w:t>
      </w:r>
      <w:r w:rsidR="009D06AF">
        <w:t>service a</w:t>
      </w:r>
      <w:r w:rsidR="00536281">
        <w:t>greement</w:t>
      </w:r>
      <w:r w:rsidRPr="009D06AF">
        <w:t>.</w:t>
      </w:r>
      <w:r w:rsidRPr="002C31CE">
        <w:t xml:space="preserve"> T</w:t>
      </w:r>
      <w:r w:rsidR="000E32E6">
        <w:t xml:space="preserve">he manufacturing industry group contains </w:t>
      </w:r>
      <w:r w:rsidR="00424EEE">
        <w:t xml:space="preserve">over 60 percent </w:t>
      </w:r>
      <w:r w:rsidR="000E32E6">
        <w:t>of the enrolled load</w:t>
      </w:r>
      <w:r w:rsidR="00C06BAC">
        <w:t>.</w:t>
      </w:r>
      <w:r w:rsidR="009F7CB1">
        <w:t xml:space="preserve"> </w:t>
      </w:r>
    </w:p>
    <w:p w14:paraId="408D33F2" w14:textId="77777777" w:rsidR="007C28F4" w:rsidRDefault="007C28F4" w:rsidP="007C28F4"/>
    <w:p w14:paraId="083858AC" w14:textId="7155B056" w:rsidR="00612EBE" w:rsidRDefault="007C28F4" w:rsidP="00723133">
      <w:pPr>
        <w:pStyle w:val="TableCaption"/>
        <w:keepNext/>
        <w:keepLines/>
        <w:rPr>
          <w:i/>
        </w:rPr>
      </w:pPr>
      <w:bookmarkStart w:id="53" w:name="_Toc508800208"/>
      <w:r w:rsidRPr="006C0719">
        <w:t>Table 2.1: B</w:t>
      </w:r>
      <w:r w:rsidR="006C0719" w:rsidRPr="006C0719">
        <w:t>I</w:t>
      </w:r>
      <w:r w:rsidRPr="006C0719">
        <w:t xml:space="preserve">P Enrollees by Industry Group, </w:t>
      </w:r>
      <w:r w:rsidRPr="006C0719">
        <w:rPr>
          <w:i/>
        </w:rPr>
        <w:t>PG&amp;E</w:t>
      </w:r>
      <w:bookmarkEnd w:id="53"/>
    </w:p>
    <w:tbl>
      <w:tblPr>
        <w:tblW w:w="8202" w:type="dxa"/>
        <w:jc w:val="center"/>
        <w:tblLook w:val="04A0" w:firstRow="1" w:lastRow="0" w:firstColumn="1" w:lastColumn="0" w:noHBand="0" w:noVBand="1"/>
      </w:tblPr>
      <w:tblGrid>
        <w:gridCol w:w="3814"/>
        <w:gridCol w:w="1161"/>
        <w:gridCol w:w="995"/>
        <w:gridCol w:w="1084"/>
        <w:gridCol w:w="1148"/>
      </w:tblGrid>
      <w:tr w:rsidR="009A4596" w:rsidRPr="00723133" w14:paraId="1C2F28CC" w14:textId="77777777" w:rsidTr="006B55F6">
        <w:trPr>
          <w:trHeight w:val="674"/>
          <w:jc w:val="center"/>
        </w:trPr>
        <w:tc>
          <w:tcPr>
            <w:tcW w:w="3814" w:type="dxa"/>
            <w:tcBorders>
              <w:top w:val="single" w:sz="4" w:space="0" w:color="auto"/>
              <w:left w:val="single" w:sz="4" w:space="0" w:color="auto"/>
              <w:bottom w:val="nil"/>
              <w:right w:val="single" w:sz="4" w:space="0" w:color="FFFFFF" w:themeColor="background1"/>
            </w:tcBorders>
            <w:shd w:val="clear" w:color="auto" w:fill="0C2577"/>
            <w:vAlign w:val="center"/>
            <w:hideMark/>
          </w:tcPr>
          <w:p w14:paraId="3DAAC261" w14:textId="77777777" w:rsidR="00723133" w:rsidRPr="00723133" w:rsidRDefault="00723133" w:rsidP="00723133">
            <w:pPr>
              <w:jc w:val="center"/>
              <w:rPr>
                <w:rFonts w:ascii="Arial" w:hAnsi="Arial" w:cs="Arial"/>
                <w:b/>
                <w:bCs/>
                <w:color w:val="FFFFFF"/>
                <w:sz w:val="20"/>
                <w:szCs w:val="20"/>
              </w:rPr>
            </w:pPr>
            <w:r w:rsidRPr="00723133">
              <w:rPr>
                <w:rFonts w:ascii="Arial" w:hAnsi="Arial" w:cs="Arial"/>
                <w:b/>
                <w:bCs/>
                <w:color w:val="FFFFFF"/>
                <w:sz w:val="20"/>
                <w:szCs w:val="20"/>
              </w:rPr>
              <w:t>Industry</w:t>
            </w:r>
          </w:p>
        </w:tc>
        <w:tc>
          <w:tcPr>
            <w:tcW w:w="1161" w:type="dxa"/>
            <w:tcBorders>
              <w:top w:val="single" w:sz="4" w:space="0" w:color="auto"/>
              <w:left w:val="single" w:sz="4" w:space="0" w:color="FFFFFF" w:themeColor="background1"/>
              <w:bottom w:val="nil"/>
              <w:right w:val="single" w:sz="4" w:space="0" w:color="FFFFFF" w:themeColor="background1"/>
            </w:tcBorders>
            <w:shd w:val="clear" w:color="auto" w:fill="0C2577"/>
            <w:vAlign w:val="center"/>
            <w:hideMark/>
          </w:tcPr>
          <w:p w14:paraId="5AEFD37C" w14:textId="77777777" w:rsidR="00723133" w:rsidRPr="00723133" w:rsidRDefault="00723133" w:rsidP="00723133">
            <w:pPr>
              <w:jc w:val="center"/>
              <w:rPr>
                <w:rFonts w:ascii="Arial" w:hAnsi="Arial" w:cs="Arial"/>
                <w:b/>
                <w:bCs/>
                <w:color w:val="FFFFFF"/>
                <w:sz w:val="20"/>
                <w:szCs w:val="20"/>
              </w:rPr>
            </w:pPr>
            <w:r w:rsidRPr="00723133">
              <w:rPr>
                <w:rFonts w:ascii="Arial" w:hAnsi="Arial" w:cs="Arial"/>
                <w:b/>
                <w:bCs/>
                <w:color w:val="FFFFFF"/>
                <w:sz w:val="20"/>
                <w:szCs w:val="20"/>
              </w:rPr>
              <w:t>Enrolled</w:t>
            </w:r>
          </w:p>
        </w:tc>
        <w:tc>
          <w:tcPr>
            <w:tcW w:w="995" w:type="dxa"/>
            <w:tcBorders>
              <w:top w:val="single" w:sz="4" w:space="0" w:color="auto"/>
              <w:left w:val="single" w:sz="4" w:space="0" w:color="FFFFFF" w:themeColor="background1"/>
              <w:bottom w:val="nil"/>
              <w:right w:val="single" w:sz="4" w:space="0" w:color="FFFFFF" w:themeColor="background1"/>
            </w:tcBorders>
            <w:shd w:val="clear" w:color="auto" w:fill="0C2577"/>
            <w:vAlign w:val="center"/>
            <w:hideMark/>
          </w:tcPr>
          <w:p w14:paraId="3D912A7E" w14:textId="058AD4CD" w:rsidR="00723133" w:rsidRPr="00723133" w:rsidRDefault="00723133" w:rsidP="00723133">
            <w:pPr>
              <w:jc w:val="center"/>
              <w:rPr>
                <w:rFonts w:ascii="Arial" w:hAnsi="Arial" w:cs="Arial"/>
                <w:b/>
                <w:bCs/>
                <w:color w:val="FFFFFF"/>
                <w:sz w:val="20"/>
                <w:szCs w:val="20"/>
              </w:rPr>
            </w:pPr>
            <w:r w:rsidRPr="00723133">
              <w:rPr>
                <w:rFonts w:ascii="Arial" w:hAnsi="Arial" w:cs="Arial"/>
                <w:b/>
                <w:bCs/>
                <w:color w:val="FFFFFF"/>
                <w:sz w:val="20"/>
                <w:szCs w:val="20"/>
              </w:rPr>
              <w:t>Sum of Max MWh/h</w:t>
            </w:r>
            <w:r w:rsidR="00D95593">
              <w:rPr>
                <w:rStyle w:val="FootnoteReference"/>
                <w:rFonts w:ascii="Arial" w:hAnsi="Arial"/>
                <w:b/>
                <w:bCs/>
                <w:color w:val="FFFFFF"/>
                <w:sz w:val="20"/>
                <w:szCs w:val="20"/>
              </w:rPr>
              <w:footnoteReference w:id="6"/>
            </w:r>
          </w:p>
        </w:tc>
        <w:tc>
          <w:tcPr>
            <w:tcW w:w="1084" w:type="dxa"/>
            <w:tcBorders>
              <w:top w:val="single" w:sz="4" w:space="0" w:color="auto"/>
              <w:left w:val="single" w:sz="4" w:space="0" w:color="FFFFFF" w:themeColor="background1"/>
              <w:bottom w:val="nil"/>
              <w:right w:val="single" w:sz="4" w:space="0" w:color="FFFFFF" w:themeColor="background1"/>
            </w:tcBorders>
            <w:shd w:val="clear" w:color="auto" w:fill="0C2577"/>
            <w:vAlign w:val="center"/>
            <w:hideMark/>
          </w:tcPr>
          <w:p w14:paraId="0517F393" w14:textId="77777777" w:rsidR="00723133" w:rsidRPr="00723133" w:rsidRDefault="00723133" w:rsidP="00723133">
            <w:pPr>
              <w:jc w:val="center"/>
              <w:rPr>
                <w:rFonts w:ascii="Arial" w:hAnsi="Arial" w:cs="Arial"/>
                <w:b/>
                <w:bCs/>
                <w:color w:val="FFFFFF"/>
                <w:sz w:val="20"/>
                <w:szCs w:val="20"/>
              </w:rPr>
            </w:pPr>
            <w:r w:rsidRPr="00723133">
              <w:rPr>
                <w:rFonts w:ascii="Arial" w:hAnsi="Arial" w:cs="Arial"/>
                <w:b/>
                <w:bCs/>
                <w:color w:val="FFFFFF"/>
                <w:sz w:val="20"/>
                <w:szCs w:val="20"/>
              </w:rPr>
              <w:t>Percent of Max MWh/h</w:t>
            </w:r>
          </w:p>
        </w:tc>
        <w:tc>
          <w:tcPr>
            <w:tcW w:w="1148" w:type="dxa"/>
            <w:tcBorders>
              <w:top w:val="single" w:sz="4" w:space="0" w:color="auto"/>
              <w:left w:val="single" w:sz="4" w:space="0" w:color="FFFFFF" w:themeColor="background1"/>
              <w:bottom w:val="nil"/>
              <w:right w:val="single" w:sz="4" w:space="0" w:color="auto"/>
            </w:tcBorders>
            <w:shd w:val="clear" w:color="auto" w:fill="0C2577"/>
            <w:vAlign w:val="center"/>
            <w:hideMark/>
          </w:tcPr>
          <w:p w14:paraId="02E8130A" w14:textId="614552F9" w:rsidR="00723133" w:rsidRPr="00723133" w:rsidRDefault="00723133" w:rsidP="00723133">
            <w:pPr>
              <w:jc w:val="center"/>
              <w:rPr>
                <w:rFonts w:ascii="Arial" w:hAnsi="Arial" w:cs="Arial"/>
                <w:b/>
                <w:bCs/>
                <w:color w:val="FFFFFF"/>
                <w:sz w:val="20"/>
                <w:szCs w:val="20"/>
              </w:rPr>
            </w:pPr>
            <w:r w:rsidRPr="00723133">
              <w:rPr>
                <w:rFonts w:ascii="Arial" w:hAnsi="Arial" w:cs="Arial"/>
                <w:b/>
                <w:bCs/>
                <w:color w:val="FFFFFF"/>
                <w:sz w:val="20"/>
                <w:szCs w:val="20"/>
              </w:rPr>
              <w:t>Average Max MWh/h</w:t>
            </w:r>
            <w:r w:rsidR="00D95593">
              <w:rPr>
                <w:rStyle w:val="FootnoteReference"/>
                <w:rFonts w:ascii="Arial" w:hAnsi="Arial"/>
                <w:b/>
                <w:bCs/>
                <w:color w:val="FFFFFF"/>
                <w:sz w:val="20"/>
                <w:szCs w:val="20"/>
              </w:rPr>
              <w:footnoteReference w:id="7"/>
            </w:r>
          </w:p>
        </w:tc>
      </w:tr>
      <w:tr w:rsidR="00723133" w:rsidRPr="00723133" w14:paraId="40F4B989" w14:textId="77777777" w:rsidTr="007357E6">
        <w:trPr>
          <w:trHeight w:val="264"/>
          <w:jc w:val="center"/>
        </w:trPr>
        <w:tc>
          <w:tcPr>
            <w:tcW w:w="3814" w:type="dxa"/>
            <w:tcBorders>
              <w:top w:val="single" w:sz="4" w:space="0" w:color="auto"/>
              <w:left w:val="single" w:sz="4" w:space="0" w:color="auto"/>
              <w:bottom w:val="nil"/>
              <w:right w:val="single" w:sz="4" w:space="0" w:color="auto"/>
            </w:tcBorders>
            <w:shd w:val="clear" w:color="000000" w:fill="FFFFFF"/>
            <w:noWrap/>
            <w:vAlign w:val="center"/>
            <w:hideMark/>
          </w:tcPr>
          <w:p w14:paraId="583CDC7F" w14:textId="77777777" w:rsidR="00723133" w:rsidRPr="00723133" w:rsidRDefault="00723133" w:rsidP="00723133">
            <w:pPr>
              <w:rPr>
                <w:rFonts w:ascii="Arial" w:hAnsi="Arial" w:cs="Arial"/>
                <w:color w:val="000000"/>
                <w:sz w:val="20"/>
                <w:szCs w:val="20"/>
              </w:rPr>
            </w:pPr>
            <w:r w:rsidRPr="00723133">
              <w:rPr>
                <w:rFonts w:ascii="Arial" w:hAnsi="Arial" w:cs="Arial"/>
                <w:color w:val="000000"/>
                <w:sz w:val="20"/>
                <w:szCs w:val="20"/>
              </w:rPr>
              <w:t>Agriculture, Mining &amp; Construction</w:t>
            </w:r>
          </w:p>
        </w:tc>
        <w:tc>
          <w:tcPr>
            <w:tcW w:w="1161" w:type="dxa"/>
            <w:tcBorders>
              <w:top w:val="single" w:sz="4" w:space="0" w:color="auto"/>
              <w:left w:val="nil"/>
              <w:bottom w:val="nil"/>
              <w:right w:val="single" w:sz="4" w:space="0" w:color="auto"/>
            </w:tcBorders>
            <w:shd w:val="clear" w:color="auto" w:fill="000000" w:themeFill="text1"/>
            <w:vAlign w:val="center"/>
          </w:tcPr>
          <w:p w14:paraId="31E3E26F" w14:textId="537D88CE" w:rsidR="00723133" w:rsidRPr="00723133" w:rsidRDefault="00723133" w:rsidP="00723133">
            <w:pPr>
              <w:jc w:val="right"/>
              <w:rPr>
                <w:rFonts w:ascii="Arial" w:hAnsi="Arial" w:cs="Arial"/>
                <w:color w:val="000000"/>
                <w:sz w:val="20"/>
                <w:szCs w:val="20"/>
              </w:rPr>
            </w:pPr>
          </w:p>
        </w:tc>
        <w:tc>
          <w:tcPr>
            <w:tcW w:w="995" w:type="dxa"/>
            <w:tcBorders>
              <w:top w:val="single" w:sz="4" w:space="0" w:color="auto"/>
              <w:left w:val="nil"/>
              <w:bottom w:val="nil"/>
              <w:right w:val="single" w:sz="4" w:space="0" w:color="auto"/>
            </w:tcBorders>
            <w:shd w:val="clear" w:color="auto" w:fill="000000" w:themeFill="text1"/>
            <w:vAlign w:val="center"/>
          </w:tcPr>
          <w:p w14:paraId="0E727E31" w14:textId="3ED6DA32" w:rsidR="00723133" w:rsidRPr="00723133" w:rsidRDefault="00723133" w:rsidP="00723133">
            <w:pPr>
              <w:jc w:val="center"/>
              <w:rPr>
                <w:rFonts w:ascii="Arial" w:hAnsi="Arial" w:cs="Arial"/>
                <w:color w:val="000000"/>
                <w:sz w:val="20"/>
                <w:szCs w:val="20"/>
              </w:rPr>
            </w:pPr>
          </w:p>
        </w:tc>
        <w:tc>
          <w:tcPr>
            <w:tcW w:w="1084" w:type="dxa"/>
            <w:tcBorders>
              <w:top w:val="single" w:sz="4" w:space="0" w:color="auto"/>
              <w:left w:val="nil"/>
              <w:bottom w:val="nil"/>
              <w:right w:val="single" w:sz="4" w:space="0" w:color="auto"/>
            </w:tcBorders>
            <w:shd w:val="clear" w:color="auto" w:fill="000000" w:themeFill="text1"/>
            <w:vAlign w:val="center"/>
          </w:tcPr>
          <w:p w14:paraId="595FC450" w14:textId="73848B09" w:rsidR="00723133" w:rsidRPr="00723133" w:rsidRDefault="00723133" w:rsidP="00723133">
            <w:pPr>
              <w:jc w:val="right"/>
              <w:rPr>
                <w:rFonts w:ascii="Arial" w:hAnsi="Arial" w:cs="Arial"/>
                <w:color w:val="000000"/>
                <w:sz w:val="20"/>
                <w:szCs w:val="20"/>
              </w:rPr>
            </w:pPr>
          </w:p>
        </w:tc>
        <w:tc>
          <w:tcPr>
            <w:tcW w:w="1148" w:type="dxa"/>
            <w:tcBorders>
              <w:top w:val="single" w:sz="4" w:space="0" w:color="auto"/>
              <w:left w:val="nil"/>
              <w:bottom w:val="nil"/>
              <w:right w:val="single" w:sz="4" w:space="0" w:color="auto"/>
            </w:tcBorders>
            <w:shd w:val="clear" w:color="auto" w:fill="000000" w:themeFill="text1"/>
            <w:vAlign w:val="center"/>
          </w:tcPr>
          <w:p w14:paraId="49FB18D7" w14:textId="66F8D808" w:rsidR="00723133" w:rsidRPr="00723133" w:rsidRDefault="00723133" w:rsidP="00723133">
            <w:pPr>
              <w:jc w:val="center"/>
              <w:rPr>
                <w:rFonts w:ascii="Arial" w:hAnsi="Arial" w:cs="Arial"/>
                <w:color w:val="000000"/>
                <w:sz w:val="20"/>
                <w:szCs w:val="20"/>
              </w:rPr>
            </w:pPr>
          </w:p>
        </w:tc>
      </w:tr>
      <w:tr w:rsidR="00723133" w:rsidRPr="00723133" w14:paraId="5FC8FF0D" w14:textId="77777777" w:rsidTr="00723133">
        <w:trPr>
          <w:trHeight w:val="264"/>
          <w:jc w:val="center"/>
        </w:trPr>
        <w:tc>
          <w:tcPr>
            <w:tcW w:w="3814" w:type="dxa"/>
            <w:tcBorders>
              <w:top w:val="nil"/>
              <w:left w:val="single" w:sz="4" w:space="0" w:color="auto"/>
              <w:bottom w:val="nil"/>
              <w:right w:val="single" w:sz="4" w:space="0" w:color="auto"/>
            </w:tcBorders>
            <w:shd w:val="clear" w:color="000000" w:fill="FFFFFF"/>
            <w:noWrap/>
            <w:vAlign w:val="center"/>
            <w:hideMark/>
          </w:tcPr>
          <w:p w14:paraId="077E96E9" w14:textId="77777777" w:rsidR="00723133" w:rsidRPr="00723133" w:rsidRDefault="00723133" w:rsidP="00723133">
            <w:pPr>
              <w:rPr>
                <w:rFonts w:ascii="Arial" w:hAnsi="Arial" w:cs="Arial"/>
                <w:color w:val="000000"/>
                <w:sz w:val="20"/>
                <w:szCs w:val="20"/>
              </w:rPr>
            </w:pPr>
            <w:r w:rsidRPr="00723133">
              <w:rPr>
                <w:rFonts w:ascii="Arial" w:hAnsi="Arial" w:cs="Arial"/>
                <w:color w:val="000000"/>
                <w:sz w:val="20"/>
                <w:szCs w:val="20"/>
              </w:rPr>
              <w:t>Manufacturing</w:t>
            </w:r>
          </w:p>
        </w:tc>
        <w:tc>
          <w:tcPr>
            <w:tcW w:w="1161" w:type="dxa"/>
            <w:tcBorders>
              <w:top w:val="nil"/>
              <w:left w:val="nil"/>
              <w:bottom w:val="nil"/>
              <w:right w:val="single" w:sz="4" w:space="0" w:color="auto"/>
            </w:tcBorders>
            <w:shd w:val="clear" w:color="000000" w:fill="FFFFFF"/>
            <w:vAlign w:val="center"/>
            <w:hideMark/>
          </w:tcPr>
          <w:p w14:paraId="1E702FD4" w14:textId="77777777" w:rsidR="00723133" w:rsidRPr="00723133" w:rsidRDefault="00723133" w:rsidP="00723133">
            <w:pPr>
              <w:jc w:val="right"/>
              <w:rPr>
                <w:rFonts w:ascii="Arial" w:hAnsi="Arial" w:cs="Arial"/>
                <w:color w:val="000000"/>
                <w:sz w:val="20"/>
                <w:szCs w:val="20"/>
              </w:rPr>
            </w:pPr>
            <w:r w:rsidRPr="00723133">
              <w:rPr>
                <w:rFonts w:ascii="Arial" w:hAnsi="Arial" w:cs="Arial"/>
                <w:color w:val="000000"/>
                <w:sz w:val="20"/>
                <w:szCs w:val="20"/>
              </w:rPr>
              <w:t>95</w:t>
            </w:r>
          </w:p>
        </w:tc>
        <w:tc>
          <w:tcPr>
            <w:tcW w:w="995" w:type="dxa"/>
            <w:tcBorders>
              <w:top w:val="nil"/>
              <w:left w:val="nil"/>
              <w:bottom w:val="nil"/>
              <w:right w:val="single" w:sz="4" w:space="0" w:color="auto"/>
            </w:tcBorders>
            <w:shd w:val="clear" w:color="000000" w:fill="FFFFFF"/>
            <w:vAlign w:val="center"/>
            <w:hideMark/>
          </w:tcPr>
          <w:p w14:paraId="50E7A0EC" w14:textId="77777777" w:rsidR="00723133" w:rsidRPr="00723133" w:rsidRDefault="00723133" w:rsidP="00723133">
            <w:pPr>
              <w:jc w:val="center"/>
              <w:rPr>
                <w:rFonts w:ascii="Arial" w:hAnsi="Arial" w:cs="Arial"/>
                <w:color w:val="000000"/>
                <w:sz w:val="20"/>
                <w:szCs w:val="20"/>
              </w:rPr>
            </w:pPr>
            <w:r w:rsidRPr="00723133">
              <w:rPr>
                <w:rFonts w:ascii="Arial" w:hAnsi="Arial" w:cs="Arial"/>
                <w:color w:val="000000"/>
                <w:sz w:val="20"/>
                <w:szCs w:val="20"/>
              </w:rPr>
              <w:t xml:space="preserve">     225.9 </w:t>
            </w:r>
          </w:p>
        </w:tc>
        <w:tc>
          <w:tcPr>
            <w:tcW w:w="1084" w:type="dxa"/>
            <w:tcBorders>
              <w:top w:val="nil"/>
              <w:left w:val="nil"/>
              <w:bottom w:val="nil"/>
              <w:right w:val="single" w:sz="4" w:space="0" w:color="auto"/>
            </w:tcBorders>
            <w:shd w:val="clear" w:color="000000" w:fill="FFFFFF"/>
            <w:vAlign w:val="center"/>
            <w:hideMark/>
          </w:tcPr>
          <w:p w14:paraId="61154D75" w14:textId="77777777" w:rsidR="00723133" w:rsidRPr="00723133" w:rsidRDefault="00723133" w:rsidP="00723133">
            <w:pPr>
              <w:jc w:val="right"/>
              <w:rPr>
                <w:rFonts w:ascii="Arial" w:hAnsi="Arial" w:cs="Arial"/>
                <w:color w:val="000000"/>
                <w:sz w:val="20"/>
                <w:szCs w:val="20"/>
              </w:rPr>
            </w:pPr>
            <w:r w:rsidRPr="00723133">
              <w:rPr>
                <w:rFonts w:ascii="Arial" w:hAnsi="Arial" w:cs="Arial"/>
                <w:color w:val="000000"/>
                <w:sz w:val="20"/>
                <w:szCs w:val="20"/>
              </w:rPr>
              <w:t>61.8%</w:t>
            </w:r>
          </w:p>
        </w:tc>
        <w:tc>
          <w:tcPr>
            <w:tcW w:w="1148" w:type="dxa"/>
            <w:tcBorders>
              <w:top w:val="nil"/>
              <w:left w:val="nil"/>
              <w:bottom w:val="nil"/>
              <w:right w:val="single" w:sz="4" w:space="0" w:color="auto"/>
            </w:tcBorders>
            <w:shd w:val="clear" w:color="000000" w:fill="FFFFFF"/>
            <w:vAlign w:val="center"/>
            <w:hideMark/>
          </w:tcPr>
          <w:p w14:paraId="09496589" w14:textId="77777777" w:rsidR="00723133" w:rsidRPr="00723133" w:rsidRDefault="00723133" w:rsidP="00723133">
            <w:pPr>
              <w:jc w:val="center"/>
              <w:rPr>
                <w:rFonts w:ascii="Arial" w:hAnsi="Arial" w:cs="Arial"/>
                <w:color w:val="000000"/>
                <w:sz w:val="20"/>
                <w:szCs w:val="20"/>
              </w:rPr>
            </w:pPr>
            <w:r w:rsidRPr="00723133">
              <w:rPr>
                <w:rFonts w:ascii="Arial" w:hAnsi="Arial" w:cs="Arial"/>
                <w:color w:val="000000"/>
                <w:sz w:val="20"/>
                <w:szCs w:val="20"/>
              </w:rPr>
              <w:t xml:space="preserve">       2.38 </w:t>
            </w:r>
          </w:p>
        </w:tc>
      </w:tr>
      <w:tr w:rsidR="00723133" w:rsidRPr="00723133" w14:paraId="52BF1B0E" w14:textId="77777777" w:rsidTr="007357E6">
        <w:trPr>
          <w:trHeight w:val="264"/>
          <w:jc w:val="center"/>
        </w:trPr>
        <w:tc>
          <w:tcPr>
            <w:tcW w:w="3814" w:type="dxa"/>
            <w:tcBorders>
              <w:top w:val="nil"/>
              <w:left w:val="single" w:sz="4" w:space="0" w:color="auto"/>
              <w:bottom w:val="nil"/>
              <w:right w:val="single" w:sz="4" w:space="0" w:color="auto"/>
            </w:tcBorders>
            <w:shd w:val="clear" w:color="000000" w:fill="FFFFFF"/>
            <w:noWrap/>
            <w:vAlign w:val="center"/>
            <w:hideMark/>
          </w:tcPr>
          <w:p w14:paraId="3CED7E19" w14:textId="77777777" w:rsidR="00723133" w:rsidRPr="00723133" w:rsidRDefault="00723133" w:rsidP="00723133">
            <w:pPr>
              <w:rPr>
                <w:rFonts w:ascii="Arial" w:hAnsi="Arial" w:cs="Arial"/>
                <w:color w:val="000000"/>
                <w:sz w:val="20"/>
                <w:szCs w:val="20"/>
              </w:rPr>
            </w:pPr>
            <w:r w:rsidRPr="00723133">
              <w:rPr>
                <w:rFonts w:ascii="Arial" w:hAnsi="Arial" w:cs="Arial"/>
                <w:color w:val="000000"/>
                <w:sz w:val="20"/>
                <w:szCs w:val="20"/>
              </w:rPr>
              <w:t>Wholesale, Transport, Other Utilities</w:t>
            </w:r>
          </w:p>
        </w:tc>
        <w:tc>
          <w:tcPr>
            <w:tcW w:w="1161" w:type="dxa"/>
            <w:tcBorders>
              <w:top w:val="nil"/>
              <w:left w:val="nil"/>
              <w:bottom w:val="nil"/>
              <w:right w:val="single" w:sz="4" w:space="0" w:color="auto"/>
            </w:tcBorders>
            <w:shd w:val="clear" w:color="auto" w:fill="000000" w:themeFill="text1"/>
            <w:vAlign w:val="center"/>
          </w:tcPr>
          <w:p w14:paraId="7E0B5FE4" w14:textId="065CD892" w:rsidR="00723133" w:rsidRPr="00723133" w:rsidRDefault="00723133" w:rsidP="00723133">
            <w:pPr>
              <w:jc w:val="right"/>
              <w:rPr>
                <w:rFonts w:ascii="Arial" w:hAnsi="Arial" w:cs="Arial"/>
                <w:color w:val="000000"/>
                <w:sz w:val="20"/>
                <w:szCs w:val="20"/>
              </w:rPr>
            </w:pPr>
          </w:p>
        </w:tc>
        <w:tc>
          <w:tcPr>
            <w:tcW w:w="995" w:type="dxa"/>
            <w:tcBorders>
              <w:top w:val="nil"/>
              <w:left w:val="nil"/>
              <w:bottom w:val="nil"/>
              <w:right w:val="single" w:sz="4" w:space="0" w:color="auto"/>
            </w:tcBorders>
            <w:shd w:val="clear" w:color="auto" w:fill="000000" w:themeFill="text1"/>
            <w:vAlign w:val="center"/>
          </w:tcPr>
          <w:p w14:paraId="156AB3BA" w14:textId="085A2C29" w:rsidR="00723133" w:rsidRPr="00723133" w:rsidRDefault="00723133" w:rsidP="00723133">
            <w:pPr>
              <w:jc w:val="center"/>
              <w:rPr>
                <w:rFonts w:ascii="Arial" w:hAnsi="Arial" w:cs="Arial"/>
                <w:color w:val="000000"/>
                <w:sz w:val="20"/>
                <w:szCs w:val="20"/>
              </w:rPr>
            </w:pPr>
          </w:p>
        </w:tc>
        <w:tc>
          <w:tcPr>
            <w:tcW w:w="1084" w:type="dxa"/>
            <w:tcBorders>
              <w:top w:val="nil"/>
              <w:left w:val="nil"/>
              <w:bottom w:val="nil"/>
              <w:right w:val="single" w:sz="4" w:space="0" w:color="auto"/>
            </w:tcBorders>
            <w:shd w:val="clear" w:color="auto" w:fill="000000" w:themeFill="text1"/>
            <w:vAlign w:val="center"/>
          </w:tcPr>
          <w:p w14:paraId="397DB0D3" w14:textId="7E1F0D9D" w:rsidR="00723133" w:rsidRPr="00723133" w:rsidRDefault="00723133" w:rsidP="00723133">
            <w:pPr>
              <w:jc w:val="right"/>
              <w:rPr>
                <w:rFonts w:ascii="Arial" w:hAnsi="Arial" w:cs="Arial"/>
                <w:color w:val="000000"/>
                <w:sz w:val="20"/>
                <w:szCs w:val="20"/>
              </w:rPr>
            </w:pPr>
          </w:p>
        </w:tc>
        <w:tc>
          <w:tcPr>
            <w:tcW w:w="1148" w:type="dxa"/>
            <w:tcBorders>
              <w:top w:val="nil"/>
              <w:left w:val="nil"/>
              <w:bottom w:val="nil"/>
              <w:right w:val="single" w:sz="4" w:space="0" w:color="auto"/>
            </w:tcBorders>
            <w:shd w:val="clear" w:color="auto" w:fill="000000" w:themeFill="text1"/>
            <w:vAlign w:val="center"/>
          </w:tcPr>
          <w:p w14:paraId="25F568B8" w14:textId="70A4D227" w:rsidR="00723133" w:rsidRPr="00723133" w:rsidRDefault="00723133" w:rsidP="00723133">
            <w:pPr>
              <w:jc w:val="center"/>
              <w:rPr>
                <w:rFonts w:ascii="Arial" w:hAnsi="Arial" w:cs="Arial"/>
                <w:color w:val="000000"/>
                <w:sz w:val="20"/>
                <w:szCs w:val="20"/>
              </w:rPr>
            </w:pPr>
          </w:p>
        </w:tc>
      </w:tr>
      <w:tr w:rsidR="00723133" w:rsidRPr="00723133" w14:paraId="007FA884" w14:textId="77777777" w:rsidTr="007357E6">
        <w:trPr>
          <w:trHeight w:val="264"/>
          <w:jc w:val="center"/>
        </w:trPr>
        <w:tc>
          <w:tcPr>
            <w:tcW w:w="3814" w:type="dxa"/>
            <w:tcBorders>
              <w:top w:val="nil"/>
              <w:left w:val="single" w:sz="4" w:space="0" w:color="auto"/>
              <w:bottom w:val="nil"/>
              <w:right w:val="single" w:sz="4" w:space="0" w:color="auto"/>
            </w:tcBorders>
            <w:shd w:val="clear" w:color="000000" w:fill="FFFFFF"/>
            <w:noWrap/>
            <w:vAlign w:val="center"/>
            <w:hideMark/>
          </w:tcPr>
          <w:p w14:paraId="087DDB7B" w14:textId="77777777" w:rsidR="00723133" w:rsidRPr="00723133" w:rsidRDefault="00723133" w:rsidP="00723133">
            <w:pPr>
              <w:rPr>
                <w:rFonts w:ascii="Arial" w:hAnsi="Arial" w:cs="Arial"/>
                <w:color w:val="000000"/>
                <w:sz w:val="20"/>
                <w:szCs w:val="20"/>
              </w:rPr>
            </w:pPr>
            <w:r w:rsidRPr="00723133">
              <w:rPr>
                <w:rFonts w:ascii="Arial" w:hAnsi="Arial" w:cs="Arial"/>
                <w:color w:val="000000"/>
                <w:sz w:val="20"/>
                <w:szCs w:val="20"/>
              </w:rPr>
              <w:t>Retail</w:t>
            </w:r>
          </w:p>
        </w:tc>
        <w:tc>
          <w:tcPr>
            <w:tcW w:w="1161" w:type="dxa"/>
            <w:tcBorders>
              <w:top w:val="nil"/>
              <w:left w:val="nil"/>
              <w:bottom w:val="nil"/>
              <w:right w:val="single" w:sz="4" w:space="0" w:color="auto"/>
            </w:tcBorders>
            <w:shd w:val="clear" w:color="auto" w:fill="000000" w:themeFill="text1"/>
            <w:vAlign w:val="center"/>
          </w:tcPr>
          <w:p w14:paraId="5F59A6AB" w14:textId="421F05EC" w:rsidR="00723133" w:rsidRPr="00723133" w:rsidRDefault="00723133" w:rsidP="00723133">
            <w:pPr>
              <w:jc w:val="right"/>
              <w:rPr>
                <w:rFonts w:ascii="Arial" w:hAnsi="Arial" w:cs="Arial"/>
                <w:color w:val="000000"/>
                <w:sz w:val="20"/>
                <w:szCs w:val="20"/>
              </w:rPr>
            </w:pPr>
          </w:p>
        </w:tc>
        <w:tc>
          <w:tcPr>
            <w:tcW w:w="995" w:type="dxa"/>
            <w:tcBorders>
              <w:top w:val="nil"/>
              <w:left w:val="nil"/>
              <w:bottom w:val="nil"/>
              <w:right w:val="single" w:sz="4" w:space="0" w:color="auto"/>
            </w:tcBorders>
            <w:shd w:val="clear" w:color="auto" w:fill="000000" w:themeFill="text1"/>
            <w:vAlign w:val="center"/>
          </w:tcPr>
          <w:p w14:paraId="0D5BD5AD" w14:textId="32E624D0" w:rsidR="00723133" w:rsidRPr="00723133" w:rsidRDefault="00723133" w:rsidP="00723133">
            <w:pPr>
              <w:jc w:val="center"/>
              <w:rPr>
                <w:rFonts w:ascii="Arial" w:hAnsi="Arial" w:cs="Arial"/>
                <w:color w:val="000000"/>
                <w:sz w:val="20"/>
                <w:szCs w:val="20"/>
              </w:rPr>
            </w:pPr>
          </w:p>
        </w:tc>
        <w:tc>
          <w:tcPr>
            <w:tcW w:w="1084" w:type="dxa"/>
            <w:tcBorders>
              <w:top w:val="nil"/>
              <w:left w:val="nil"/>
              <w:bottom w:val="nil"/>
              <w:right w:val="single" w:sz="4" w:space="0" w:color="auto"/>
            </w:tcBorders>
            <w:shd w:val="clear" w:color="auto" w:fill="000000" w:themeFill="text1"/>
            <w:vAlign w:val="center"/>
          </w:tcPr>
          <w:p w14:paraId="17210260" w14:textId="4AC99857" w:rsidR="00723133" w:rsidRPr="00723133" w:rsidRDefault="00723133" w:rsidP="00723133">
            <w:pPr>
              <w:jc w:val="right"/>
              <w:rPr>
                <w:rFonts w:ascii="Arial" w:hAnsi="Arial" w:cs="Arial"/>
                <w:color w:val="000000"/>
                <w:sz w:val="20"/>
                <w:szCs w:val="20"/>
              </w:rPr>
            </w:pPr>
          </w:p>
        </w:tc>
        <w:tc>
          <w:tcPr>
            <w:tcW w:w="1148" w:type="dxa"/>
            <w:tcBorders>
              <w:top w:val="nil"/>
              <w:left w:val="nil"/>
              <w:bottom w:val="nil"/>
              <w:right w:val="single" w:sz="4" w:space="0" w:color="auto"/>
            </w:tcBorders>
            <w:shd w:val="clear" w:color="auto" w:fill="000000" w:themeFill="text1"/>
            <w:vAlign w:val="center"/>
          </w:tcPr>
          <w:p w14:paraId="6864DD03" w14:textId="32ED0AF1" w:rsidR="00723133" w:rsidRPr="00723133" w:rsidRDefault="00723133" w:rsidP="00723133">
            <w:pPr>
              <w:jc w:val="center"/>
              <w:rPr>
                <w:rFonts w:ascii="Arial" w:hAnsi="Arial" w:cs="Arial"/>
                <w:color w:val="000000"/>
                <w:sz w:val="20"/>
                <w:szCs w:val="20"/>
              </w:rPr>
            </w:pPr>
          </w:p>
        </w:tc>
      </w:tr>
      <w:tr w:rsidR="00723133" w:rsidRPr="00723133" w14:paraId="237621D2" w14:textId="77777777" w:rsidTr="007357E6">
        <w:trPr>
          <w:trHeight w:val="264"/>
          <w:jc w:val="center"/>
        </w:trPr>
        <w:tc>
          <w:tcPr>
            <w:tcW w:w="3814" w:type="dxa"/>
            <w:tcBorders>
              <w:top w:val="nil"/>
              <w:left w:val="single" w:sz="4" w:space="0" w:color="auto"/>
              <w:bottom w:val="nil"/>
              <w:right w:val="single" w:sz="4" w:space="0" w:color="auto"/>
            </w:tcBorders>
            <w:shd w:val="clear" w:color="000000" w:fill="FFFFFF"/>
            <w:noWrap/>
            <w:vAlign w:val="center"/>
            <w:hideMark/>
          </w:tcPr>
          <w:p w14:paraId="3C707D0F" w14:textId="77777777" w:rsidR="00723133" w:rsidRPr="00723133" w:rsidRDefault="00723133" w:rsidP="00723133">
            <w:pPr>
              <w:rPr>
                <w:rFonts w:ascii="Arial" w:hAnsi="Arial" w:cs="Arial"/>
                <w:color w:val="000000"/>
                <w:sz w:val="20"/>
                <w:szCs w:val="20"/>
              </w:rPr>
            </w:pPr>
            <w:r w:rsidRPr="00723133">
              <w:rPr>
                <w:rFonts w:ascii="Arial" w:hAnsi="Arial" w:cs="Arial"/>
                <w:color w:val="000000"/>
                <w:sz w:val="20"/>
                <w:szCs w:val="20"/>
              </w:rPr>
              <w:t>Offices, Hotels, Finance, Services</w:t>
            </w:r>
          </w:p>
        </w:tc>
        <w:tc>
          <w:tcPr>
            <w:tcW w:w="1161" w:type="dxa"/>
            <w:tcBorders>
              <w:top w:val="nil"/>
              <w:left w:val="nil"/>
              <w:bottom w:val="nil"/>
              <w:right w:val="single" w:sz="4" w:space="0" w:color="auto"/>
            </w:tcBorders>
            <w:shd w:val="clear" w:color="auto" w:fill="000000" w:themeFill="text1"/>
            <w:vAlign w:val="center"/>
          </w:tcPr>
          <w:p w14:paraId="427A8FA0" w14:textId="6BF5C0D9" w:rsidR="00723133" w:rsidRPr="00723133" w:rsidRDefault="00723133" w:rsidP="00723133">
            <w:pPr>
              <w:jc w:val="right"/>
              <w:rPr>
                <w:rFonts w:ascii="Arial" w:hAnsi="Arial" w:cs="Arial"/>
                <w:color w:val="000000"/>
                <w:sz w:val="20"/>
                <w:szCs w:val="20"/>
              </w:rPr>
            </w:pPr>
          </w:p>
        </w:tc>
        <w:tc>
          <w:tcPr>
            <w:tcW w:w="995" w:type="dxa"/>
            <w:tcBorders>
              <w:top w:val="nil"/>
              <w:left w:val="nil"/>
              <w:bottom w:val="nil"/>
              <w:right w:val="single" w:sz="4" w:space="0" w:color="auto"/>
            </w:tcBorders>
            <w:shd w:val="clear" w:color="auto" w:fill="000000" w:themeFill="text1"/>
            <w:vAlign w:val="center"/>
          </w:tcPr>
          <w:p w14:paraId="72E4D6FF" w14:textId="5704BDE4" w:rsidR="00723133" w:rsidRPr="00723133" w:rsidRDefault="00723133" w:rsidP="00723133">
            <w:pPr>
              <w:jc w:val="center"/>
              <w:rPr>
                <w:rFonts w:ascii="Arial" w:hAnsi="Arial" w:cs="Arial"/>
                <w:color w:val="000000"/>
                <w:sz w:val="20"/>
                <w:szCs w:val="20"/>
              </w:rPr>
            </w:pPr>
          </w:p>
        </w:tc>
        <w:tc>
          <w:tcPr>
            <w:tcW w:w="1084" w:type="dxa"/>
            <w:tcBorders>
              <w:top w:val="nil"/>
              <w:left w:val="nil"/>
              <w:bottom w:val="nil"/>
              <w:right w:val="single" w:sz="4" w:space="0" w:color="auto"/>
            </w:tcBorders>
            <w:shd w:val="clear" w:color="auto" w:fill="000000" w:themeFill="text1"/>
            <w:vAlign w:val="center"/>
          </w:tcPr>
          <w:p w14:paraId="5018E7BA" w14:textId="2D55FE2D" w:rsidR="00723133" w:rsidRPr="00723133" w:rsidRDefault="00723133" w:rsidP="00723133">
            <w:pPr>
              <w:jc w:val="right"/>
              <w:rPr>
                <w:rFonts w:ascii="Arial" w:hAnsi="Arial" w:cs="Arial"/>
                <w:color w:val="000000"/>
                <w:sz w:val="20"/>
                <w:szCs w:val="20"/>
              </w:rPr>
            </w:pPr>
          </w:p>
        </w:tc>
        <w:tc>
          <w:tcPr>
            <w:tcW w:w="1148" w:type="dxa"/>
            <w:tcBorders>
              <w:top w:val="nil"/>
              <w:left w:val="nil"/>
              <w:bottom w:val="nil"/>
              <w:right w:val="single" w:sz="4" w:space="0" w:color="auto"/>
            </w:tcBorders>
            <w:shd w:val="clear" w:color="auto" w:fill="000000" w:themeFill="text1"/>
            <w:vAlign w:val="center"/>
          </w:tcPr>
          <w:p w14:paraId="667EA468" w14:textId="3B32F7B7" w:rsidR="00723133" w:rsidRPr="00723133" w:rsidRDefault="00723133" w:rsidP="00723133">
            <w:pPr>
              <w:jc w:val="center"/>
              <w:rPr>
                <w:rFonts w:ascii="Arial" w:hAnsi="Arial" w:cs="Arial"/>
                <w:color w:val="000000"/>
                <w:sz w:val="20"/>
                <w:szCs w:val="20"/>
              </w:rPr>
            </w:pPr>
          </w:p>
        </w:tc>
      </w:tr>
      <w:tr w:rsidR="00723133" w:rsidRPr="00723133" w14:paraId="5C901105" w14:textId="77777777" w:rsidTr="007357E6">
        <w:trPr>
          <w:trHeight w:val="264"/>
          <w:jc w:val="center"/>
        </w:trPr>
        <w:tc>
          <w:tcPr>
            <w:tcW w:w="3814" w:type="dxa"/>
            <w:tcBorders>
              <w:top w:val="nil"/>
              <w:left w:val="single" w:sz="4" w:space="0" w:color="auto"/>
              <w:bottom w:val="nil"/>
              <w:right w:val="single" w:sz="4" w:space="0" w:color="auto"/>
            </w:tcBorders>
            <w:shd w:val="clear" w:color="000000" w:fill="FFFFFF"/>
            <w:noWrap/>
            <w:vAlign w:val="center"/>
            <w:hideMark/>
          </w:tcPr>
          <w:p w14:paraId="05FC2852" w14:textId="77777777" w:rsidR="00723133" w:rsidRPr="00723133" w:rsidRDefault="00723133" w:rsidP="00723133">
            <w:pPr>
              <w:rPr>
                <w:rFonts w:ascii="Arial" w:hAnsi="Arial" w:cs="Arial"/>
                <w:color w:val="000000"/>
                <w:sz w:val="20"/>
                <w:szCs w:val="20"/>
              </w:rPr>
            </w:pPr>
            <w:r w:rsidRPr="00723133">
              <w:rPr>
                <w:rFonts w:ascii="Arial" w:hAnsi="Arial" w:cs="Arial"/>
                <w:color w:val="000000"/>
                <w:sz w:val="20"/>
                <w:szCs w:val="20"/>
              </w:rPr>
              <w:t>Institutional/Government</w:t>
            </w:r>
          </w:p>
        </w:tc>
        <w:tc>
          <w:tcPr>
            <w:tcW w:w="1161" w:type="dxa"/>
            <w:tcBorders>
              <w:top w:val="nil"/>
              <w:left w:val="nil"/>
              <w:bottom w:val="nil"/>
              <w:right w:val="single" w:sz="4" w:space="0" w:color="auto"/>
            </w:tcBorders>
            <w:shd w:val="clear" w:color="auto" w:fill="000000" w:themeFill="text1"/>
            <w:vAlign w:val="center"/>
          </w:tcPr>
          <w:p w14:paraId="35A379A7" w14:textId="2D0B168D" w:rsidR="00723133" w:rsidRPr="00723133" w:rsidRDefault="00723133" w:rsidP="00723133">
            <w:pPr>
              <w:jc w:val="right"/>
              <w:rPr>
                <w:rFonts w:ascii="Arial" w:hAnsi="Arial" w:cs="Arial"/>
                <w:color w:val="000000"/>
                <w:sz w:val="20"/>
                <w:szCs w:val="20"/>
              </w:rPr>
            </w:pPr>
          </w:p>
        </w:tc>
        <w:tc>
          <w:tcPr>
            <w:tcW w:w="995" w:type="dxa"/>
            <w:tcBorders>
              <w:top w:val="nil"/>
              <w:left w:val="nil"/>
              <w:bottom w:val="nil"/>
              <w:right w:val="single" w:sz="4" w:space="0" w:color="auto"/>
            </w:tcBorders>
            <w:shd w:val="clear" w:color="auto" w:fill="000000" w:themeFill="text1"/>
            <w:vAlign w:val="center"/>
          </w:tcPr>
          <w:p w14:paraId="5B7EC76B" w14:textId="55EE2B97" w:rsidR="00723133" w:rsidRPr="00723133" w:rsidRDefault="00723133" w:rsidP="00723133">
            <w:pPr>
              <w:jc w:val="center"/>
              <w:rPr>
                <w:rFonts w:ascii="Arial" w:hAnsi="Arial" w:cs="Arial"/>
                <w:color w:val="000000"/>
                <w:sz w:val="20"/>
                <w:szCs w:val="20"/>
              </w:rPr>
            </w:pPr>
          </w:p>
        </w:tc>
        <w:tc>
          <w:tcPr>
            <w:tcW w:w="1084" w:type="dxa"/>
            <w:tcBorders>
              <w:top w:val="nil"/>
              <w:left w:val="nil"/>
              <w:bottom w:val="nil"/>
              <w:right w:val="single" w:sz="4" w:space="0" w:color="auto"/>
            </w:tcBorders>
            <w:shd w:val="clear" w:color="auto" w:fill="000000" w:themeFill="text1"/>
            <w:vAlign w:val="center"/>
          </w:tcPr>
          <w:p w14:paraId="29B54637" w14:textId="2AF00B4C" w:rsidR="00723133" w:rsidRPr="00723133" w:rsidRDefault="00723133" w:rsidP="00723133">
            <w:pPr>
              <w:jc w:val="right"/>
              <w:rPr>
                <w:rFonts w:ascii="Arial" w:hAnsi="Arial" w:cs="Arial"/>
                <w:color w:val="000000"/>
                <w:sz w:val="20"/>
                <w:szCs w:val="20"/>
              </w:rPr>
            </w:pPr>
          </w:p>
        </w:tc>
        <w:tc>
          <w:tcPr>
            <w:tcW w:w="1148" w:type="dxa"/>
            <w:tcBorders>
              <w:top w:val="nil"/>
              <w:left w:val="nil"/>
              <w:bottom w:val="nil"/>
              <w:right w:val="single" w:sz="4" w:space="0" w:color="auto"/>
            </w:tcBorders>
            <w:shd w:val="clear" w:color="auto" w:fill="000000" w:themeFill="text1"/>
            <w:vAlign w:val="center"/>
          </w:tcPr>
          <w:p w14:paraId="2A536680" w14:textId="4DF429AF" w:rsidR="00723133" w:rsidRPr="00723133" w:rsidRDefault="00723133" w:rsidP="00723133">
            <w:pPr>
              <w:jc w:val="center"/>
              <w:rPr>
                <w:rFonts w:ascii="Arial" w:hAnsi="Arial" w:cs="Arial"/>
                <w:color w:val="000000"/>
                <w:sz w:val="20"/>
                <w:szCs w:val="20"/>
              </w:rPr>
            </w:pPr>
          </w:p>
        </w:tc>
      </w:tr>
      <w:tr w:rsidR="00723133" w:rsidRPr="00723133" w14:paraId="147D9BDA" w14:textId="77777777" w:rsidTr="007357E6">
        <w:trPr>
          <w:trHeight w:val="264"/>
          <w:jc w:val="center"/>
        </w:trPr>
        <w:tc>
          <w:tcPr>
            <w:tcW w:w="3814" w:type="dxa"/>
            <w:tcBorders>
              <w:top w:val="nil"/>
              <w:left w:val="single" w:sz="4" w:space="0" w:color="auto"/>
              <w:bottom w:val="nil"/>
              <w:right w:val="single" w:sz="4" w:space="0" w:color="auto"/>
            </w:tcBorders>
            <w:shd w:val="clear" w:color="000000" w:fill="FFFFFF"/>
            <w:noWrap/>
            <w:vAlign w:val="center"/>
            <w:hideMark/>
          </w:tcPr>
          <w:p w14:paraId="1DE9C276" w14:textId="77777777" w:rsidR="00723133" w:rsidRPr="00723133" w:rsidRDefault="00723133" w:rsidP="00723133">
            <w:pPr>
              <w:rPr>
                <w:rFonts w:ascii="Arial" w:hAnsi="Arial" w:cs="Arial"/>
                <w:color w:val="000000"/>
                <w:sz w:val="20"/>
                <w:szCs w:val="20"/>
              </w:rPr>
            </w:pPr>
            <w:r w:rsidRPr="00723133">
              <w:rPr>
                <w:rFonts w:ascii="Arial" w:hAnsi="Arial" w:cs="Arial"/>
                <w:color w:val="000000"/>
                <w:sz w:val="20"/>
                <w:szCs w:val="20"/>
              </w:rPr>
              <w:t>Other or unknown</w:t>
            </w:r>
          </w:p>
        </w:tc>
        <w:tc>
          <w:tcPr>
            <w:tcW w:w="1161" w:type="dxa"/>
            <w:tcBorders>
              <w:top w:val="nil"/>
              <w:left w:val="nil"/>
              <w:bottom w:val="nil"/>
              <w:right w:val="single" w:sz="4" w:space="0" w:color="auto"/>
            </w:tcBorders>
            <w:shd w:val="clear" w:color="auto" w:fill="000000" w:themeFill="text1"/>
            <w:vAlign w:val="center"/>
          </w:tcPr>
          <w:p w14:paraId="2BD5F3F2" w14:textId="069791AD" w:rsidR="00723133" w:rsidRPr="00723133" w:rsidRDefault="00723133" w:rsidP="00723133">
            <w:pPr>
              <w:jc w:val="right"/>
              <w:rPr>
                <w:rFonts w:ascii="Arial" w:hAnsi="Arial" w:cs="Arial"/>
                <w:color w:val="000000"/>
                <w:sz w:val="20"/>
                <w:szCs w:val="20"/>
              </w:rPr>
            </w:pPr>
          </w:p>
        </w:tc>
        <w:tc>
          <w:tcPr>
            <w:tcW w:w="995" w:type="dxa"/>
            <w:tcBorders>
              <w:top w:val="nil"/>
              <w:left w:val="nil"/>
              <w:bottom w:val="nil"/>
              <w:right w:val="single" w:sz="4" w:space="0" w:color="auto"/>
            </w:tcBorders>
            <w:shd w:val="clear" w:color="auto" w:fill="000000" w:themeFill="text1"/>
            <w:vAlign w:val="center"/>
          </w:tcPr>
          <w:p w14:paraId="49FC64E7" w14:textId="5EA8A38F" w:rsidR="00723133" w:rsidRPr="00723133" w:rsidRDefault="00723133" w:rsidP="00723133">
            <w:pPr>
              <w:jc w:val="center"/>
              <w:rPr>
                <w:rFonts w:ascii="Arial" w:hAnsi="Arial" w:cs="Arial"/>
                <w:color w:val="000000"/>
                <w:sz w:val="20"/>
                <w:szCs w:val="20"/>
              </w:rPr>
            </w:pPr>
          </w:p>
        </w:tc>
        <w:tc>
          <w:tcPr>
            <w:tcW w:w="1084" w:type="dxa"/>
            <w:tcBorders>
              <w:top w:val="nil"/>
              <w:left w:val="nil"/>
              <w:bottom w:val="nil"/>
              <w:right w:val="single" w:sz="4" w:space="0" w:color="auto"/>
            </w:tcBorders>
            <w:shd w:val="clear" w:color="auto" w:fill="000000" w:themeFill="text1"/>
            <w:vAlign w:val="center"/>
          </w:tcPr>
          <w:p w14:paraId="72B7D186" w14:textId="73C4C439" w:rsidR="00723133" w:rsidRPr="00723133" w:rsidRDefault="00723133" w:rsidP="00723133">
            <w:pPr>
              <w:jc w:val="right"/>
              <w:rPr>
                <w:rFonts w:ascii="Arial" w:hAnsi="Arial" w:cs="Arial"/>
                <w:color w:val="000000"/>
                <w:sz w:val="20"/>
                <w:szCs w:val="20"/>
              </w:rPr>
            </w:pPr>
          </w:p>
        </w:tc>
        <w:tc>
          <w:tcPr>
            <w:tcW w:w="1148" w:type="dxa"/>
            <w:tcBorders>
              <w:top w:val="nil"/>
              <w:left w:val="nil"/>
              <w:bottom w:val="nil"/>
              <w:right w:val="single" w:sz="4" w:space="0" w:color="auto"/>
            </w:tcBorders>
            <w:shd w:val="clear" w:color="auto" w:fill="000000" w:themeFill="text1"/>
            <w:vAlign w:val="center"/>
          </w:tcPr>
          <w:p w14:paraId="10EDF932" w14:textId="1D6CD8C5" w:rsidR="00723133" w:rsidRPr="00723133" w:rsidRDefault="00723133" w:rsidP="00723133">
            <w:pPr>
              <w:jc w:val="center"/>
              <w:rPr>
                <w:rFonts w:ascii="Arial" w:hAnsi="Arial" w:cs="Arial"/>
                <w:color w:val="000000"/>
                <w:sz w:val="20"/>
                <w:szCs w:val="20"/>
              </w:rPr>
            </w:pPr>
          </w:p>
        </w:tc>
      </w:tr>
      <w:tr w:rsidR="00723133" w:rsidRPr="00723133" w14:paraId="4B057805" w14:textId="77777777" w:rsidTr="00723133">
        <w:trPr>
          <w:trHeight w:val="264"/>
          <w:jc w:val="center"/>
        </w:trPr>
        <w:tc>
          <w:tcPr>
            <w:tcW w:w="3814" w:type="dxa"/>
            <w:tcBorders>
              <w:top w:val="nil"/>
              <w:left w:val="single" w:sz="4" w:space="0" w:color="auto"/>
              <w:bottom w:val="single" w:sz="4" w:space="0" w:color="auto"/>
              <w:right w:val="single" w:sz="4" w:space="0" w:color="auto"/>
            </w:tcBorders>
            <w:shd w:val="clear" w:color="000000" w:fill="FFFFFF"/>
            <w:noWrap/>
            <w:vAlign w:val="center"/>
            <w:hideMark/>
          </w:tcPr>
          <w:p w14:paraId="31D0C5E0" w14:textId="77777777" w:rsidR="00723133" w:rsidRPr="00723133" w:rsidRDefault="00723133" w:rsidP="00723133">
            <w:pPr>
              <w:rPr>
                <w:rFonts w:ascii="Arial" w:hAnsi="Arial" w:cs="Arial"/>
                <w:b/>
                <w:bCs/>
                <w:color w:val="000000"/>
                <w:sz w:val="20"/>
                <w:szCs w:val="20"/>
              </w:rPr>
            </w:pPr>
            <w:r w:rsidRPr="00723133">
              <w:rPr>
                <w:rFonts w:ascii="Arial" w:hAnsi="Arial" w:cs="Arial"/>
                <w:b/>
                <w:bCs/>
                <w:color w:val="000000"/>
                <w:sz w:val="20"/>
                <w:szCs w:val="20"/>
              </w:rPr>
              <w:t>Total</w:t>
            </w:r>
          </w:p>
        </w:tc>
        <w:tc>
          <w:tcPr>
            <w:tcW w:w="1161" w:type="dxa"/>
            <w:tcBorders>
              <w:top w:val="nil"/>
              <w:left w:val="nil"/>
              <w:bottom w:val="single" w:sz="4" w:space="0" w:color="auto"/>
              <w:right w:val="single" w:sz="4" w:space="0" w:color="auto"/>
            </w:tcBorders>
            <w:shd w:val="clear" w:color="000000" w:fill="FFFFFF"/>
            <w:vAlign w:val="center"/>
            <w:hideMark/>
          </w:tcPr>
          <w:p w14:paraId="3143E763" w14:textId="77777777" w:rsidR="00723133" w:rsidRPr="00424EEE" w:rsidRDefault="00723133" w:rsidP="00723133">
            <w:pPr>
              <w:jc w:val="right"/>
              <w:rPr>
                <w:rFonts w:ascii="Arial" w:hAnsi="Arial" w:cs="Arial"/>
                <w:b/>
                <w:color w:val="000000"/>
                <w:sz w:val="20"/>
                <w:szCs w:val="20"/>
              </w:rPr>
            </w:pPr>
            <w:r w:rsidRPr="00424EEE">
              <w:rPr>
                <w:rFonts w:ascii="Arial" w:hAnsi="Arial" w:cs="Arial"/>
                <w:b/>
                <w:color w:val="000000"/>
                <w:sz w:val="20"/>
                <w:szCs w:val="20"/>
              </w:rPr>
              <w:t>331</w:t>
            </w:r>
          </w:p>
        </w:tc>
        <w:tc>
          <w:tcPr>
            <w:tcW w:w="995" w:type="dxa"/>
            <w:tcBorders>
              <w:top w:val="nil"/>
              <w:left w:val="nil"/>
              <w:bottom w:val="single" w:sz="4" w:space="0" w:color="auto"/>
              <w:right w:val="single" w:sz="4" w:space="0" w:color="auto"/>
            </w:tcBorders>
            <w:shd w:val="clear" w:color="000000" w:fill="FFFFFF"/>
            <w:vAlign w:val="center"/>
            <w:hideMark/>
          </w:tcPr>
          <w:p w14:paraId="15107F9C" w14:textId="77777777" w:rsidR="00723133" w:rsidRPr="00424EEE" w:rsidRDefault="00723133" w:rsidP="00723133">
            <w:pPr>
              <w:jc w:val="center"/>
              <w:rPr>
                <w:rFonts w:ascii="Arial" w:hAnsi="Arial" w:cs="Arial"/>
                <w:b/>
                <w:color w:val="000000"/>
                <w:sz w:val="20"/>
                <w:szCs w:val="20"/>
              </w:rPr>
            </w:pPr>
            <w:r w:rsidRPr="00424EEE">
              <w:rPr>
                <w:rFonts w:ascii="Arial" w:hAnsi="Arial" w:cs="Arial"/>
                <w:b/>
                <w:color w:val="000000"/>
                <w:sz w:val="20"/>
                <w:szCs w:val="20"/>
              </w:rPr>
              <w:t xml:space="preserve">     365.8 </w:t>
            </w:r>
          </w:p>
        </w:tc>
        <w:tc>
          <w:tcPr>
            <w:tcW w:w="1084" w:type="dxa"/>
            <w:tcBorders>
              <w:top w:val="nil"/>
              <w:left w:val="nil"/>
              <w:bottom w:val="single" w:sz="4" w:space="0" w:color="auto"/>
              <w:right w:val="single" w:sz="4" w:space="0" w:color="auto"/>
            </w:tcBorders>
            <w:shd w:val="clear" w:color="000000" w:fill="FFFFFF"/>
            <w:vAlign w:val="center"/>
            <w:hideMark/>
          </w:tcPr>
          <w:p w14:paraId="34FC3174" w14:textId="77777777" w:rsidR="00723133" w:rsidRPr="00424EEE" w:rsidRDefault="00723133" w:rsidP="00723133">
            <w:pPr>
              <w:jc w:val="right"/>
              <w:rPr>
                <w:rFonts w:ascii="Arial" w:hAnsi="Arial" w:cs="Arial"/>
                <w:b/>
                <w:color w:val="000000"/>
                <w:sz w:val="20"/>
                <w:szCs w:val="20"/>
              </w:rPr>
            </w:pPr>
            <w:r w:rsidRPr="00424EEE">
              <w:rPr>
                <w:rFonts w:ascii="Arial" w:hAnsi="Arial" w:cs="Arial"/>
                <w:b/>
                <w:color w:val="000000"/>
                <w:sz w:val="20"/>
                <w:szCs w:val="20"/>
              </w:rPr>
              <w:t>-</w:t>
            </w:r>
          </w:p>
        </w:tc>
        <w:tc>
          <w:tcPr>
            <w:tcW w:w="1148" w:type="dxa"/>
            <w:tcBorders>
              <w:top w:val="nil"/>
              <w:left w:val="nil"/>
              <w:bottom w:val="single" w:sz="4" w:space="0" w:color="auto"/>
              <w:right w:val="single" w:sz="4" w:space="0" w:color="auto"/>
            </w:tcBorders>
            <w:shd w:val="clear" w:color="000000" w:fill="FFFFFF"/>
            <w:vAlign w:val="center"/>
            <w:hideMark/>
          </w:tcPr>
          <w:p w14:paraId="4A02084E" w14:textId="77777777" w:rsidR="00723133" w:rsidRPr="00424EEE" w:rsidRDefault="00723133" w:rsidP="00723133">
            <w:pPr>
              <w:jc w:val="center"/>
              <w:rPr>
                <w:rFonts w:ascii="Arial" w:hAnsi="Arial" w:cs="Arial"/>
                <w:b/>
                <w:color w:val="000000"/>
                <w:sz w:val="20"/>
                <w:szCs w:val="20"/>
              </w:rPr>
            </w:pPr>
            <w:r w:rsidRPr="00424EEE">
              <w:rPr>
                <w:rFonts w:ascii="Arial" w:hAnsi="Arial" w:cs="Arial"/>
                <w:b/>
                <w:color w:val="000000"/>
                <w:sz w:val="20"/>
                <w:szCs w:val="20"/>
              </w:rPr>
              <w:t xml:space="preserve">       1.11 </w:t>
            </w:r>
          </w:p>
        </w:tc>
      </w:tr>
    </w:tbl>
    <w:p w14:paraId="7F5AC43B" w14:textId="77777777" w:rsidR="00723133" w:rsidRDefault="00723133" w:rsidP="00723133">
      <w:pPr>
        <w:pStyle w:val="TableCaption"/>
        <w:keepNext/>
        <w:keepLines/>
      </w:pPr>
    </w:p>
    <w:p w14:paraId="1B2DA085" w14:textId="4A0B798F" w:rsidR="00321E09" w:rsidRPr="009657F9" w:rsidRDefault="00321E09" w:rsidP="005839AE">
      <w:r w:rsidRPr="009657F9">
        <w:t>Table 2.2 shows comparable information on B</w:t>
      </w:r>
      <w:r w:rsidR="000E32E6" w:rsidRPr="009657F9">
        <w:t>I</w:t>
      </w:r>
      <w:r w:rsidRPr="009657F9">
        <w:t>P enrollment for SCE. SCE’s enrollment in B</w:t>
      </w:r>
      <w:r w:rsidR="000E32E6" w:rsidRPr="009657F9">
        <w:t>I</w:t>
      </w:r>
      <w:r w:rsidRPr="009657F9">
        <w:t>P</w:t>
      </w:r>
      <w:r w:rsidR="009012D7" w:rsidRPr="009657F9">
        <w:t xml:space="preserve"> </w:t>
      </w:r>
      <w:r w:rsidR="006556EC">
        <w:t>was 571</w:t>
      </w:r>
      <w:r w:rsidR="000E32E6" w:rsidRPr="009657F9">
        <w:t xml:space="preserve"> </w:t>
      </w:r>
      <w:r w:rsidR="009012D7" w:rsidRPr="009657F9">
        <w:t>service accounts</w:t>
      </w:r>
      <w:r w:rsidR="008A1120" w:rsidRPr="009657F9">
        <w:t xml:space="preserve"> </w:t>
      </w:r>
      <w:r w:rsidR="000E32E6" w:rsidRPr="009657F9">
        <w:t xml:space="preserve">on the </w:t>
      </w:r>
      <w:r w:rsidR="006556EC">
        <w:t>May 3, 2017</w:t>
      </w:r>
      <w:r w:rsidR="000E32E6" w:rsidRPr="009657F9">
        <w:t xml:space="preserve"> event day</w:t>
      </w:r>
      <w:r w:rsidR="009012D7" w:rsidRPr="009657F9">
        <w:t xml:space="preserve">, which is a </w:t>
      </w:r>
      <w:r w:rsidR="00805C89" w:rsidRPr="009657F9">
        <w:t>s</w:t>
      </w:r>
      <w:r w:rsidR="000E32E6" w:rsidRPr="009657F9">
        <w:t xml:space="preserve">light </w:t>
      </w:r>
      <w:r w:rsidR="00550E7D" w:rsidRPr="009657F9">
        <w:t>de</w:t>
      </w:r>
      <w:r w:rsidR="009012D7" w:rsidRPr="009657F9">
        <w:t xml:space="preserve">crease relative to the </w:t>
      </w:r>
      <w:r w:rsidR="006556EC">
        <w:t>593</w:t>
      </w:r>
      <w:r w:rsidR="000E32E6" w:rsidRPr="009657F9">
        <w:t xml:space="preserve"> </w:t>
      </w:r>
      <w:r w:rsidR="009012D7" w:rsidRPr="009657F9">
        <w:t>enrolled</w:t>
      </w:r>
      <w:r w:rsidR="00B2345B" w:rsidRPr="009657F9">
        <w:t xml:space="preserve"> service accounts</w:t>
      </w:r>
      <w:r w:rsidRPr="009657F9">
        <w:t xml:space="preserve"> </w:t>
      </w:r>
      <w:r w:rsidR="000E32E6" w:rsidRPr="009657F9">
        <w:t xml:space="preserve">during </w:t>
      </w:r>
      <w:r w:rsidR="008A1120" w:rsidRPr="009657F9">
        <w:t>PY</w:t>
      </w:r>
      <w:r w:rsidRPr="009657F9">
        <w:t>201</w:t>
      </w:r>
      <w:r w:rsidR="006556EC">
        <w:t>6</w:t>
      </w:r>
      <w:r w:rsidRPr="009657F9">
        <w:t>.</w:t>
      </w:r>
      <w:r w:rsidR="00D9388E" w:rsidRPr="009657F9">
        <w:t xml:space="preserve"> </w:t>
      </w:r>
      <w:r w:rsidR="009657F9" w:rsidRPr="009657F9">
        <w:t>Th</w:t>
      </w:r>
      <w:r w:rsidR="006556EC">
        <w:t>ese accounted for a total of 863</w:t>
      </w:r>
      <w:r w:rsidR="00173834" w:rsidRPr="009657F9">
        <w:t xml:space="preserve"> </w:t>
      </w:r>
      <w:r w:rsidRPr="009657F9">
        <w:t xml:space="preserve">MW of maximum demand, or </w:t>
      </w:r>
      <w:r w:rsidR="000E32E6" w:rsidRPr="009657F9">
        <w:t>1.</w:t>
      </w:r>
      <w:r w:rsidR="006556EC">
        <w:t>51</w:t>
      </w:r>
      <w:r w:rsidR="00B2345B" w:rsidRPr="009657F9">
        <w:t xml:space="preserve"> </w:t>
      </w:r>
      <w:r w:rsidR="009D06AF" w:rsidRPr="009657F9">
        <w:t xml:space="preserve">MW </w:t>
      </w:r>
      <w:r w:rsidRPr="009657F9">
        <w:t xml:space="preserve">per service account. </w:t>
      </w:r>
      <w:r w:rsidRPr="0097087F">
        <w:t xml:space="preserve">Manufacturers make up </w:t>
      </w:r>
      <w:r w:rsidR="000E32E6" w:rsidRPr="0097087F">
        <w:t xml:space="preserve">about two-thirds </w:t>
      </w:r>
      <w:r w:rsidRPr="0097087F">
        <w:t>of the enrolled load.</w:t>
      </w:r>
      <w:r w:rsidRPr="009657F9">
        <w:t xml:space="preserve">  </w:t>
      </w:r>
    </w:p>
    <w:p w14:paraId="4073CC6F" w14:textId="3F1A4972" w:rsidR="00321E09" w:rsidRPr="0097087F" w:rsidRDefault="00321E09" w:rsidP="005839AE"/>
    <w:p w14:paraId="30D07F7D" w14:textId="55B62736" w:rsidR="0007241B" w:rsidRDefault="006C0719" w:rsidP="00723133">
      <w:pPr>
        <w:pStyle w:val="TableCaption"/>
        <w:keepNext/>
        <w:keepLines/>
        <w:rPr>
          <w:i/>
        </w:rPr>
      </w:pPr>
      <w:bookmarkStart w:id="54" w:name="_Toc226190226"/>
      <w:bookmarkStart w:id="55" w:name="_Toc508800209"/>
      <w:r w:rsidRPr="0097087F">
        <w:t xml:space="preserve">Table 2.2: </w:t>
      </w:r>
      <w:r w:rsidR="00321E09" w:rsidRPr="0097087F">
        <w:t>B</w:t>
      </w:r>
      <w:r w:rsidRPr="0097087F">
        <w:t>I</w:t>
      </w:r>
      <w:r w:rsidR="00321E09" w:rsidRPr="0097087F">
        <w:t>P Enrol</w:t>
      </w:r>
      <w:r w:rsidR="00852320" w:rsidRPr="0097087F">
        <w:t>lees by Industry G</w:t>
      </w:r>
      <w:r w:rsidR="00321E09" w:rsidRPr="0097087F">
        <w:t>roup</w:t>
      </w:r>
      <w:r w:rsidR="00E32794" w:rsidRPr="0097087F">
        <w:t xml:space="preserve">, </w:t>
      </w:r>
      <w:r w:rsidR="00321E09" w:rsidRPr="0097087F">
        <w:rPr>
          <w:i/>
        </w:rPr>
        <w:t>SCE</w:t>
      </w:r>
      <w:bookmarkEnd w:id="54"/>
      <w:bookmarkEnd w:id="55"/>
      <w:r w:rsidR="00634940">
        <w:rPr>
          <w:i/>
        </w:rPr>
        <w:t xml:space="preserve"> </w:t>
      </w:r>
    </w:p>
    <w:tbl>
      <w:tblPr>
        <w:tblW w:w="8265" w:type="dxa"/>
        <w:jc w:val="center"/>
        <w:tblLook w:val="04A0" w:firstRow="1" w:lastRow="0" w:firstColumn="1" w:lastColumn="0" w:noHBand="0" w:noVBand="1"/>
      </w:tblPr>
      <w:tblGrid>
        <w:gridCol w:w="3816"/>
        <w:gridCol w:w="1177"/>
        <w:gridCol w:w="1008"/>
        <w:gridCol w:w="1099"/>
        <w:gridCol w:w="1165"/>
      </w:tblGrid>
      <w:tr w:rsidR="00723133" w:rsidRPr="00723133" w14:paraId="27CEB681" w14:textId="77777777" w:rsidTr="006B55F6">
        <w:trPr>
          <w:trHeight w:val="648"/>
          <w:jc w:val="center"/>
        </w:trPr>
        <w:tc>
          <w:tcPr>
            <w:tcW w:w="3816" w:type="dxa"/>
            <w:tcBorders>
              <w:top w:val="single" w:sz="4" w:space="0" w:color="auto"/>
              <w:left w:val="single" w:sz="4" w:space="0" w:color="auto"/>
              <w:bottom w:val="nil"/>
              <w:right w:val="single" w:sz="4" w:space="0" w:color="FFFFFF" w:themeColor="background1"/>
            </w:tcBorders>
            <w:shd w:val="clear" w:color="auto" w:fill="0C2577"/>
            <w:vAlign w:val="center"/>
            <w:hideMark/>
          </w:tcPr>
          <w:p w14:paraId="2359559C" w14:textId="77777777" w:rsidR="00723133" w:rsidRPr="00723133" w:rsidRDefault="00723133" w:rsidP="00723133">
            <w:pPr>
              <w:jc w:val="center"/>
              <w:rPr>
                <w:rFonts w:ascii="Arial" w:hAnsi="Arial" w:cs="Arial"/>
                <w:b/>
                <w:bCs/>
                <w:color w:val="FFFFFF"/>
                <w:sz w:val="20"/>
                <w:szCs w:val="20"/>
              </w:rPr>
            </w:pPr>
            <w:r w:rsidRPr="00723133">
              <w:rPr>
                <w:rFonts w:ascii="Arial" w:hAnsi="Arial" w:cs="Arial"/>
                <w:b/>
                <w:bCs/>
                <w:color w:val="FFFFFF"/>
                <w:sz w:val="20"/>
                <w:szCs w:val="20"/>
              </w:rPr>
              <w:t>Industry</w:t>
            </w:r>
          </w:p>
        </w:tc>
        <w:tc>
          <w:tcPr>
            <w:tcW w:w="1177" w:type="dxa"/>
            <w:tcBorders>
              <w:top w:val="single" w:sz="4" w:space="0" w:color="auto"/>
              <w:left w:val="single" w:sz="4" w:space="0" w:color="FFFFFF" w:themeColor="background1"/>
              <w:bottom w:val="nil"/>
              <w:right w:val="single" w:sz="4" w:space="0" w:color="FFFFFF" w:themeColor="background1"/>
            </w:tcBorders>
            <w:shd w:val="clear" w:color="auto" w:fill="0C2577"/>
            <w:vAlign w:val="center"/>
            <w:hideMark/>
          </w:tcPr>
          <w:p w14:paraId="3536125F" w14:textId="3212A01C" w:rsidR="00723133" w:rsidRPr="00723133" w:rsidRDefault="00723133" w:rsidP="00723133">
            <w:pPr>
              <w:jc w:val="center"/>
              <w:rPr>
                <w:rFonts w:ascii="Arial" w:hAnsi="Arial" w:cs="Arial"/>
                <w:b/>
                <w:bCs/>
                <w:color w:val="FFFFFF"/>
                <w:sz w:val="20"/>
                <w:szCs w:val="20"/>
              </w:rPr>
            </w:pPr>
            <w:r w:rsidRPr="00723133">
              <w:rPr>
                <w:rFonts w:ascii="Arial" w:hAnsi="Arial" w:cs="Arial"/>
                <w:b/>
                <w:bCs/>
                <w:color w:val="FFFFFF"/>
                <w:sz w:val="20"/>
                <w:szCs w:val="20"/>
              </w:rPr>
              <w:t>Enrolled</w:t>
            </w:r>
          </w:p>
        </w:tc>
        <w:tc>
          <w:tcPr>
            <w:tcW w:w="1008" w:type="dxa"/>
            <w:tcBorders>
              <w:top w:val="single" w:sz="4" w:space="0" w:color="auto"/>
              <w:left w:val="single" w:sz="4" w:space="0" w:color="FFFFFF" w:themeColor="background1"/>
              <w:bottom w:val="nil"/>
              <w:right w:val="single" w:sz="4" w:space="0" w:color="FFFFFF" w:themeColor="background1"/>
            </w:tcBorders>
            <w:shd w:val="clear" w:color="auto" w:fill="0C2577"/>
            <w:vAlign w:val="center"/>
            <w:hideMark/>
          </w:tcPr>
          <w:p w14:paraId="766B9209" w14:textId="7A903149" w:rsidR="00723133" w:rsidRPr="00723133" w:rsidRDefault="00723133" w:rsidP="00723133">
            <w:pPr>
              <w:jc w:val="center"/>
              <w:rPr>
                <w:rFonts w:ascii="Arial" w:hAnsi="Arial" w:cs="Arial"/>
                <w:b/>
                <w:bCs/>
                <w:color w:val="FFFFFF"/>
                <w:sz w:val="20"/>
                <w:szCs w:val="20"/>
              </w:rPr>
            </w:pPr>
            <w:r w:rsidRPr="00723133">
              <w:rPr>
                <w:rFonts w:ascii="Arial" w:hAnsi="Arial" w:cs="Arial"/>
                <w:b/>
                <w:bCs/>
                <w:color w:val="FFFFFF"/>
                <w:sz w:val="20"/>
                <w:szCs w:val="20"/>
              </w:rPr>
              <w:t>Sum of Max MWh/h</w:t>
            </w:r>
          </w:p>
        </w:tc>
        <w:tc>
          <w:tcPr>
            <w:tcW w:w="1099" w:type="dxa"/>
            <w:tcBorders>
              <w:top w:val="single" w:sz="4" w:space="0" w:color="auto"/>
              <w:left w:val="single" w:sz="4" w:space="0" w:color="FFFFFF" w:themeColor="background1"/>
              <w:bottom w:val="nil"/>
              <w:right w:val="single" w:sz="4" w:space="0" w:color="FFFFFF" w:themeColor="background1"/>
            </w:tcBorders>
            <w:shd w:val="clear" w:color="auto" w:fill="0C2577"/>
            <w:vAlign w:val="center"/>
            <w:hideMark/>
          </w:tcPr>
          <w:p w14:paraId="17CE6712" w14:textId="77777777" w:rsidR="00723133" w:rsidRPr="00723133" w:rsidRDefault="00723133" w:rsidP="00723133">
            <w:pPr>
              <w:jc w:val="center"/>
              <w:rPr>
                <w:rFonts w:ascii="Arial" w:hAnsi="Arial" w:cs="Arial"/>
                <w:b/>
                <w:bCs/>
                <w:color w:val="FFFFFF"/>
                <w:sz w:val="20"/>
                <w:szCs w:val="20"/>
              </w:rPr>
            </w:pPr>
            <w:r w:rsidRPr="00723133">
              <w:rPr>
                <w:rFonts w:ascii="Arial" w:hAnsi="Arial" w:cs="Arial"/>
                <w:b/>
                <w:bCs/>
                <w:color w:val="FFFFFF"/>
                <w:sz w:val="20"/>
                <w:szCs w:val="20"/>
              </w:rPr>
              <w:t>Percent of Max MWh/h</w:t>
            </w:r>
          </w:p>
        </w:tc>
        <w:tc>
          <w:tcPr>
            <w:tcW w:w="1165" w:type="dxa"/>
            <w:tcBorders>
              <w:top w:val="single" w:sz="4" w:space="0" w:color="auto"/>
              <w:left w:val="single" w:sz="4" w:space="0" w:color="FFFFFF" w:themeColor="background1"/>
              <w:bottom w:val="nil"/>
              <w:right w:val="single" w:sz="4" w:space="0" w:color="auto"/>
            </w:tcBorders>
            <w:shd w:val="clear" w:color="auto" w:fill="0C2577"/>
            <w:vAlign w:val="center"/>
            <w:hideMark/>
          </w:tcPr>
          <w:p w14:paraId="6454E47F" w14:textId="77777777" w:rsidR="00723133" w:rsidRPr="00723133" w:rsidRDefault="00723133" w:rsidP="00723133">
            <w:pPr>
              <w:jc w:val="center"/>
              <w:rPr>
                <w:rFonts w:ascii="Arial" w:hAnsi="Arial" w:cs="Arial"/>
                <w:b/>
                <w:bCs/>
                <w:color w:val="FFFFFF"/>
                <w:sz w:val="20"/>
                <w:szCs w:val="20"/>
              </w:rPr>
            </w:pPr>
            <w:r w:rsidRPr="00723133">
              <w:rPr>
                <w:rFonts w:ascii="Arial" w:hAnsi="Arial" w:cs="Arial"/>
                <w:b/>
                <w:bCs/>
                <w:color w:val="FFFFFF"/>
                <w:sz w:val="20"/>
                <w:szCs w:val="20"/>
              </w:rPr>
              <w:t>Average Max MWh/h</w:t>
            </w:r>
          </w:p>
        </w:tc>
      </w:tr>
      <w:tr w:rsidR="00723133" w:rsidRPr="00723133" w14:paraId="23512EBE" w14:textId="77777777" w:rsidTr="00D67BC6">
        <w:trPr>
          <w:trHeight w:val="259"/>
          <w:jc w:val="center"/>
        </w:trPr>
        <w:tc>
          <w:tcPr>
            <w:tcW w:w="3816" w:type="dxa"/>
            <w:tcBorders>
              <w:top w:val="single" w:sz="4" w:space="0" w:color="auto"/>
              <w:left w:val="single" w:sz="4" w:space="0" w:color="auto"/>
              <w:bottom w:val="nil"/>
              <w:right w:val="single" w:sz="4" w:space="0" w:color="auto"/>
            </w:tcBorders>
            <w:shd w:val="clear" w:color="000000" w:fill="FFFFFF"/>
            <w:noWrap/>
            <w:vAlign w:val="center"/>
            <w:hideMark/>
          </w:tcPr>
          <w:p w14:paraId="403C2896" w14:textId="77777777" w:rsidR="00723133" w:rsidRPr="00723133" w:rsidRDefault="00723133" w:rsidP="00723133">
            <w:pPr>
              <w:rPr>
                <w:rFonts w:ascii="Arial" w:hAnsi="Arial" w:cs="Arial"/>
                <w:color w:val="000000"/>
                <w:sz w:val="20"/>
                <w:szCs w:val="20"/>
              </w:rPr>
            </w:pPr>
            <w:r w:rsidRPr="00723133">
              <w:rPr>
                <w:rFonts w:ascii="Arial" w:hAnsi="Arial" w:cs="Arial"/>
                <w:color w:val="000000"/>
                <w:sz w:val="20"/>
                <w:szCs w:val="20"/>
              </w:rPr>
              <w:t>Agriculture, Mining &amp; Construction</w:t>
            </w:r>
          </w:p>
        </w:tc>
        <w:tc>
          <w:tcPr>
            <w:tcW w:w="1177" w:type="dxa"/>
            <w:tcBorders>
              <w:top w:val="single" w:sz="4" w:space="0" w:color="auto"/>
              <w:left w:val="nil"/>
              <w:bottom w:val="nil"/>
              <w:right w:val="single" w:sz="4" w:space="0" w:color="auto"/>
            </w:tcBorders>
            <w:shd w:val="clear" w:color="auto" w:fill="000000" w:themeFill="text1"/>
            <w:vAlign w:val="center"/>
          </w:tcPr>
          <w:p w14:paraId="5EEDE565" w14:textId="3EA6FAF2" w:rsidR="00723133" w:rsidRPr="00723133" w:rsidRDefault="00723133" w:rsidP="00723133">
            <w:pPr>
              <w:jc w:val="right"/>
              <w:rPr>
                <w:rFonts w:ascii="Arial" w:hAnsi="Arial" w:cs="Arial"/>
                <w:color w:val="000000"/>
                <w:sz w:val="20"/>
                <w:szCs w:val="20"/>
              </w:rPr>
            </w:pPr>
          </w:p>
        </w:tc>
        <w:tc>
          <w:tcPr>
            <w:tcW w:w="1008" w:type="dxa"/>
            <w:tcBorders>
              <w:top w:val="single" w:sz="4" w:space="0" w:color="auto"/>
              <w:left w:val="nil"/>
              <w:bottom w:val="nil"/>
              <w:right w:val="single" w:sz="4" w:space="0" w:color="auto"/>
            </w:tcBorders>
            <w:shd w:val="clear" w:color="auto" w:fill="000000" w:themeFill="text1"/>
            <w:vAlign w:val="center"/>
          </w:tcPr>
          <w:p w14:paraId="67864AE6" w14:textId="218D23E6" w:rsidR="00723133" w:rsidRPr="00723133" w:rsidRDefault="00723133" w:rsidP="00723133">
            <w:pPr>
              <w:jc w:val="center"/>
              <w:rPr>
                <w:rFonts w:ascii="Arial" w:hAnsi="Arial" w:cs="Arial"/>
                <w:color w:val="000000"/>
                <w:sz w:val="20"/>
                <w:szCs w:val="20"/>
              </w:rPr>
            </w:pPr>
          </w:p>
        </w:tc>
        <w:tc>
          <w:tcPr>
            <w:tcW w:w="1099" w:type="dxa"/>
            <w:tcBorders>
              <w:top w:val="single" w:sz="4" w:space="0" w:color="auto"/>
              <w:left w:val="nil"/>
              <w:bottom w:val="nil"/>
              <w:right w:val="single" w:sz="4" w:space="0" w:color="auto"/>
            </w:tcBorders>
            <w:shd w:val="clear" w:color="auto" w:fill="000000" w:themeFill="text1"/>
            <w:vAlign w:val="center"/>
          </w:tcPr>
          <w:p w14:paraId="25F45962" w14:textId="28320240" w:rsidR="00723133" w:rsidRPr="00723133" w:rsidRDefault="00723133" w:rsidP="00723133">
            <w:pPr>
              <w:jc w:val="right"/>
              <w:rPr>
                <w:rFonts w:ascii="Arial" w:hAnsi="Arial" w:cs="Arial"/>
                <w:color w:val="000000"/>
                <w:sz w:val="20"/>
                <w:szCs w:val="20"/>
              </w:rPr>
            </w:pPr>
          </w:p>
        </w:tc>
        <w:tc>
          <w:tcPr>
            <w:tcW w:w="1165" w:type="dxa"/>
            <w:tcBorders>
              <w:top w:val="single" w:sz="4" w:space="0" w:color="auto"/>
              <w:left w:val="nil"/>
              <w:bottom w:val="nil"/>
              <w:right w:val="single" w:sz="4" w:space="0" w:color="auto"/>
            </w:tcBorders>
            <w:shd w:val="clear" w:color="auto" w:fill="000000" w:themeFill="text1"/>
            <w:vAlign w:val="center"/>
          </w:tcPr>
          <w:p w14:paraId="2A15D9CC" w14:textId="00DC8DA1" w:rsidR="00723133" w:rsidRPr="00723133" w:rsidRDefault="00723133" w:rsidP="00723133">
            <w:pPr>
              <w:jc w:val="center"/>
              <w:rPr>
                <w:rFonts w:ascii="Arial" w:hAnsi="Arial" w:cs="Arial"/>
                <w:color w:val="000000"/>
                <w:sz w:val="20"/>
                <w:szCs w:val="20"/>
              </w:rPr>
            </w:pPr>
          </w:p>
        </w:tc>
      </w:tr>
      <w:tr w:rsidR="00723133" w:rsidRPr="00723133" w14:paraId="37AD0AD9" w14:textId="77777777" w:rsidTr="00723133">
        <w:trPr>
          <w:trHeight w:val="259"/>
          <w:jc w:val="center"/>
        </w:trPr>
        <w:tc>
          <w:tcPr>
            <w:tcW w:w="3816" w:type="dxa"/>
            <w:tcBorders>
              <w:top w:val="nil"/>
              <w:left w:val="single" w:sz="4" w:space="0" w:color="auto"/>
              <w:bottom w:val="nil"/>
              <w:right w:val="single" w:sz="4" w:space="0" w:color="auto"/>
            </w:tcBorders>
            <w:shd w:val="clear" w:color="000000" w:fill="FFFFFF"/>
            <w:noWrap/>
            <w:vAlign w:val="center"/>
            <w:hideMark/>
          </w:tcPr>
          <w:p w14:paraId="7C7AFB5F" w14:textId="77777777" w:rsidR="00723133" w:rsidRPr="00723133" w:rsidRDefault="00723133" w:rsidP="00723133">
            <w:pPr>
              <w:rPr>
                <w:rFonts w:ascii="Arial" w:hAnsi="Arial" w:cs="Arial"/>
                <w:color w:val="000000"/>
                <w:sz w:val="20"/>
                <w:szCs w:val="20"/>
              </w:rPr>
            </w:pPr>
            <w:r w:rsidRPr="00723133">
              <w:rPr>
                <w:rFonts w:ascii="Arial" w:hAnsi="Arial" w:cs="Arial"/>
                <w:color w:val="000000"/>
                <w:sz w:val="20"/>
                <w:szCs w:val="20"/>
              </w:rPr>
              <w:t>Manufacturing</w:t>
            </w:r>
          </w:p>
        </w:tc>
        <w:tc>
          <w:tcPr>
            <w:tcW w:w="1177" w:type="dxa"/>
            <w:tcBorders>
              <w:top w:val="nil"/>
              <w:left w:val="nil"/>
              <w:bottom w:val="nil"/>
              <w:right w:val="single" w:sz="4" w:space="0" w:color="auto"/>
            </w:tcBorders>
            <w:shd w:val="clear" w:color="000000" w:fill="FFFFFF"/>
            <w:vAlign w:val="center"/>
            <w:hideMark/>
          </w:tcPr>
          <w:p w14:paraId="150A6F3D" w14:textId="2526EAAF" w:rsidR="00723133" w:rsidRPr="00723133" w:rsidRDefault="00723133" w:rsidP="00723133">
            <w:pPr>
              <w:jc w:val="right"/>
              <w:rPr>
                <w:rFonts w:ascii="Arial" w:hAnsi="Arial" w:cs="Arial"/>
                <w:color w:val="000000"/>
                <w:sz w:val="20"/>
                <w:szCs w:val="20"/>
              </w:rPr>
            </w:pPr>
            <w:r w:rsidRPr="00723133">
              <w:rPr>
                <w:rFonts w:ascii="Arial" w:hAnsi="Arial" w:cs="Arial"/>
                <w:color w:val="000000"/>
                <w:sz w:val="20"/>
                <w:szCs w:val="20"/>
              </w:rPr>
              <w:t>344</w:t>
            </w:r>
          </w:p>
        </w:tc>
        <w:tc>
          <w:tcPr>
            <w:tcW w:w="1008" w:type="dxa"/>
            <w:tcBorders>
              <w:top w:val="nil"/>
              <w:left w:val="nil"/>
              <w:bottom w:val="nil"/>
              <w:right w:val="single" w:sz="4" w:space="0" w:color="auto"/>
            </w:tcBorders>
            <w:shd w:val="clear" w:color="000000" w:fill="FFFFFF"/>
            <w:vAlign w:val="center"/>
            <w:hideMark/>
          </w:tcPr>
          <w:p w14:paraId="4C5A3739" w14:textId="77777777" w:rsidR="00723133" w:rsidRPr="00723133" w:rsidRDefault="00723133" w:rsidP="00723133">
            <w:pPr>
              <w:jc w:val="center"/>
              <w:rPr>
                <w:rFonts w:ascii="Arial" w:hAnsi="Arial" w:cs="Arial"/>
                <w:color w:val="000000"/>
                <w:sz w:val="20"/>
                <w:szCs w:val="20"/>
              </w:rPr>
            </w:pPr>
            <w:r w:rsidRPr="00723133">
              <w:rPr>
                <w:rFonts w:ascii="Arial" w:hAnsi="Arial" w:cs="Arial"/>
                <w:color w:val="000000"/>
                <w:sz w:val="20"/>
                <w:szCs w:val="20"/>
              </w:rPr>
              <w:t xml:space="preserve">     566.3 </w:t>
            </w:r>
          </w:p>
        </w:tc>
        <w:tc>
          <w:tcPr>
            <w:tcW w:w="1099" w:type="dxa"/>
            <w:tcBorders>
              <w:top w:val="nil"/>
              <w:left w:val="nil"/>
              <w:bottom w:val="nil"/>
              <w:right w:val="single" w:sz="4" w:space="0" w:color="auto"/>
            </w:tcBorders>
            <w:shd w:val="clear" w:color="000000" w:fill="FFFFFF"/>
            <w:vAlign w:val="center"/>
            <w:hideMark/>
          </w:tcPr>
          <w:p w14:paraId="3C056B29" w14:textId="77777777" w:rsidR="00723133" w:rsidRPr="00723133" w:rsidRDefault="00723133" w:rsidP="00723133">
            <w:pPr>
              <w:jc w:val="right"/>
              <w:rPr>
                <w:rFonts w:ascii="Arial" w:hAnsi="Arial" w:cs="Arial"/>
                <w:color w:val="000000"/>
                <w:sz w:val="20"/>
                <w:szCs w:val="20"/>
              </w:rPr>
            </w:pPr>
            <w:r w:rsidRPr="00723133">
              <w:rPr>
                <w:rFonts w:ascii="Arial" w:hAnsi="Arial" w:cs="Arial"/>
                <w:color w:val="000000"/>
                <w:sz w:val="20"/>
                <w:szCs w:val="20"/>
              </w:rPr>
              <w:t>65.6%</w:t>
            </w:r>
          </w:p>
        </w:tc>
        <w:tc>
          <w:tcPr>
            <w:tcW w:w="1165" w:type="dxa"/>
            <w:tcBorders>
              <w:top w:val="nil"/>
              <w:left w:val="nil"/>
              <w:bottom w:val="nil"/>
              <w:right w:val="single" w:sz="4" w:space="0" w:color="auto"/>
            </w:tcBorders>
            <w:shd w:val="clear" w:color="000000" w:fill="FFFFFF"/>
            <w:vAlign w:val="center"/>
            <w:hideMark/>
          </w:tcPr>
          <w:p w14:paraId="36ECDB7D" w14:textId="77777777" w:rsidR="00723133" w:rsidRPr="00723133" w:rsidRDefault="00723133" w:rsidP="00723133">
            <w:pPr>
              <w:jc w:val="center"/>
              <w:rPr>
                <w:rFonts w:ascii="Arial" w:hAnsi="Arial" w:cs="Arial"/>
                <w:color w:val="000000"/>
                <w:sz w:val="20"/>
                <w:szCs w:val="20"/>
              </w:rPr>
            </w:pPr>
            <w:r w:rsidRPr="00723133">
              <w:rPr>
                <w:rFonts w:ascii="Arial" w:hAnsi="Arial" w:cs="Arial"/>
                <w:color w:val="000000"/>
                <w:sz w:val="20"/>
                <w:szCs w:val="20"/>
              </w:rPr>
              <w:t xml:space="preserve">       1.65 </w:t>
            </w:r>
          </w:p>
        </w:tc>
      </w:tr>
      <w:tr w:rsidR="00723133" w:rsidRPr="00723133" w14:paraId="21F51E23" w14:textId="77777777" w:rsidTr="00D67BC6">
        <w:trPr>
          <w:trHeight w:val="259"/>
          <w:jc w:val="center"/>
        </w:trPr>
        <w:tc>
          <w:tcPr>
            <w:tcW w:w="3816" w:type="dxa"/>
            <w:tcBorders>
              <w:top w:val="nil"/>
              <w:left w:val="single" w:sz="4" w:space="0" w:color="auto"/>
              <w:bottom w:val="nil"/>
              <w:right w:val="single" w:sz="4" w:space="0" w:color="auto"/>
            </w:tcBorders>
            <w:shd w:val="clear" w:color="000000" w:fill="FFFFFF"/>
            <w:noWrap/>
            <w:vAlign w:val="center"/>
            <w:hideMark/>
          </w:tcPr>
          <w:p w14:paraId="048608C4" w14:textId="77777777" w:rsidR="00723133" w:rsidRPr="00723133" w:rsidRDefault="00723133" w:rsidP="00723133">
            <w:pPr>
              <w:rPr>
                <w:rFonts w:ascii="Arial" w:hAnsi="Arial" w:cs="Arial"/>
                <w:color w:val="000000"/>
                <w:sz w:val="20"/>
                <w:szCs w:val="20"/>
              </w:rPr>
            </w:pPr>
            <w:r w:rsidRPr="00723133">
              <w:rPr>
                <w:rFonts w:ascii="Arial" w:hAnsi="Arial" w:cs="Arial"/>
                <w:color w:val="000000"/>
                <w:sz w:val="20"/>
                <w:szCs w:val="20"/>
              </w:rPr>
              <w:t>Wholesale, Transport, Other Utilities</w:t>
            </w:r>
          </w:p>
        </w:tc>
        <w:tc>
          <w:tcPr>
            <w:tcW w:w="1177" w:type="dxa"/>
            <w:tcBorders>
              <w:top w:val="nil"/>
              <w:left w:val="nil"/>
              <w:bottom w:val="nil"/>
              <w:right w:val="single" w:sz="4" w:space="0" w:color="auto"/>
            </w:tcBorders>
            <w:shd w:val="clear" w:color="auto" w:fill="000000" w:themeFill="text1"/>
            <w:vAlign w:val="center"/>
          </w:tcPr>
          <w:p w14:paraId="250B0A31" w14:textId="63ECA793" w:rsidR="00723133" w:rsidRPr="00723133" w:rsidRDefault="00723133" w:rsidP="00723133">
            <w:pPr>
              <w:jc w:val="right"/>
              <w:rPr>
                <w:rFonts w:ascii="Arial" w:hAnsi="Arial" w:cs="Arial"/>
                <w:color w:val="000000"/>
                <w:sz w:val="20"/>
                <w:szCs w:val="20"/>
              </w:rPr>
            </w:pPr>
          </w:p>
        </w:tc>
        <w:tc>
          <w:tcPr>
            <w:tcW w:w="1008" w:type="dxa"/>
            <w:tcBorders>
              <w:top w:val="nil"/>
              <w:left w:val="nil"/>
              <w:bottom w:val="nil"/>
              <w:right w:val="single" w:sz="4" w:space="0" w:color="auto"/>
            </w:tcBorders>
            <w:shd w:val="clear" w:color="auto" w:fill="000000" w:themeFill="text1"/>
            <w:vAlign w:val="center"/>
          </w:tcPr>
          <w:p w14:paraId="3392BC1D" w14:textId="5A78B60B" w:rsidR="00723133" w:rsidRPr="00723133" w:rsidRDefault="00723133" w:rsidP="00723133">
            <w:pPr>
              <w:jc w:val="center"/>
              <w:rPr>
                <w:rFonts w:ascii="Arial" w:hAnsi="Arial" w:cs="Arial"/>
                <w:color w:val="000000"/>
                <w:sz w:val="20"/>
                <w:szCs w:val="20"/>
              </w:rPr>
            </w:pPr>
          </w:p>
        </w:tc>
        <w:tc>
          <w:tcPr>
            <w:tcW w:w="1099" w:type="dxa"/>
            <w:tcBorders>
              <w:top w:val="nil"/>
              <w:left w:val="nil"/>
              <w:bottom w:val="nil"/>
              <w:right w:val="single" w:sz="4" w:space="0" w:color="auto"/>
            </w:tcBorders>
            <w:shd w:val="clear" w:color="auto" w:fill="000000" w:themeFill="text1"/>
            <w:vAlign w:val="center"/>
          </w:tcPr>
          <w:p w14:paraId="1F4774DC" w14:textId="092E90E1" w:rsidR="00723133" w:rsidRPr="00723133" w:rsidRDefault="00723133" w:rsidP="00723133">
            <w:pPr>
              <w:jc w:val="right"/>
              <w:rPr>
                <w:rFonts w:ascii="Arial" w:hAnsi="Arial" w:cs="Arial"/>
                <w:color w:val="000000"/>
                <w:sz w:val="20"/>
                <w:szCs w:val="20"/>
              </w:rPr>
            </w:pPr>
          </w:p>
        </w:tc>
        <w:tc>
          <w:tcPr>
            <w:tcW w:w="1165" w:type="dxa"/>
            <w:tcBorders>
              <w:top w:val="nil"/>
              <w:left w:val="nil"/>
              <w:bottom w:val="nil"/>
              <w:right w:val="single" w:sz="4" w:space="0" w:color="auto"/>
            </w:tcBorders>
            <w:shd w:val="clear" w:color="auto" w:fill="000000" w:themeFill="text1"/>
            <w:vAlign w:val="center"/>
          </w:tcPr>
          <w:p w14:paraId="135AEAF9" w14:textId="49BD95F4" w:rsidR="00723133" w:rsidRPr="00723133" w:rsidRDefault="00723133" w:rsidP="00723133">
            <w:pPr>
              <w:jc w:val="center"/>
              <w:rPr>
                <w:rFonts w:ascii="Arial" w:hAnsi="Arial" w:cs="Arial"/>
                <w:color w:val="000000"/>
                <w:sz w:val="20"/>
                <w:szCs w:val="20"/>
              </w:rPr>
            </w:pPr>
          </w:p>
        </w:tc>
      </w:tr>
      <w:tr w:rsidR="00723133" w:rsidRPr="00723133" w14:paraId="65EC3E79" w14:textId="77777777" w:rsidTr="00723133">
        <w:trPr>
          <w:trHeight w:val="259"/>
          <w:jc w:val="center"/>
        </w:trPr>
        <w:tc>
          <w:tcPr>
            <w:tcW w:w="3816" w:type="dxa"/>
            <w:tcBorders>
              <w:top w:val="nil"/>
              <w:left w:val="single" w:sz="4" w:space="0" w:color="auto"/>
              <w:bottom w:val="nil"/>
              <w:right w:val="single" w:sz="4" w:space="0" w:color="auto"/>
            </w:tcBorders>
            <w:shd w:val="clear" w:color="000000" w:fill="FFFFFF"/>
            <w:noWrap/>
            <w:vAlign w:val="center"/>
            <w:hideMark/>
          </w:tcPr>
          <w:p w14:paraId="5391E9B9" w14:textId="77777777" w:rsidR="00723133" w:rsidRPr="00723133" w:rsidRDefault="00723133" w:rsidP="00723133">
            <w:pPr>
              <w:rPr>
                <w:rFonts w:ascii="Arial" w:hAnsi="Arial" w:cs="Arial"/>
                <w:color w:val="000000"/>
                <w:sz w:val="20"/>
                <w:szCs w:val="20"/>
              </w:rPr>
            </w:pPr>
            <w:r w:rsidRPr="00723133">
              <w:rPr>
                <w:rFonts w:ascii="Arial" w:hAnsi="Arial" w:cs="Arial"/>
                <w:color w:val="000000"/>
                <w:sz w:val="20"/>
                <w:szCs w:val="20"/>
              </w:rPr>
              <w:t>Retail</w:t>
            </w:r>
          </w:p>
        </w:tc>
        <w:tc>
          <w:tcPr>
            <w:tcW w:w="1177" w:type="dxa"/>
            <w:tcBorders>
              <w:top w:val="nil"/>
              <w:left w:val="nil"/>
              <w:bottom w:val="nil"/>
              <w:right w:val="single" w:sz="4" w:space="0" w:color="auto"/>
            </w:tcBorders>
            <w:shd w:val="clear" w:color="000000" w:fill="FFFFFF"/>
            <w:vAlign w:val="center"/>
            <w:hideMark/>
          </w:tcPr>
          <w:p w14:paraId="1FC04336" w14:textId="2C93AD06" w:rsidR="00723133" w:rsidRPr="00723133" w:rsidRDefault="00723133" w:rsidP="00723133">
            <w:pPr>
              <w:jc w:val="right"/>
              <w:rPr>
                <w:rFonts w:ascii="Arial" w:hAnsi="Arial" w:cs="Arial"/>
                <w:color w:val="000000"/>
                <w:sz w:val="20"/>
                <w:szCs w:val="20"/>
              </w:rPr>
            </w:pPr>
            <w:r w:rsidRPr="00723133">
              <w:rPr>
                <w:rFonts w:ascii="Arial" w:hAnsi="Arial" w:cs="Arial"/>
                <w:color w:val="000000"/>
                <w:sz w:val="20"/>
                <w:szCs w:val="20"/>
              </w:rPr>
              <w:t>59</w:t>
            </w:r>
          </w:p>
        </w:tc>
        <w:tc>
          <w:tcPr>
            <w:tcW w:w="1008" w:type="dxa"/>
            <w:tcBorders>
              <w:top w:val="nil"/>
              <w:left w:val="nil"/>
              <w:bottom w:val="nil"/>
              <w:right w:val="single" w:sz="4" w:space="0" w:color="auto"/>
            </w:tcBorders>
            <w:shd w:val="clear" w:color="000000" w:fill="FFFFFF"/>
            <w:vAlign w:val="center"/>
            <w:hideMark/>
          </w:tcPr>
          <w:p w14:paraId="2DDF42C3" w14:textId="77777777" w:rsidR="00723133" w:rsidRPr="00723133" w:rsidRDefault="00723133" w:rsidP="00723133">
            <w:pPr>
              <w:jc w:val="center"/>
              <w:rPr>
                <w:rFonts w:ascii="Arial" w:hAnsi="Arial" w:cs="Arial"/>
                <w:color w:val="000000"/>
                <w:sz w:val="20"/>
                <w:szCs w:val="20"/>
              </w:rPr>
            </w:pPr>
            <w:r w:rsidRPr="00723133">
              <w:rPr>
                <w:rFonts w:ascii="Arial" w:hAnsi="Arial" w:cs="Arial"/>
                <w:color w:val="000000"/>
                <w:sz w:val="20"/>
                <w:szCs w:val="20"/>
              </w:rPr>
              <w:t xml:space="preserve">       15.8 </w:t>
            </w:r>
          </w:p>
        </w:tc>
        <w:tc>
          <w:tcPr>
            <w:tcW w:w="1099" w:type="dxa"/>
            <w:tcBorders>
              <w:top w:val="nil"/>
              <w:left w:val="nil"/>
              <w:bottom w:val="nil"/>
              <w:right w:val="single" w:sz="4" w:space="0" w:color="auto"/>
            </w:tcBorders>
            <w:shd w:val="clear" w:color="000000" w:fill="FFFFFF"/>
            <w:vAlign w:val="center"/>
            <w:hideMark/>
          </w:tcPr>
          <w:p w14:paraId="69110C01" w14:textId="77777777" w:rsidR="00723133" w:rsidRPr="00723133" w:rsidRDefault="00723133" w:rsidP="00723133">
            <w:pPr>
              <w:jc w:val="right"/>
              <w:rPr>
                <w:rFonts w:ascii="Arial" w:hAnsi="Arial" w:cs="Arial"/>
                <w:color w:val="000000"/>
                <w:sz w:val="20"/>
                <w:szCs w:val="20"/>
              </w:rPr>
            </w:pPr>
            <w:r w:rsidRPr="00723133">
              <w:rPr>
                <w:rFonts w:ascii="Arial" w:hAnsi="Arial" w:cs="Arial"/>
                <w:color w:val="000000"/>
                <w:sz w:val="20"/>
                <w:szCs w:val="20"/>
              </w:rPr>
              <w:t>1.8%</w:t>
            </w:r>
          </w:p>
        </w:tc>
        <w:tc>
          <w:tcPr>
            <w:tcW w:w="1165" w:type="dxa"/>
            <w:tcBorders>
              <w:top w:val="nil"/>
              <w:left w:val="nil"/>
              <w:bottom w:val="nil"/>
              <w:right w:val="single" w:sz="4" w:space="0" w:color="auto"/>
            </w:tcBorders>
            <w:shd w:val="clear" w:color="000000" w:fill="FFFFFF"/>
            <w:vAlign w:val="center"/>
            <w:hideMark/>
          </w:tcPr>
          <w:p w14:paraId="4E06620C" w14:textId="77777777" w:rsidR="00723133" w:rsidRPr="00723133" w:rsidRDefault="00723133" w:rsidP="00723133">
            <w:pPr>
              <w:jc w:val="center"/>
              <w:rPr>
                <w:rFonts w:ascii="Arial" w:hAnsi="Arial" w:cs="Arial"/>
                <w:color w:val="000000"/>
                <w:sz w:val="20"/>
                <w:szCs w:val="20"/>
              </w:rPr>
            </w:pPr>
            <w:r w:rsidRPr="00723133">
              <w:rPr>
                <w:rFonts w:ascii="Arial" w:hAnsi="Arial" w:cs="Arial"/>
                <w:color w:val="000000"/>
                <w:sz w:val="20"/>
                <w:szCs w:val="20"/>
              </w:rPr>
              <w:t xml:space="preserve">       0.27 </w:t>
            </w:r>
          </w:p>
        </w:tc>
      </w:tr>
      <w:tr w:rsidR="00723133" w:rsidRPr="00723133" w14:paraId="03B079AD" w14:textId="77777777" w:rsidTr="00D67BC6">
        <w:trPr>
          <w:trHeight w:val="259"/>
          <w:jc w:val="center"/>
        </w:trPr>
        <w:tc>
          <w:tcPr>
            <w:tcW w:w="3816" w:type="dxa"/>
            <w:tcBorders>
              <w:top w:val="nil"/>
              <w:left w:val="single" w:sz="4" w:space="0" w:color="auto"/>
              <w:bottom w:val="nil"/>
              <w:right w:val="single" w:sz="4" w:space="0" w:color="auto"/>
            </w:tcBorders>
            <w:shd w:val="clear" w:color="000000" w:fill="FFFFFF"/>
            <w:noWrap/>
            <w:vAlign w:val="center"/>
            <w:hideMark/>
          </w:tcPr>
          <w:p w14:paraId="3325992D" w14:textId="77777777" w:rsidR="00723133" w:rsidRPr="00723133" w:rsidRDefault="00723133" w:rsidP="00723133">
            <w:pPr>
              <w:rPr>
                <w:rFonts w:ascii="Arial" w:hAnsi="Arial" w:cs="Arial"/>
                <w:color w:val="000000"/>
                <w:sz w:val="20"/>
                <w:szCs w:val="20"/>
              </w:rPr>
            </w:pPr>
            <w:r w:rsidRPr="00723133">
              <w:rPr>
                <w:rFonts w:ascii="Arial" w:hAnsi="Arial" w:cs="Arial"/>
                <w:color w:val="000000"/>
                <w:sz w:val="20"/>
                <w:szCs w:val="20"/>
              </w:rPr>
              <w:t>Offices, Hotels, Finance, Services</w:t>
            </w:r>
          </w:p>
        </w:tc>
        <w:tc>
          <w:tcPr>
            <w:tcW w:w="1177" w:type="dxa"/>
            <w:tcBorders>
              <w:top w:val="nil"/>
              <w:left w:val="nil"/>
              <w:bottom w:val="nil"/>
              <w:right w:val="single" w:sz="4" w:space="0" w:color="auto"/>
            </w:tcBorders>
            <w:shd w:val="clear" w:color="auto" w:fill="000000" w:themeFill="text1"/>
            <w:vAlign w:val="center"/>
          </w:tcPr>
          <w:p w14:paraId="4472186E" w14:textId="0B439237" w:rsidR="00723133" w:rsidRPr="00723133" w:rsidRDefault="00723133" w:rsidP="00723133">
            <w:pPr>
              <w:jc w:val="right"/>
              <w:rPr>
                <w:rFonts w:ascii="Arial" w:hAnsi="Arial" w:cs="Arial"/>
                <w:color w:val="000000"/>
                <w:sz w:val="20"/>
                <w:szCs w:val="20"/>
              </w:rPr>
            </w:pPr>
          </w:p>
        </w:tc>
        <w:tc>
          <w:tcPr>
            <w:tcW w:w="1008" w:type="dxa"/>
            <w:tcBorders>
              <w:top w:val="nil"/>
              <w:left w:val="nil"/>
              <w:bottom w:val="nil"/>
              <w:right w:val="single" w:sz="4" w:space="0" w:color="auto"/>
            </w:tcBorders>
            <w:shd w:val="clear" w:color="auto" w:fill="000000" w:themeFill="text1"/>
            <w:vAlign w:val="center"/>
          </w:tcPr>
          <w:p w14:paraId="68201FEE" w14:textId="5C8F9492" w:rsidR="00723133" w:rsidRPr="00723133" w:rsidRDefault="00723133" w:rsidP="00723133">
            <w:pPr>
              <w:jc w:val="center"/>
              <w:rPr>
                <w:rFonts w:ascii="Arial" w:hAnsi="Arial" w:cs="Arial"/>
                <w:color w:val="000000"/>
                <w:sz w:val="20"/>
                <w:szCs w:val="20"/>
              </w:rPr>
            </w:pPr>
          </w:p>
        </w:tc>
        <w:tc>
          <w:tcPr>
            <w:tcW w:w="1099" w:type="dxa"/>
            <w:tcBorders>
              <w:top w:val="nil"/>
              <w:left w:val="nil"/>
              <w:bottom w:val="nil"/>
              <w:right w:val="single" w:sz="4" w:space="0" w:color="auto"/>
            </w:tcBorders>
            <w:shd w:val="clear" w:color="auto" w:fill="000000" w:themeFill="text1"/>
            <w:vAlign w:val="center"/>
          </w:tcPr>
          <w:p w14:paraId="3375E3D9" w14:textId="35CB8A90" w:rsidR="00723133" w:rsidRPr="00723133" w:rsidRDefault="00723133" w:rsidP="00723133">
            <w:pPr>
              <w:jc w:val="right"/>
              <w:rPr>
                <w:rFonts w:ascii="Arial" w:hAnsi="Arial" w:cs="Arial"/>
                <w:color w:val="000000"/>
                <w:sz w:val="20"/>
                <w:szCs w:val="20"/>
              </w:rPr>
            </w:pPr>
          </w:p>
        </w:tc>
        <w:tc>
          <w:tcPr>
            <w:tcW w:w="1165" w:type="dxa"/>
            <w:tcBorders>
              <w:top w:val="nil"/>
              <w:left w:val="nil"/>
              <w:bottom w:val="nil"/>
              <w:right w:val="single" w:sz="4" w:space="0" w:color="auto"/>
            </w:tcBorders>
            <w:shd w:val="clear" w:color="auto" w:fill="000000" w:themeFill="text1"/>
            <w:vAlign w:val="center"/>
          </w:tcPr>
          <w:p w14:paraId="4CB2D55F" w14:textId="182DF2E2" w:rsidR="00723133" w:rsidRPr="00723133" w:rsidRDefault="00723133" w:rsidP="00723133">
            <w:pPr>
              <w:jc w:val="center"/>
              <w:rPr>
                <w:rFonts w:ascii="Arial" w:hAnsi="Arial" w:cs="Arial"/>
                <w:color w:val="000000"/>
                <w:sz w:val="20"/>
                <w:szCs w:val="20"/>
              </w:rPr>
            </w:pPr>
          </w:p>
        </w:tc>
      </w:tr>
      <w:tr w:rsidR="00723133" w:rsidRPr="00723133" w14:paraId="0A4D14E7" w14:textId="77777777" w:rsidTr="00D67BC6">
        <w:trPr>
          <w:trHeight w:val="259"/>
          <w:jc w:val="center"/>
        </w:trPr>
        <w:tc>
          <w:tcPr>
            <w:tcW w:w="3816" w:type="dxa"/>
            <w:tcBorders>
              <w:top w:val="nil"/>
              <w:left w:val="single" w:sz="4" w:space="0" w:color="auto"/>
              <w:bottom w:val="nil"/>
              <w:right w:val="single" w:sz="4" w:space="0" w:color="auto"/>
            </w:tcBorders>
            <w:shd w:val="clear" w:color="000000" w:fill="FFFFFF"/>
            <w:noWrap/>
            <w:vAlign w:val="center"/>
            <w:hideMark/>
          </w:tcPr>
          <w:p w14:paraId="2438A55C" w14:textId="3A27F20F" w:rsidR="00723133" w:rsidRPr="00723133" w:rsidRDefault="00723133" w:rsidP="00723133">
            <w:pPr>
              <w:rPr>
                <w:rFonts w:ascii="Arial" w:hAnsi="Arial" w:cs="Arial"/>
                <w:color w:val="000000"/>
                <w:sz w:val="20"/>
                <w:szCs w:val="20"/>
              </w:rPr>
            </w:pPr>
            <w:r>
              <w:rPr>
                <w:rFonts w:ascii="Arial" w:hAnsi="Arial" w:cs="Arial"/>
                <w:color w:val="000000"/>
                <w:sz w:val="20"/>
                <w:szCs w:val="20"/>
              </w:rPr>
              <w:t>Schools</w:t>
            </w:r>
          </w:p>
        </w:tc>
        <w:tc>
          <w:tcPr>
            <w:tcW w:w="1177" w:type="dxa"/>
            <w:tcBorders>
              <w:top w:val="nil"/>
              <w:left w:val="nil"/>
              <w:bottom w:val="nil"/>
              <w:right w:val="single" w:sz="4" w:space="0" w:color="auto"/>
            </w:tcBorders>
            <w:shd w:val="clear" w:color="auto" w:fill="000000" w:themeFill="text1"/>
            <w:vAlign w:val="center"/>
          </w:tcPr>
          <w:p w14:paraId="2C2C8726" w14:textId="0D347898" w:rsidR="00723133" w:rsidRPr="00723133" w:rsidRDefault="00723133" w:rsidP="00723133">
            <w:pPr>
              <w:jc w:val="right"/>
              <w:rPr>
                <w:rFonts w:ascii="Arial" w:hAnsi="Arial" w:cs="Arial"/>
                <w:color w:val="000000"/>
                <w:sz w:val="20"/>
                <w:szCs w:val="20"/>
              </w:rPr>
            </w:pPr>
          </w:p>
        </w:tc>
        <w:tc>
          <w:tcPr>
            <w:tcW w:w="1008" w:type="dxa"/>
            <w:tcBorders>
              <w:top w:val="nil"/>
              <w:left w:val="nil"/>
              <w:bottom w:val="nil"/>
              <w:right w:val="single" w:sz="4" w:space="0" w:color="auto"/>
            </w:tcBorders>
            <w:shd w:val="clear" w:color="auto" w:fill="000000" w:themeFill="text1"/>
            <w:vAlign w:val="center"/>
          </w:tcPr>
          <w:p w14:paraId="434996A5" w14:textId="3BFA524F" w:rsidR="00723133" w:rsidRPr="00723133" w:rsidRDefault="00723133" w:rsidP="00723133">
            <w:pPr>
              <w:jc w:val="center"/>
              <w:rPr>
                <w:rFonts w:ascii="Arial" w:hAnsi="Arial" w:cs="Arial"/>
                <w:color w:val="000000"/>
                <w:sz w:val="20"/>
                <w:szCs w:val="20"/>
              </w:rPr>
            </w:pPr>
          </w:p>
        </w:tc>
        <w:tc>
          <w:tcPr>
            <w:tcW w:w="1099" w:type="dxa"/>
            <w:tcBorders>
              <w:top w:val="nil"/>
              <w:left w:val="nil"/>
              <w:bottom w:val="nil"/>
              <w:right w:val="single" w:sz="4" w:space="0" w:color="auto"/>
            </w:tcBorders>
            <w:shd w:val="clear" w:color="auto" w:fill="000000" w:themeFill="text1"/>
            <w:vAlign w:val="center"/>
          </w:tcPr>
          <w:p w14:paraId="7925099C" w14:textId="34550053" w:rsidR="00723133" w:rsidRPr="00723133" w:rsidRDefault="00723133" w:rsidP="00723133">
            <w:pPr>
              <w:jc w:val="right"/>
              <w:rPr>
                <w:rFonts w:ascii="Arial" w:hAnsi="Arial" w:cs="Arial"/>
                <w:color w:val="000000"/>
                <w:sz w:val="20"/>
                <w:szCs w:val="20"/>
              </w:rPr>
            </w:pPr>
          </w:p>
        </w:tc>
        <w:tc>
          <w:tcPr>
            <w:tcW w:w="1165" w:type="dxa"/>
            <w:tcBorders>
              <w:top w:val="nil"/>
              <w:left w:val="nil"/>
              <w:bottom w:val="nil"/>
              <w:right w:val="single" w:sz="4" w:space="0" w:color="auto"/>
            </w:tcBorders>
            <w:shd w:val="clear" w:color="auto" w:fill="000000" w:themeFill="text1"/>
            <w:vAlign w:val="center"/>
          </w:tcPr>
          <w:p w14:paraId="1CEEA56D" w14:textId="3A4CEE0B" w:rsidR="00723133" w:rsidRPr="00723133" w:rsidRDefault="00723133" w:rsidP="00723133">
            <w:pPr>
              <w:jc w:val="center"/>
              <w:rPr>
                <w:rFonts w:ascii="Arial" w:hAnsi="Arial" w:cs="Arial"/>
                <w:color w:val="000000"/>
                <w:sz w:val="20"/>
                <w:szCs w:val="20"/>
              </w:rPr>
            </w:pPr>
          </w:p>
        </w:tc>
      </w:tr>
      <w:tr w:rsidR="00723133" w:rsidRPr="00723133" w14:paraId="676A9B65" w14:textId="77777777" w:rsidTr="00D67BC6">
        <w:trPr>
          <w:trHeight w:val="259"/>
          <w:jc w:val="center"/>
        </w:trPr>
        <w:tc>
          <w:tcPr>
            <w:tcW w:w="3816" w:type="dxa"/>
            <w:tcBorders>
              <w:top w:val="nil"/>
              <w:left w:val="single" w:sz="4" w:space="0" w:color="auto"/>
              <w:bottom w:val="nil"/>
              <w:right w:val="single" w:sz="4" w:space="0" w:color="auto"/>
            </w:tcBorders>
            <w:shd w:val="clear" w:color="000000" w:fill="FFFFFF"/>
            <w:noWrap/>
            <w:vAlign w:val="center"/>
            <w:hideMark/>
          </w:tcPr>
          <w:p w14:paraId="4A278E46" w14:textId="6048B6F6" w:rsidR="00723133" w:rsidRPr="00723133" w:rsidRDefault="00723133" w:rsidP="00723133">
            <w:pPr>
              <w:rPr>
                <w:rFonts w:ascii="Arial" w:hAnsi="Arial" w:cs="Arial"/>
                <w:color w:val="000000"/>
                <w:sz w:val="20"/>
                <w:szCs w:val="20"/>
              </w:rPr>
            </w:pPr>
            <w:r>
              <w:rPr>
                <w:rFonts w:ascii="Arial" w:hAnsi="Arial" w:cs="Arial"/>
                <w:color w:val="000000"/>
                <w:sz w:val="20"/>
                <w:szCs w:val="20"/>
              </w:rPr>
              <w:t>Institutional/Government</w:t>
            </w:r>
          </w:p>
        </w:tc>
        <w:tc>
          <w:tcPr>
            <w:tcW w:w="1177" w:type="dxa"/>
            <w:tcBorders>
              <w:top w:val="nil"/>
              <w:left w:val="nil"/>
              <w:bottom w:val="nil"/>
              <w:right w:val="single" w:sz="4" w:space="0" w:color="auto"/>
            </w:tcBorders>
            <w:shd w:val="clear" w:color="auto" w:fill="000000" w:themeFill="text1"/>
            <w:vAlign w:val="center"/>
          </w:tcPr>
          <w:p w14:paraId="6A8A01A6" w14:textId="5F63FFC4" w:rsidR="00723133" w:rsidRPr="00723133" w:rsidRDefault="00723133" w:rsidP="00723133">
            <w:pPr>
              <w:jc w:val="right"/>
              <w:rPr>
                <w:rFonts w:ascii="Arial" w:hAnsi="Arial" w:cs="Arial"/>
                <w:color w:val="000000"/>
                <w:sz w:val="20"/>
                <w:szCs w:val="20"/>
              </w:rPr>
            </w:pPr>
          </w:p>
        </w:tc>
        <w:tc>
          <w:tcPr>
            <w:tcW w:w="1008" w:type="dxa"/>
            <w:tcBorders>
              <w:top w:val="nil"/>
              <w:left w:val="nil"/>
              <w:bottom w:val="nil"/>
              <w:right w:val="single" w:sz="4" w:space="0" w:color="auto"/>
            </w:tcBorders>
            <w:shd w:val="clear" w:color="auto" w:fill="000000" w:themeFill="text1"/>
            <w:vAlign w:val="center"/>
          </w:tcPr>
          <w:p w14:paraId="4B6E1E90" w14:textId="39ED4B06" w:rsidR="00723133" w:rsidRPr="00723133" w:rsidRDefault="00723133" w:rsidP="00723133">
            <w:pPr>
              <w:jc w:val="center"/>
              <w:rPr>
                <w:rFonts w:ascii="Arial" w:hAnsi="Arial" w:cs="Arial"/>
                <w:color w:val="000000"/>
                <w:sz w:val="20"/>
                <w:szCs w:val="20"/>
              </w:rPr>
            </w:pPr>
          </w:p>
        </w:tc>
        <w:tc>
          <w:tcPr>
            <w:tcW w:w="1099" w:type="dxa"/>
            <w:tcBorders>
              <w:top w:val="nil"/>
              <w:left w:val="nil"/>
              <w:bottom w:val="nil"/>
              <w:right w:val="single" w:sz="4" w:space="0" w:color="auto"/>
            </w:tcBorders>
            <w:shd w:val="clear" w:color="auto" w:fill="000000" w:themeFill="text1"/>
            <w:vAlign w:val="center"/>
          </w:tcPr>
          <w:p w14:paraId="5A974B4F" w14:textId="5E4FE411" w:rsidR="00723133" w:rsidRPr="00723133" w:rsidRDefault="00723133" w:rsidP="00723133">
            <w:pPr>
              <w:jc w:val="right"/>
              <w:rPr>
                <w:rFonts w:ascii="Arial" w:hAnsi="Arial" w:cs="Arial"/>
                <w:color w:val="000000"/>
                <w:sz w:val="20"/>
                <w:szCs w:val="20"/>
              </w:rPr>
            </w:pPr>
          </w:p>
        </w:tc>
        <w:tc>
          <w:tcPr>
            <w:tcW w:w="1165" w:type="dxa"/>
            <w:tcBorders>
              <w:top w:val="nil"/>
              <w:left w:val="nil"/>
              <w:bottom w:val="nil"/>
              <w:right w:val="single" w:sz="4" w:space="0" w:color="auto"/>
            </w:tcBorders>
            <w:shd w:val="clear" w:color="auto" w:fill="000000" w:themeFill="text1"/>
            <w:vAlign w:val="center"/>
          </w:tcPr>
          <w:p w14:paraId="7930FD19" w14:textId="3103152B" w:rsidR="00723133" w:rsidRPr="00723133" w:rsidRDefault="00723133" w:rsidP="00723133">
            <w:pPr>
              <w:jc w:val="center"/>
              <w:rPr>
                <w:rFonts w:ascii="Arial" w:hAnsi="Arial" w:cs="Arial"/>
                <w:color w:val="000000"/>
                <w:sz w:val="20"/>
                <w:szCs w:val="20"/>
              </w:rPr>
            </w:pPr>
          </w:p>
        </w:tc>
      </w:tr>
      <w:tr w:rsidR="00723133" w:rsidRPr="00723133" w14:paraId="24F3901F" w14:textId="77777777" w:rsidTr="00723133">
        <w:trPr>
          <w:trHeight w:val="259"/>
          <w:jc w:val="center"/>
        </w:trPr>
        <w:tc>
          <w:tcPr>
            <w:tcW w:w="3816" w:type="dxa"/>
            <w:tcBorders>
              <w:top w:val="nil"/>
              <w:left w:val="single" w:sz="4" w:space="0" w:color="auto"/>
              <w:bottom w:val="single" w:sz="4" w:space="0" w:color="auto"/>
              <w:right w:val="single" w:sz="4" w:space="0" w:color="auto"/>
            </w:tcBorders>
            <w:shd w:val="clear" w:color="000000" w:fill="FFFFFF"/>
            <w:noWrap/>
            <w:vAlign w:val="center"/>
            <w:hideMark/>
          </w:tcPr>
          <w:p w14:paraId="7FD86082" w14:textId="77777777" w:rsidR="00723133" w:rsidRPr="00723133" w:rsidRDefault="00723133" w:rsidP="00723133">
            <w:pPr>
              <w:rPr>
                <w:rFonts w:ascii="Arial" w:hAnsi="Arial" w:cs="Arial"/>
                <w:b/>
                <w:bCs/>
                <w:color w:val="000000"/>
                <w:sz w:val="20"/>
                <w:szCs w:val="20"/>
              </w:rPr>
            </w:pPr>
            <w:r w:rsidRPr="00723133">
              <w:rPr>
                <w:rFonts w:ascii="Arial" w:hAnsi="Arial" w:cs="Arial"/>
                <w:b/>
                <w:bCs/>
                <w:color w:val="000000"/>
                <w:sz w:val="20"/>
                <w:szCs w:val="20"/>
              </w:rPr>
              <w:t>Total</w:t>
            </w:r>
          </w:p>
        </w:tc>
        <w:tc>
          <w:tcPr>
            <w:tcW w:w="1177" w:type="dxa"/>
            <w:tcBorders>
              <w:top w:val="nil"/>
              <w:left w:val="nil"/>
              <w:bottom w:val="single" w:sz="4" w:space="0" w:color="auto"/>
              <w:right w:val="single" w:sz="4" w:space="0" w:color="auto"/>
            </w:tcBorders>
            <w:shd w:val="clear" w:color="000000" w:fill="FFFFFF"/>
            <w:vAlign w:val="center"/>
            <w:hideMark/>
          </w:tcPr>
          <w:p w14:paraId="2AFB4DDE" w14:textId="7D037DE8" w:rsidR="00723133" w:rsidRPr="00424EEE" w:rsidRDefault="00723133" w:rsidP="00723133">
            <w:pPr>
              <w:jc w:val="right"/>
              <w:rPr>
                <w:rFonts w:ascii="Arial" w:hAnsi="Arial" w:cs="Arial"/>
                <w:b/>
                <w:color w:val="000000"/>
                <w:sz w:val="20"/>
                <w:szCs w:val="20"/>
              </w:rPr>
            </w:pPr>
            <w:r w:rsidRPr="00424EEE">
              <w:rPr>
                <w:rFonts w:ascii="Arial" w:hAnsi="Arial" w:cs="Arial"/>
                <w:b/>
                <w:color w:val="000000"/>
                <w:sz w:val="20"/>
                <w:szCs w:val="20"/>
              </w:rPr>
              <w:t>571</w:t>
            </w:r>
          </w:p>
        </w:tc>
        <w:tc>
          <w:tcPr>
            <w:tcW w:w="1008" w:type="dxa"/>
            <w:tcBorders>
              <w:top w:val="nil"/>
              <w:left w:val="nil"/>
              <w:bottom w:val="single" w:sz="4" w:space="0" w:color="auto"/>
              <w:right w:val="single" w:sz="4" w:space="0" w:color="auto"/>
            </w:tcBorders>
            <w:shd w:val="clear" w:color="000000" w:fill="FFFFFF"/>
            <w:vAlign w:val="center"/>
            <w:hideMark/>
          </w:tcPr>
          <w:p w14:paraId="05E71432" w14:textId="77777777" w:rsidR="00723133" w:rsidRPr="00424EEE" w:rsidRDefault="00723133" w:rsidP="00723133">
            <w:pPr>
              <w:jc w:val="center"/>
              <w:rPr>
                <w:rFonts w:ascii="Arial" w:hAnsi="Arial" w:cs="Arial"/>
                <w:b/>
                <w:color w:val="000000"/>
                <w:sz w:val="20"/>
                <w:szCs w:val="20"/>
              </w:rPr>
            </w:pPr>
            <w:r w:rsidRPr="00424EEE">
              <w:rPr>
                <w:rFonts w:ascii="Arial" w:hAnsi="Arial" w:cs="Arial"/>
                <w:b/>
                <w:color w:val="000000"/>
                <w:sz w:val="20"/>
                <w:szCs w:val="20"/>
              </w:rPr>
              <w:t xml:space="preserve">     863.5 </w:t>
            </w:r>
          </w:p>
        </w:tc>
        <w:tc>
          <w:tcPr>
            <w:tcW w:w="1099" w:type="dxa"/>
            <w:tcBorders>
              <w:top w:val="nil"/>
              <w:left w:val="nil"/>
              <w:bottom w:val="single" w:sz="4" w:space="0" w:color="auto"/>
              <w:right w:val="single" w:sz="4" w:space="0" w:color="auto"/>
            </w:tcBorders>
            <w:shd w:val="clear" w:color="000000" w:fill="FFFFFF"/>
            <w:vAlign w:val="center"/>
            <w:hideMark/>
          </w:tcPr>
          <w:p w14:paraId="0CFE6DC7" w14:textId="77777777" w:rsidR="00723133" w:rsidRPr="00424EEE" w:rsidRDefault="00723133" w:rsidP="00723133">
            <w:pPr>
              <w:jc w:val="right"/>
              <w:rPr>
                <w:rFonts w:ascii="Arial" w:hAnsi="Arial" w:cs="Arial"/>
                <w:b/>
                <w:color w:val="000000"/>
                <w:sz w:val="20"/>
                <w:szCs w:val="20"/>
              </w:rPr>
            </w:pPr>
            <w:r w:rsidRPr="00424EEE">
              <w:rPr>
                <w:rFonts w:ascii="Arial" w:hAnsi="Arial" w:cs="Arial"/>
                <w:b/>
                <w:color w:val="000000"/>
                <w:sz w:val="20"/>
                <w:szCs w:val="20"/>
              </w:rPr>
              <w:t>-</w:t>
            </w:r>
          </w:p>
        </w:tc>
        <w:tc>
          <w:tcPr>
            <w:tcW w:w="1165" w:type="dxa"/>
            <w:tcBorders>
              <w:top w:val="nil"/>
              <w:left w:val="nil"/>
              <w:bottom w:val="single" w:sz="4" w:space="0" w:color="auto"/>
              <w:right w:val="single" w:sz="4" w:space="0" w:color="auto"/>
            </w:tcBorders>
            <w:shd w:val="clear" w:color="000000" w:fill="FFFFFF"/>
            <w:vAlign w:val="center"/>
            <w:hideMark/>
          </w:tcPr>
          <w:p w14:paraId="17C613D5" w14:textId="77777777" w:rsidR="00723133" w:rsidRPr="00424EEE" w:rsidRDefault="00723133" w:rsidP="00723133">
            <w:pPr>
              <w:jc w:val="center"/>
              <w:rPr>
                <w:rFonts w:ascii="Arial" w:hAnsi="Arial" w:cs="Arial"/>
                <w:b/>
                <w:color w:val="000000"/>
                <w:sz w:val="20"/>
                <w:szCs w:val="20"/>
              </w:rPr>
            </w:pPr>
            <w:r w:rsidRPr="00424EEE">
              <w:rPr>
                <w:rFonts w:ascii="Arial" w:hAnsi="Arial" w:cs="Arial"/>
                <w:b/>
                <w:color w:val="000000"/>
                <w:sz w:val="20"/>
                <w:szCs w:val="20"/>
              </w:rPr>
              <w:t xml:space="preserve">       1.51 </w:t>
            </w:r>
          </w:p>
        </w:tc>
      </w:tr>
    </w:tbl>
    <w:p w14:paraId="5CE1DD34" w14:textId="77777777" w:rsidR="00723133" w:rsidRDefault="00723133" w:rsidP="00723133">
      <w:pPr>
        <w:pStyle w:val="TableCaption"/>
        <w:keepNext/>
        <w:keepLines/>
      </w:pPr>
    </w:p>
    <w:p w14:paraId="45BD1ABA" w14:textId="1E5F073F" w:rsidR="008F1160" w:rsidRPr="0097087F" w:rsidRDefault="000E32E6" w:rsidP="005839AE">
      <w:r w:rsidRPr="00581316">
        <w:t xml:space="preserve">Table 2.3 shows BIP enrollments for SDG&amp;E. SDG&amp;E’s enrollment in BIP was </w:t>
      </w:r>
      <w:r w:rsidR="005B1009">
        <w:t>six</w:t>
      </w:r>
      <w:r w:rsidRPr="00581316">
        <w:t xml:space="preserve"> service accounts on the </w:t>
      </w:r>
      <w:r w:rsidR="00634940" w:rsidRPr="00581316">
        <w:t xml:space="preserve">August </w:t>
      </w:r>
      <w:r w:rsidR="005B1009">
        <w:t>31</w:t>
      </w:r>
      <w:r w:rsidR="00634940" w:rsidRPr="00581316">
        <w:t>, 201</w:t>
      </w:r>
      <w:r w:rsidR="005B1009">
        <w:t>7</w:t>
      </w:r>
      <w:r w:rsidRPr="00581316">
        <w:t xml:space="preserve"> event day. </w:t>
      </w:r>
      <w:r w:rsidR="001F6F6A">
        <w:t xml:space="preserve">These accounted for a total of </w:t>
      </w:r>
      <w:r w:rsidR="005B1009" w:rsidRPr="0086367A">
        <w:t>4</w:t>
      </w:r>
      <w:r w:rsidRPr="0086367A">
        <w:t>.2 MW of maximum demand, or 0.</w:t>
      </w:r>
      <w:r w:rsidR="005B1009" w:rsidRPr="0086367A">
        <w:t>70</w:t>
      </w:r>
      <w:r w:rsidRPr="0086367A">
        <w:t xml:space="preserve"> MW per service account. Agriculture, mining, and construction customers comprise the majority of the enrolled load.</w:t>
      </w:r>
      <w:r w:rsidRPr="0097087F">
        <w:t xml:space="preserve">  </w:t>
      </w:r>
    </w:p>
    <w:p w14:paraId="7BE75013" w14:textId="56FFECB1" w:rsidR="008F1160" w:rsidRPr="0097087F" w:rsidRDefault="008F1160" w:rsidP="008F1160"/>
    <w:p w14:paraId="46851E46" w14:textId="26A50191" w:rsidR="008F1160" w:rsidRDefault="008F1160" w:rsidP="00161AEF">
      <w:pPr>
        <w:pStyle w:val="TableCaption"/>
        <w:keepNext/>
        <w:keepLines/>
        <w:rPr>
          <w:i/>
        </w:rPr>
      </w:pPr>
      <w:bookmarkStart w:id="56" w:name="_Toc508800210"/>
      <w:r w:rsidRPr="0097087F">
        <w:t>Table</w:t>
      </w:r>
      <w:r>
        <w:t xml:space="preserve"> 2.3: </w:t>
      </w:r>
      <w:r w:rsidRPr="00550E7D">
        <w:t>B</w:t>
      </w:r>
      <w:r>
        <w:t>I</w:t>
      </w:r>
      <w:r w:rsidRPr="00550E7D">
        <w:t xml:space="preserve">P Enrollees by Industry Group, </w:t>
      </w:r>
      <w:r w:rsidRPr="00550E7D">
        <w:rPr>
          <w:i/>
        </w:rPr>
        <w:t>S</w:t>
      </w:r>
      <w:r>
        <w:rPr>
          <w:i/>
        </w:rPr>
        <w:t>DG&amp;</w:t>
      </w:r>
      <w:r w:rsidRPr="00550E7D">
        <w:rPr>
          <w:i/>
        </w:rPr>
        <w:t>E</w:t>
      </w:r>
      <w:bookmarkEnd w:id="56"/>
    </w:p>
    <w:tbl>
      <w:tblPr>
        <w:tblW w:w="8265" w:type="dxa"/>
        <w:jc w:val="center"/>
        <w:tblLook w:val="04A0" w:firstRow="1" w:lastRow="0" w:firstColumn="1" w:lastColumn="0" w:noHBand="0" w:noVBand="1"/>
      </w:tblPr>
      <w:tblGrid>
        <w:gridCol w:w="3816"/>
        <w:gridCol w:w="1181"/>
        <w:gridCol w:w="1008"/>
        <w:gridCol w:w="1094"/>
        <w:gridCol w:w="1166"/>
      </w:tblGrid>
      <w:tr w:rsidR="009A4596" w:rsidRPr="00161AEF" w14:paraId="49CCC166" w14:textId="77777777" w:rsidTr="006B55F6">
        <w:trPr>
          <w:trHeight w:val="524"/>
          <w:jc w:val="center"/>
        </w:trPr>
        <w:tc>
          <w:tcPr>
            <w:tcW w:w="3816" w:type="dxa"/>
            <w:tcBorders>
              <w:top w:val="single" w:sz="4" w:space="0" w:color="auto"/>
              <w:left w:val="single" w:sz="4" w:space="0" w:color="auto"/>
              <w:bottom w:val="nil"/>
              <w:right w:val="single" w:sz="4" w:space="0" w:color="FFFFFF" w:themeColor="background1"/>
            </w:tcBorders>
            <w:shd w:val="clear" w:color="auto" w:fill="0C2577"/>
            <w:vAlign w:val="center"/>
            <w:hideMark/>
          </w:tcPr>
          <w:p w14:paraId="3734C266" w14:textId="77777777" w:rsidR="00161AEF" w:rsidRPr="00161AEF" w:rsidRDefault="00161AEF" w:rsidP="00161AEF">
            <w:pPr>
              <w:jc w:val="center"/>
              <w:rPr>
                <w:rFonts w:ascii="Arial" w:hAnsi="Arial" w:cs="Arial"/>
                <w:b/>
                <w:bCs/>
                <w:color w:val="FFFFFF"/>
                <w:sz w:val="20"/>
                <w:szCs w:val="20"/>
              </w:rPr>
            </w:pPr>
            <w:r w:rsidRPr="00161AEF">
              <w:rPr>
                <w:rFonts w:ascii="Arial" w:hAnsi="Arial" w:cs="Arial"/>
                <w:b/>
                <w:bCs/>
                <w:color w:val="FFFFFF"/>
                <w:sz w:val="20"/>
                <w:szCs w:val="20"/>
              </w:rPr>
              <w:t>Industry</w:t>
            </w:r>
          </w:p>
        </w:tc>
        <w:tc>
          <w:tcPr>
            <w:tcW w:w="1181" w:type="dxa"/>
            <w:tcBorders>
              <w:top w:val="single" w:sz="4" w:space="0" w:color="auto"/>
              <w:left w:val="single" w:sz="4" w:space="0" w:color="FFFFFF" w:themeColor="background1"/>
              <w:bottom w:val="nil"/>
              <w:right w:val="single" w:sz="4" w:space="0" w:color="FFFFFF" w:themeColor="background1"/>
            </w:tcBorders>
            <w:shd w:val="clear" w:color="auto" w:fill="0C2577"/>
            <w:vAlign w:val="center"/>
            <w:hideMark/>
          </w:tcPr>
          <w:p w14:paraId="7E1290E7" w14:textId="7F1E4DB4" w:rsidR="00161AEF" w:rsidRPr="00161AEF" w:rsidRDefault="00161AEF" w:rsidP="00161AEF">
            <w:pPr>
              <w:jc w:val="center"/>
              <w:rPr>
                <w:rFonts w:ascii="Arial" w:hAnsi="Arial" w:cs="Arial"/>
                <w:b/>
                <w:bCs/>
                <w:color w:val="FFFFFF"/>
                <w:sz w:val="20"/>
                <w:szCs w:val="20"/>
              </w:rPr>
            </w:pPr>
            <w:r w:rsidRPr="00161AEF">
              <w:rPr>
                <w:rFonts w:ascii="Arial" w:hAnsi="Arial" w:cs="Arial"/>
                <w:b/>
                <w:bCs/>
                <w:color w:val="FFFFFF"/>
                <w:sz w:val="20"/>
                <w:szCs w:val="20"/>
              </w:rPr>
              <w:t>Enrolled</w:t>
            </w:r>
          </w:p>
        </w:tc>
        <w:tc>
          <w:tcPr>
            <w:tcW w:w="1008" w:type="dxa"/>
            <w:tcBorders>
              <w:top w:val="single" w:sz="4" w:space="0" w:color="auto"/>
              <w:left w:val="single" w:sz="4" w:space="0" w:color="FFFFFF" w:themeColor="background1"/>
              <w:bottom w:val="nil"/>
              <w:right w:val="single" w:sz="4" w:space="0" w:color="FFFFFF" w:themeColor="background1"/>
            </w:tcBorders>
            <w:shd w:val="clear" w:color="auto" w:fill="0C2577"/>
            <w:vAlign w:val="center"/>
            <w:hideMark/>
          </w:tcPr>
          <w:p w14:paraId="294DE38F" w14:textId="77777777" w:rsidR="00161AEF" w:rsidRPr="00161AEF" w:rsidRDefault="00161AEF" w:rsidP="00161AEF">
            <w:pPr>
              <w:jc w:val="center"/>
              <w:rPr>
                <w:rFonts w:ascii="Arial" w:hAnsi="Arial" w:cs="Arial"/>
                <w:b/>
                <w:bCs/>
                <w:color w:val="FFFFFF"/>
                <w:sz w:val="20"/>
                <w:szCs w:val="20"/>
              </w:rPr>
            </w:pPr>
            <w:r w:rsidRPr="00161AEF">
              <w:rPr>
                <w:rFonts w:ascii="Arial" w:hAnsi="Arial" w:cs="Arial"/>
                <w:b/>
                <w:bCs/>
                <w:color w:val="FFFFFF"/>
                <w:sz w:val="20"/>
                <w:szCs w:val="20"/>
              </w:rPr>
              <w:t>Sum of Max MWh/h</w:t>
            </w:r>
          </w:p>
        </w:tc>
        <w:tc>
          <w:tcPr>
            <w:tcW w:w="1094" w:type="dxa"/>
            <w:tcBorders>
              <w:top w:val="single" w:sz="4" w:space="0" w:color="auto"/>
              <w:left w:val="single" w:sz="4" w:space="0" w:color="FFFFFF" w:themeColor="background1"/>
              <w:bottom w:val="nil"/>
              <w:right w:val="single" w:sz="4" w:space="0" w:color="FFFFFF" w:themeColor="background1"/>
            </w:tcBorders>
            <w:shd w:val="clear" w:color="auto" w:fill="0C2577"/>
            <w:vAlign w:val="center"/>
            <w:hideMark/>
          </w:tcPr>
          <w:p w14:paraId="2C1F9F52" w14:textId="77777777" w:rsidR="00161AEF" w:rsidRPr="00161AEF" w:rsidRDefault="00161AEF" w:rsidP="00161AEF">
            <w:pPr>
              <w:jc w:val="center"/>
              <w:rPr>
                <w:rFonts w:ascii="Arial" w:hAnsi="Arial" w:cs="Arial"/>
                <w:b/>
                <w:bCs/>
                <w:color w:val="FFFFFF"/>
                <w:sz w:val="20"/>
                <w:szCs w:val="20"/>
              </w:rPr>
            </w:pPr>
            <w:r w:rsidRPr="00161AEF">
              <w:rPr>
                <w:rFonts w:ascii="Arial" w:hAnsi="Arial" w:cs="Arial"/>
                <w:b/>
                <w:bCs/>
                <w:color w:val="FFFFFF"/>
                <w:sz w:val="20"/>
                <w:szCs w:val="20"/>
              </w:rPr>
              <w:t>Percent of Max MWh/h</w:t>
            </w:r>
          </w:p>
        </w:tc>
        <w:tc>
          <w:tcPr>
            <w:tcW w:w="1166" w:type="dxa"/>
            <w:tcBorders>
              <w:top w:val="single" w:sz="4" w:space="0" w:color="auto"/>
              <w:left w:val="single" w:sz="4" w:space="0" w:color="FFFFFF" w:themeColor="background1"/>
              <w:bottom w:val="nil"/>
              <w:right w:val="single" w:sz="4" w:space="0" w:color="auto"/>
            </w:tcBorders>
            <w:shd w:val="clear" w:color="auto" w:fill="0C2577"/>
            <w:vAlign w:val="center"/>
            <w:hideMark/>
          </w:tcPr>
          <w:p w14:paraId="542FD35F" w14:textId="77777777" w:rsidR="00161AEF" w:rsidRPr="00161AEF" w:rsidRDefault="00161AEF" w:rsidP="00161AEF">
            <w:pPr>
              <w:jc w:val="center"/>
              <w:rPr>
                <w:rFonts w:ascii="Arial" w:hAnsi="Arial" w:cs="Arial"/>
                <w:b/>
                <w:bCs/>
                <w:color w:val="FFFFFF"/>
                <w:sz w:val="20"/>
                <w:szCs w:val="20"/>
              </w:rPr>
            </w:pPr>
            <w:r w:rsidRPr="00161AEF">
              <w:rPr>
                <w:rFonts w:ascii="Arial" w:hAnsi="Arial" w:cs="Arial"/>
                <w:b/>
                <w:bCs/>
                <w:color w:val="FFFFFF"/>
                <w:sz w:val="20"/>
                <w:szCs w:val="20"/>
              </w:rPr>
              <w:t>Average Max MWh/h</w:t>
            </w:r>
          </w:p>
        </w:tc>
      </w:tr>
      <w:tr w:rsidR="00161AEF" w:rsidRPr="00161AEF" w14:paraId="48CD2E60" w14:textId="77777777" w:rsidTr="0086367A">
        <w:trPr>
          <w:trHeight w:val="259"/>
          <w:jc w:val="center"/>
        </w:trPr>
        <w:tc>
          <w:tcPr>
            <w:tcW w:w="3816" w:type="dxa"/>
            <w:tcBorders>
              <w:top w:val="single" w:sz="4" w:space="0" w:color="auto"/>
              <w:left w:val="single" w:sz="4" w:space="0" w:color="auto"/>
              <w:bottom w:val="nil"/>
              <w:right w:val="single" w:sz="4" w:space="0" w:color="auto"/>
            </w:tcBorders>
            <w:shd w:val="clear" w:color="000000" w:fill="FFFFFF"/>
            <w:noWrap/>
            <w:vAlign w:val="center"/>
            <w:hideMark/>
          </w:tcPr>
          <w:p w14:paraId="4F243062" w14:textId="77777777" w:rsidR="00161AEF" w:rsidRPr="00161AEF" w:rsidRDefault="00161AEF" w:rsidP="00161AEF">
            <w:pPr>
              <w:rPr>
                <w:rFonts w:ascii="Arial" w:hAnsi="Arial" w:cs="Arial"/>
                <w:color w:val="000000"/>
                <w:sz w:val="20"/>
                <w:szCs w:val="20"/>
              </w:rPr>
            </w:pPr>
            <w:r w:rsidRPr="00161AEF">
              <w:rPr>
                <w:rFonts w:ascii="Arial" w:hAnsi="Arial" w:cs="Arial"/>
                <w:color w:val="000000"/>
                <w:sz w:val="20"/>
                <w:szCs w:val="20"/>
              </w:rPr>
              <w:t>Agriculture, Mining &amp; Construction</w:t>
            </w:r>
          </w:p>
        </w:tc>
        <w:tc>
          <w:tcPr>
            <w:tcW w:w="1181" w:type="dxa"/>
            <w:tcBorders>
              <w:top w:val="single" w:sz="4" w:space="0" w:color="auto"/>
              <w:left w:val="nil"/>
              <w:bottom w:val="nil"/>
              <w:right w:val="single" w:sz="4" w:space="0" w:color="auto"/>
            </w:tcBorders>
            <w:shd w:val="clear" w:color="auto" w:fill="auto"/>
            <w:vAlign w:val="center"/>
            <w:hideMark/>
          </w:tcPr>
          <w:p w14:paraId="3A6100A2" w14:textId="77777777" w:rsidR="00161AEF" w:rsidRPr="00161AEF" w:rsidRDefault="00161AEF" w:rsidP="00161AEF">
            <w:pPr>
              <w:jc w:val="right"/>
              <w:rPr>
                <w:rFonts w:ascii="Arial" w:hAnsi="Arial" w:cs="Arial"/>
                <w:color w:val="000000"/>
                <w:sz w:val="20"/>
                <w:szCs w:val="20"/>
              </w:rPr>
            </w:pPr>
            <w:r w:rsidRPr="00161AEF">
              <w:rPr>
                <w:rFonts w:ascii="Arial" w:hAnsi="Arial" w:cs="Arial"/>
                <w:color w:val="000000"/>
                <w:sz w:val="20"/>
                <w:szCs w:val="20"/>
              </w:rPr>
              <w:t>3</w:t>
            </w:r>
          </w:p>
        </w:tc>
        <w:tc>
          <w:tcPr>
            <w:tcW w:w="1008" w:type="dxa"/>
            <w:tcBorders>
              <w:top w:val="single" w:sz="4" w:space="0" w:color="auto"/>
              <w:left w:val="nil"/>
              <w:bottom w:val="nil"/>
              <w:right w:val="single" w:sz="4" w:space="0" w:color="auto"/>
            </w:tcBorders>
            <w:shd w:val="clear" w:color="auto" w:fill="auto"/>
            <w:vAlign w:val="center"/>
            <w:hideMark/>
          </w:tcPr>
          <w:p w14:paraId="3662294F" w14:textId="77777777" w:rsidR="00161AEF" w:rsidRPr="00161AEF" w:rsidRDefault="00161AEF" w:rsidP="00161AEF">
            <w:pPr>
              <w:jc w:val="center"/>
              <w:rPr>
                <w:rFonts w:ascii="Arial" w:hAnsi="Arial" w:cs="Arial"/>
                <w:color w:val="000000"/>
                <w:sz w:val="20"/>
                <w:szCs w:val="20"/>
              </w:rPr>
            </w:pPr>
            <w:r w:rsidRPr="00161AEF">
              <w:rPr>
                <w:rFonts w:ascii="Arial" w:hAnsi="Arial" w:cs="Arial"/>
                <w:color w:val="000000"/>
                <w:sz w:val="20"/>
                <w:szCs w:val="20"/>
              </w:rPr>
              <w:t xml:space="preserve">         3.5 </w:t>
            </w:r>
          </w:p>
        </w:tc>
        <w:tc>
          <w:tcPr>
            <w:tcW w:w="1094" w:type="dxa"/>
            <w:tcBorders>
              <w:top w:val="single" w:sz="4" w:space="0" w:color="auto"/>
              <w:left w:val="nil"/>
              <w:bottom w:val="nil"/>
              <w:right w:val="single" w:sz="4" w:space="0" w:color="auto"/>
            </w:tcBorders>
            <w:shd w:val="clear" w:color="auto" w:fill="auto"/>
            <w:vAlign w:val="center"/>
            <w:hideMark/>
          </w:tcPr>
          <w:p w14:paraId="6ED78919" w14:textId="77777777" w:rsidR="00161AEF" w:rsidRPr="00161AEF" w:rsidRDefault="00161AEF" w:rsidP="00161AEF">
            <w:pPr>
              <w:jc w:val="right"/>
              <w:rPr>
                <w:rFonts w:ascii="Arial" w:hAnsi="Arial" w:cs="Arial"/>
                <w:color w:val="000000"/>
                <w:sz w:val="20"/>
                <w:szCs w:val="20"/>
              </w:rPr>
            </w:pPr>
            <w:r w:rsidRPr="00161AEF">
              <w:rPr>
                <w:rFonts w:ascii="Arial" w:hAnsi="Arial" w:cs="Arial"/>
                <w:color w:val="000000"/>
                <w:sz w:val="20"/>
                <w:szCs w:val="20"/>
              </w:rPr>
              <w:t>84.0%</w:t>
            </w:r>
          </w:p>
        </w:tc>
        <w:tc>
          <w:tcPr>
            <w:tcW w:w="1166" w:type="dxa"/>
            <w:tcBorders>
              <w:top w:val="single" w:sz="4" w:space="0" w:color="auto"/>
              <w:left w:val="nil"/>
              <w:bottom w:val="nil"/>
              <w:right w:val="single" w:sz="4" w:space="0" w:color="auto"/>
            </w:tcBorders>
            <w:shd w:val="clear" w:color="auto" w:fill="auto"/>
            <w:vAlign w:val="center"/>
            <w:hideMark/>
          </w:tcPr>
          <w:p w14:paraId="5DB37645" w14:textId="77777777" w:rsidR="00161AEF" w:rsidRPr="00161AEF" w:rsidRDefault="00161AEF" w:rsidP="00161AEF">
            <w:pPr>
              <w:jc w:val="center"/>
              <w:rPr>
                <w:rFonts w:ascii="Arial" w:hAnsi="Arial" w:cs="Arial"/>
                <w:color w:val="000000"/>
                <w:sz w:val="20"/>
                <w:szCs w:val="20"/>
              </w:rPr>
            </w:pPr>
            <w:r w:rsidRPr="00161AEF">
              <w:rPr>
                <w:rFonts w:ascii="Arial" w:hAnsi="Arial" w:cs="Arial"/>
                <w:color w:val="000000"/>
                <w:sz w:val="20"/>
                <w:szCs w:val="20"/>
              </w:rPr>
              <w:t xml:space="preserve">       1.18 </w:t>
            </w:r>
          </w:p>
        </w:tc>
      </w:tr>
      <w:tr w:rsidR="00161AEF" w:rsidRPr="00161AEF" w14:paraId="1D40A41A" w14:textId="77777777" w:rsidTr="0086367A">
        <w:trPr>
          <w:trHeight w:val="259"/>
          <w:jc w:val="center"/>
        </w:trPr>
        <w:tc>
          <w:tcPr>
            <w:tcW w:w="3816" w:type="dxa"/>
            <w:tcBorders>
              <w:top w:val="nil"/>
              <w:left w:val="single" w:sz="4" w:space="0" w:color="auto"/>
              <w:bottom w:val="nil"/>
              <w:right w:val="single" w:sz="4" w:space="0" w:color="auto"/>
            </w:tcBorders>
            <w:shd w:val="clear" w:color="000000" w:fill="FFFFFF"/>
            <w:noWrap/>
            <w:vAlign w:val="center"/>
            <w:hideMark/>
          </w:tcPr>
          <w:p w14:paraId="0278F5A4" w14:textId="77777777" w:rsidR="00161AEF" w:rsidRPr="00161AEF" w:rsidRDefault="00161AEF" w:rsidP="00161AEF">
            <w:pPr>
              <w:rPr>
                <w:rFonts w:ascii="Arial" w:hAnsi="Arial" w:cs="Arial"/>
                <w:color w:val="000000"/>
                <w:sz w:val="20"/>
                <w:szCs w:val="20"/>
              </w:rPr>
            </w:pPr>
            <w:r w:rsidRPr="00161AEF">
              <w:rPr>
                <w:rFonts w:ascii="Arial" w:hAnsi="Arial" w:cs="Arial"/>
                <w:color w:val="000000"/>
                <w:sz w:val="20"/>
                <w:szCs w:val="20"/>
              </w:rPr>
              <w:t>Manufacturing</w:t>
            </w:r>
          </w:p>
        </w:tc>
        <w:tc>
          <w:tcPr>
            <w:tcW w:w="1181" w:type="dxa"/>
            <w:tcBorders>
              <w:top w:val="nil"/>
              <w:left w:val="nil"/>
              <w:bottom w:val="nil"/>
              <w:right w:val="single" w:sz="4" w:space="0" w:color="auto"/>
            </w:tcBorders>
            <w:shd w:val="clear" w:color="auto" w:fill="auto"/>
            <w:vAlign w:val="center"/>
            <w:hideMark/>
          </w:tcPr>
          <w:p w14:paraId="7574431B" w14:textId="312D7B53" w:rsidR="00161AEF" w:rsidRPr="00161AEF" w:rsidRDefault="00161AEF" w:rsidP="00161AEF">
            <w:pPr>
              <w:jc w:val="right"/>
              <w:rPr>
                <w:rFonts w:ascii="Arial" w:hAnsi="Arial" w:cs="Arial"/>
                <w:color w:val="000000"/>
                <w:sz w:val="20"/>
                <w:szCs w:val="20"/>
              </w:rPr>
            </w:pPr>
            <w:r w:rsidRPr="00161AEF">
              <w:rPr>
                <w:rFonts w:ascii="Arial" w:hAnsi="Arial" w:cs="Arial"/>
                <w:color w:val="000000"/>
                <w:sz w:val="20"/>
                <w:szCs w:val="20"/>
              </w:rPr>
              <w:t>1</w:t>
            </w:r>
          </w:p>
        </w:tc>
        <w:tc>
          <w:tcPr>
            <w:tcW w:w="1008" w:type="dxa"/>
            <w:tcBorders>
              <w:top w:val="nil"/>
              <w:left w:val="nil"/>
              <w:bottom w:val="nil"/>
              <w:right w:val="single" w:sz="4" w:space="0" w:color="auto"/>
            </w:tcBorders>
            <w:shd w:val="clear" w:color="auto" w:fill="auto"/>
            <w:vAlign w:val="center"/>
            <w:hideMark/>
          </w:tcPr>
          <w:p w14:paraId="083F5B4D" w14:textId="77777777" w:rsidR="00161AEF" w:rsidRPr="00161AEF" w:rsidRDefault="00161AEF" w:rsidP="00161AEF">
            <w:pPr>
              <w:jc w:val="center"/>
              <w:rPr>
                <w:rFonts w:ascii="Arial" w:hAnsi="Arial" w:cs="Arial"/>
                <w:color w:val="000000"/>
                <w:sz w:val="20"/>
                <w:szCs w:val="20"/>
              </w:rPr>
            </w:pPr>
            <w:r w:rsidRPr="00161AEF">
              <w:rPr>
                <w:rFonts w:ascii="Arial" w:hAnsi="Arial" w:cs="Arial"/>
                <w:color w:val="000000"/>
                <w:sz w:val="20"/>
                <w:szCs w:val="20"/>
              </w:rPr>
              <w:t xml:space="preserve">         0.4 </w:t>
            </w:r>
          </w:p>
        </w:tc>
        <w:tc>
          <w:tcPr>
            <w:tcW w:w="1094" w:type="dxa"/>
            <w:tcBorders>
              <w:top w:val="nil"/>
              <w:left w:val="nil"/>
              <w:bottom w:val="nil"/>
              <w:right w:val="single" w:sz="4" w:space="0" w:color="auto"/>
            </w:tcBorders>
            <w:shd w:val="clear" w:color="auto" w:fill="auto"/>
            <w:vAlign w:val="center"/>
            <w:hideMark/>
          </w:tcPr>
          <w:p w14:paraId="019E402A" w14:textId="77777777" w:rsidR="00161AEF" w:rsidRPr="00161AEF" w:rsidRDefault="00161AEF" w:rsidP="00161AEF">
            <w:pPr>
              <w:jc w:val="right"/>
              <w:rPr>
                <w:rFonts w:ascii="Arial" w:hAnsi="Arial" w:cs="Arial"/>
                <w:color w:val="000000"/>
                <w:sz w:val="20"/>
                <w:szCs w:val="20"/>
              </w:rPr>
            </w:pPr>
            <w:r w:rsidRPr="00161AEF">
              <w:rPr>
                <w:rFonts w:ascii="Arial" w:hAnsi="Arial" w:cs="Arial"/>
                <w:color w:val="000000"/>
                <w:sz w:val="20"/>
                <w:szCs w:val="20"/>
              </w:rPr>
              <w:t>8.5%</w:t>
            </w:r>
          </w:p>
        </w:tc>
        <w:tc>
          <w:tcPr>
            <w:tcW w:w="1166" w:type="dxa"/>
            <w:tcBorders>
              <w:top w:val="nil"/>
              <w:left w:val="nil"/>
              <w:bottom w:val="nil"/>
              <w:right w:val="single" w:sz="4" w:space="0" w:color="auto"/>
            </w:tcBorders>
            <w:shd w:val="clear" w:color="auto" w:fill="auto"/>
            <w:vAlign w:val="center"/>
            <w:hideMark/>
          </w:tcPr>
          <w:p w14:paraId="2F103EA9" w14:textId="77777777" w:rsidR="00161AEF" w:rsidRPr="00161AEF" w:rsidRDefault="00161AEF" w:rsidP="00161AEF">
            <w:pPr>
              <w:jc w:val="center"/>
              <w:rPr>
                <w:rFonts w:ascii="Arial" w:hAnsi="Arial" w:cs="Arial"/>
                <w:color w:val="000000"/>
                <w:sz w:val="20"/>
                <w:szCs w:val="20"/>
              </w:rPr>
            </w:pPr>
            <w:r w:rsidRPr="00161AEF">
              <w:rPr>
                <w:rFonts w:ascii="Arial" w:hAnsi="Arial" w:cs="Arial"/>
                <w:color w:val="000000"/>
                <w:sz w:val="20"/>
                <w:szCs w:val="20"/>
              </w:rPr>
              <w:t xml:space="preserve">       0.36 </w:t>
            </w:r>
          </w:p>
        </w:tc>
      </w:tr>
      <w:tr w:rsidR="00161AEF" w:rsidRPr="00161AEF" w14:paraId="1388F026" w14:textId="77777777" w:rsidTr="0086367A">
        <w:trPr>
          <w:trHeight w:val="259"/>
          <w:jc w:val="center"/>
        </w:trPr>
        <w:tc>
          <w:tcPr>
            <w:tcW w:w="3816" w:type="dxa"/>
            <w:tcBorders>
              <w:top w:val="nil"/>
              <w:left w:val="single" w:sz="4" w:space="0" w:color="auto"/>
              <w:bottom w:val="nil"/>
              <w:right w:val="single" w:sz="4" w:space="0" w:color="auto"/>
            </w:tcBorders>
            <w:shd w:val="clear" w:color="000000" w:fill="FFFFFF"/>
            <w:noWrap/>
            <w:vAlign w:val="center"/>
            <w:hideMark/>
          </w:tcPr>
          <w:p w14:paraId="53E43C18" w14:textId="77777777" w:rsidR="00161AEF" w:rsidRPr="00161AEF" w:rsidRDefault="00161AEF" w:rsidP="00161AEF">
            <w:pPr>
              <w:rPr>
                <w:rFonts w:ascii="Arial" w:hAnsi="Arial" w:cs="Arial"/>
                <w:color w:val="000000"/>
                <w:sz w:val="20"/>
                <w:szCs w:val="20"/>
              </w:rPr>
            </w:pPr>
            <w:r w:rsidRPr="00161AEF">
              <w:rPr>
                <w:rFonts w:ascii="Arial" w:hAnsi="Arial" w:cs="Arial"/>
                <w:color w:val="000000"/>
                <w:sz w:val="20"/>
                <w:szCs w:val="20"/>
              </w:rPr>
              <w:t>Retail</w:t>
            </w:r>
          </w:p>
        </w:tc>
        <w:tc>
          <w:tcPr>
            <w:tcW w:w="1181" w:type="dxa"/>
            <w:tcBorders>
              <w:top w:val="nil"/>
              <w:left w:val="nil"/>
              <w:bottom w:val="nil"/>
              <w:right w:val="single" w:sz="4" w:space="0" w:color="auto"/>
            </w:tcBorders>
            <w:shd w:val="clear" w:color="auto" w:fill="auto"/>
            <w:vAlign w:val="center"/>
            <w:hideMark/>
          </w:tcPr>
          <w:p w14:paraId="75E24137" w14:textId="77777777" w:rsidR="00161AEF" w:rsidRPr="00161AEF" w:rsidRDefault="00161AEF" w:rsidP="00161AEF">
            <w:pPr>
              <w:jc w:val="right"/>
              <w:rPr>
                <w:rFonts w:ascii="Arial" w:hAnsi="Arial" w:cs="Arial"/>
                <w:color w:val="000000"/>
                <w:sz w:val="20"/>
                <w:szCs w:val="20"/>
              </w:rPr>
            </w:pPr>
            <w:r w:rsidRPr="00161AEF">
              <w:rPr>
                <w:rFonts w:ascii="Arial" w:hAnsi="Arial" w:cs="Arial"/>
                <w:color w:val="000000"/>
                <w:sz w:val="20"/>
                <w:szCs w:val="20"/>
              </w:rPr>
              <w:t>2</w:t>
            </w:r>
          </w:p>
        </w:tc>
        <w:tc>
          <w:tcPr>
            <w:tcW w:w="1008" w:type="dxa"/>
            <w:tcBorders>
              <w:top w:val="nil"/>
              <w:left w:val="nil"/>
              <w:bottom w:val="nil"/>
              <w:right w:val="single" w:sz="4" w:space="0" w:color="auto"/>
            </w:tcBorders>
            <w:shd w:val="clear" w:color="auto" w:fill="auto"/>
            <w:vAlign w:val="center"/>
            <w:hideMark/>
          </w:tcPr>
          <w:p w14:paraId="03ECD112" w14:textId="77777777" w:rsidR="00161AEF" w:rsidRPr="00161AEF" w:rsidRDefault="00161AEF" w:rsidP="00161AEF">
            <w:pPr>
              <w:jc w:val="center"/>
              <w:rPr>
                <w:rFonts w:ascii="Arial" w:hAnsi="Arial" w:cs="Arial"/>
                <w:color w:val="000000"/>
                <w:sz w:val="20"/>
                <w:szCs w:val="20"/>
              </w:rPr>
            </w:pPr>
            <w:r w:rsidRPr="00161AEF">
              <w:rPr>
                <w:rFonts w:ascii="Arial" w:hAnsi="Arial" w:cs="Arial"/>
                <w:color w:val="000000"/>
                <w:sz w:val="20"/>
                <w:szCs w:val="20"/>
              </w:rPr>
              <w:t xml:space="preserve">         0.3 </w:t>
            </w:r>
          </w:p>
        </w:tc>
        <w:tc>
          <w:tcPr>
            <w:tcW w:w="1094" w:type="dxa"/>
            <w:tcBorders>
              <w:top w:val="nil"/>
              <w:left w:val="nil"/>
              <w:bottom w:val="nil"/>
              <w:right w:val="single" w:sz="4" w:space="0" w:color="auto"/>
            </w:tcBorders>
            <w:shd w:val="clear" w:color="auto" w:fill="auto"/>
            <w:vAlign w:val="center"/>
            <w:hideMark/>
          </w:tcPr>
          <w:p w14:paraId="2F1D5D35" w14:textId="77777777" w:rsidR="00161AEF" w:rsidRPr="00161AEF" w:rsidRDefault="00161AEF" w:rsidP="00161AEF">
            <w:pPr>
              <w:jc w:val="right"/>
              <w:rPr>
                <w:rFonts w:ascii="Arial" w:hAnsi="Arial" w:cs="Arial"/>
                <w:color w:val="000000"/>
                <w:sz w:val="20"/>
                <w:szCs w:val="20"/>
              </w:rPr>
            </w:pPr>
            <w:r w:rsidRPr="00161AEF">
              <w:rPr>
                <w:rFonts w:ascii="Arial" w:hAnsi="Arial" w:cs="Arial"/>
                <w:color w:val="000000"/>
                <w:sz w:val="20"/>
                <w:szCs w:val="20"/>
              </w:rPr>
              <w:t>7.6%</w:t>
            </w:r>
          </w:p>
        </w:tc>
        <w:tc>
          <w:tcPr>
            <w:tcW w:w="1166" w:type="dxa"/>
            <w:tcBorders>
              <w:top w:val="nil"/>
              <w:left w:val="nil"/>
              <w:bottom w:val="nil"/>
              <w:right w:val="single" w:sz="4" w:space="0" w:color="auto"/>
            </w:tcBorders>
            <w:shd w:val="clear" w:color="auto" w:fill="auto"/>
            <w:vAlign w:val="center"/>
            <w:hideMark/>
          </w:tcPr>
          <w:p w14:paraId="148D808A" w14:textId="77777777" w:rsidR="00161AEF" w:rsidRPr="00161AEF" w:rsidRDefault="00161AEF" w:rsidP="00161AEF">
            <w:pPr>
              <w:jc w:val="center"/>
              <w:rPr>
                <w:rFonts w:ascii="Arial" w:hAnsi="Arial" w:cs="Arial"/>
                <w:color w:val="000000"/>
                <w:sz w:val="20"/>
                <w:szCs w:val="20"/>
              </w:rPr>
            </w:pPr>
            <w:r w:rsidRPr="00161AEF">
              <w:rPr>
                <w:rFonts w:ascii="Arial" w:hAnsi="Arial" w:cs="Arial"/>
                <w:color w:val="000000"/>
                <w:sz w:val="20"/>
                <w:szCs w:val="20"/>
              </w:rPr>
              <w:t xml:space="preserve">       0.16 </w:t>
            </w:r>
          </w:p>
        </w:tc>
      </w:tr>
      <w:tr w:rsidR="00161AEF" w:rsidRPr="00161AEF" w14:paraId="17484E51" w14:textId="77777777" w:rsidTr="0086367A">
        <w:trPr>
          <w:trHeight w:val="205"/>
          <w:jc w:val="center"/>
        </w:trPr>
        <w:tc>
          <w:tcPr>
            <w:tcW w:w="3816" w:type="dxa"/>
            <w:tcBorders>
              <w:top w:val="nil"/>
              <w:left w:val="single" w:sz="4" w:space="0" w:color="auto"/>
              <w:bottom w:val="single" w:sz="4" w:space="0" w:color="auto"/>
              <w:right w:val="single" w:sz="4" w:space="0" w:color="auto"/>
            </w:tcBorders>
            <w:shd w:val="clear" w:color="000000" w:fill="FFFFFF"/>
            <w:noWrap/>
            <w:vAlign w:val="center"/>
            <w:hideMark/>
          </w:tcPr>
          <w:p w14:paraId="07719642" w14:textId="77777777" w:rsidR="00161AEF" w:rsidRPr="00161AEF" w:rsidRDefault="00161AEF" w:rsidP="00161AEF">
            <w:pPr>
              <w:rPr>
                <w:rFonts w:ascii="Arial" w:hAnsi="Arial" w:cs="Arial"/>
                <w:b/>
                <w:color w:val="000000"/>
                <w:sz w:val="20"/>
                <w:szCs w:val="20"/>
              </w:rPr>
            </w:pPr>
            <w:r w:rsidRPr="00161AEF">
              <w:rPr>
                <w:rFonts w:ascii="Arial" w:hAnsi="Arial" w:cs="Arial"/>
                <w:b/>
                <w:color w:val="000000"/>
                <w:sz w:val="20"/>
                <w:szCs w:val="20"/>
              </w:rPr>
              <w:t>Total</w:t>
            </w:r>
          </w:p>
        </w:tc>
        <w:tc>
          <w:tcPr>
            <w:tcW w:w="1181" w:type="dxa"/>
            <w:tcBorders>
              <w:top w:val="nil"/>
              <w:left w:val="nil"/>
              <w:bottom w:val="single" w:sz="4" w:space="0" w:color="auto"/>
              <w:right w:val="single" w:sz="4" w:space="0" w:color="auto"/>
            </w:tcBorders>
            <w:shd w:val="clear" w:color="auto" w:fill="auto"/>
            <w:vAlign w:val="center"/>
            <w:hideMark/>
          </w:tcPr>
          <w:p w14:paraId="2B9E1B26" w14:textId="1F324D9A" w:rsidR="00161AEF" w:rsidRPr="00424EEE" w:rsidRDefault="00161AEF" w:rsidP="00161AEF">
            <w:pPr>
              <w:jc w:val="right"/>
              <w:rPr>
                <w:rFonts w:ascii="Arial" w:hAnsi="Arial" w:cs="Arial"/>
                <w:b/>
                <w:color w:val="000000"/>
                <w:sz w:val="20"/>
                <w:szCs w:val="20"/>
              </w:rPr>
            </w:pPr>
            <w:r w:rsidRPr="00424EEE">
              <w:rPr>
                <w:rFonts w:ascii="Arial" w:hAnsi="Arial" w:cs="Arial"/>
                <w:b/>
                <w:color w:val="000000"/>
                <w:sz w:val="20"/>
                <w:szCs w:val="20"/>
              </w:rPr>
              <w:t>6</w:t>
            </w:r>
          </w:p>
        </w:tc>
        <w:tc>
          <w:tcPr>
            <w:tcW w:w="1008" w:type="dxa"/>
            <w:tcBorders>
              <w:top w:val="nil"/>
              <w:left w:val="nil"/>
              <w:bottom w:val="single" w:sz="4" w:space="0" w:color="auto"/>
              <w:right w:val="single" w:sz="4" w:space="0" w:color="auto"/>
            </w:tcBorders>
            <w:shd w:val="clear" w:color="auto" w:fill="auto"/>
            <w:vAlign w:val="center"/>
            <w:hideMark/>
          </w:tcPr>
          <w:p w14:paraId="6B844AFB" w14:textId="77777777" w:rsidR="00161AEF" w:rsidRPr="00424EEE" w:rsidRDefault="00161AEF" w:rsidP="00161AEF">
            <w:pPr>
              <w:jc w:val="center"/>
              <w:rPr>
                <w:rFonts w:ascii="Arial" w:hAnsi="Arial" w:cs="Arial"/>
                <w:b/>
                <w:color w:val="000000"/>
                <w:sz w:val="20"/>
                <w:szCs w:val="20"/>
              </w:rPr>
            </w:pPr>
            <w:r w:rsidRPr="00424EEE">
              <w:rPr>
                <w:rFonts w:ascii="Arial" w:hAnsi="Arial" w:cs="Arial"/>
                <w:b/>
                <w:color w:val="000000"/>
                <w:sz w:val="20"/>
                <w:szCs w:val="20"/>
              </w:rPr>
              <w:t xml:space="preserve">         4.2 </w:t>
            </w:r>
          </w:p>
        </w:tc>
        <w:tc>
          <w:tcPr>
            <w:tcW w:w="1094" w:type="dxa"/>
            <w:tcBorders>
              <w:top w:val="nil"/>
              <w:left w:val="nil"/>
              <w:bottom w:val="single" w:sz="4" w:space="0" w:color="auto"/>
              <w:right w:val="single" w:sz="4" w:space="0" w:color="auto"/>
            </w:tcBorders>
            <w:shd w:val="clear" w:color="auto" w:fill="auto"/>
            <w:vAlign w:val="center"/>
            <w:hideMark/>
          </w:tcPr>
          <w:p w14:paraId="4D3D78A4" w14:textId="77777777" w:rsidR="00161AEF" w:rsidRPr="00424EEE" w:rsidRDefault="00161AEF" w:rsidP="00161AEF">
            <w:pPr>
              <w:jc w:val="right"/>
              <w:rPr>
                <w:rFonts w:ascii="Arial" w:hAnsi="Arial" w:cs="Arial"/>
                <w:b/>
                <w:color w:val="000000"/>
                <w:sz w:val="20"/>
                <w:szCs w:val="20"/>
              </w:rPr>
            </w:pPr>
            <w:r w:rsidRPr="00424EEE">
              <w:rPr>
                <w:rFonts w:ascii="Arial" w:hAnsi="Arial" w:cs="Arial"/>
                <w:b/>
                <w:color w:val="000000"/>
                <w:sz w:val="20"/>
                <w:szCs w:val="20"/>
              </w:rPr>
              <w:t>0.0%</w:t>
            </w:r>
          </w:p>
        </w:tc>
        <w:tc>
          <w:tcPr>
            <w:tcW w:w="1166" w:type="dxa"/>
            <w:tcBorders>
              <w:top w:val="nil"/>
              <w:left w:val="nil"/>
              <w:bottom w:val="single" w:sz="4" w:space="0" w:color="auto"/>
              <w:right w:val="single" w:sz="4" w:space="0" w:color="auto"/>
            </w:tcBorders>
            <w:shd w:val="clear" w:color="auto" w:fill="auto"/>
            <w:vAlign w:val="center"/>
            <w:hideMark/>
          </w:tcPr>
          <w:p w14:paraId="4A4A165A" w14:textId="77777777" w:rsidR="00161AEF" w:rsidRPr="00424EEE" w:rsidRDefault="00161AEF" w:rsidP="00161AEF">
            <w:pPr>
              <w:jc w:val="center"/>
              <w:rPr>
                <w:rFonts w:ascii="Arial" w:hAnsi="Arial" w:cs="Arial"/>
                <w:b/>
                <w:color w:val="000000"/>
                <w:sz w:val="20"/>
                <w:szCs w:val="20"/>
              </w:rPr>
            </w:pPr>
            <w:r w:rsidRPr="00424EEE">
              <w:rPr>
                <w:rFonts w:ascii="Arial" w:hAnsi="Arial" w:cs="Arial"/>
                <w:b/>
                <w:color w:val="000000"/>
                <w:sz w:val="20"/>
                <w:szCs w:val="20"/>
              </w:rPr>
              <w:t xml:space="preserve">       0.70 </w:t>
            </w:r>
          </w:p>
        </w:tc>
      </w:tr>
    </w:tbl>
    <w:p w14:paraId="2339D019" w14:textId="77777777" w:rsidR="00161AEF" w:rsidRDefault="00161AEF" w:rsidP="00161AEF">
      <w:pPr>
        <w:pStyle w:val="TableCaption"/>
        <w:keepNext/>
        <w:keepLines/>
      </w:pPr>
    </w:p>
    <w:p w14:paraId="49B7B39A" w14:textId="54C36505" w:rsidR="007469E5" w:rsidRDefault="00321E09" w:rsidP="005839AE">
      <w:r>
        <w:t>Tables 2.</w:t>
      </w:r>
      <w:r w:rsidR="000E32E6">
        <w:t>4</w:t>
      </w:r>
      <w:r>
        <w:t xml:space="preserve"> and 2.</w:t>
      </w:r>
      <w:r w:rsidR="000E32E6">
        <w:t>5</w:t>
      </w:r>
      <w:r>
        <w:t xml:space="preserve"> show B</w:t>
      </w:r>
      <w:r w:rsidR="000E32E6">
        <w:t>I</w:t>
      </w:r>
      <w:r>
        <w:t>P enrollment by local capacity area for PG&amp;E and SCE</w:t>
      </w:r>
      <w:r w:rsidR="002A4A62">
        <w:t xml:space="preserve">, </w:t>
      </w:r>
      <w:r>
        <w:t>respectively.</w:t>
      </w:r>
      <w:r w:rsidR="00E47BA7">
        <w:t xml:space="preserve"> (SDG&amp;E consists of a single LCA.) The majority of PG&amp;E’s enrolled load is </w:t>
      </w:r>
      <w:r w:rsidR="005B1009">
        <w:t xml:space="preserve">in the Greater Bay Area or </w:t>
      </w:r>
      <w:r w:rsidR="00E47BA7">
        <w:t xml:space="preserve">not in an </w:t>
      </w:r>
      <w:r w:rsidR="00E47BA7" w:rsidRPr="00A3548F">
        <w:t>LCA and 7</w:t>
      </w:r>
      <w:r w:rsidR="005B1009">
        <w:t>6</w:t>
      </w:r>
      <w:r w:rsidR="00E47BA7" w:rsidRPr="00A3548F">
        <w:t xml:space="preserve"> percent of SCE’s enrolled load is in the LA Basin.</w:t>
      </w:r>
    </w:p>
    <w:p w14:paraId="1EF80EE0" w14:textId="023CA666" w:rsidR="000E32E6" w:rsidRDefault="000E32E6" w:rsidP="005839AE"/>
    <w:p w14:paraId="7CA03443" w14:textId="0E388A02" w:rsidR="008C4C93" w:rsidRDefault="006C0719" w:rsidP="000E16FE">
      <w:pPr>
        <w:pStyle w:val="TableCaption"/>
        <w:keepNext/>
        <w:keepLines/>
        <w:rPr>
          <w:i/>
        </w:rPr>
      </w:pPr>
      <w:bookmarkStart w:id="57" w:name="_Toc508800211"/>
      <w:r w:rsidRPr="006C0719">
        <w:t>Table 2.</w:t>
      </w:r>
      <w:r w:rsidR="00E47BA7">
        <w:t>4</w:t>
      </w:r>
      <w:r w:rsidRPr="006C0719">
        <w:t xml:space="preserve">: </w:t>
      </w:r>
      <w:r w:rsidR="00321E09" w:rsidRPr="006C0719">
        <w:t>B</w:t>
      </w:r>
      <w:r w:rsidRPr="006C0719">
        <w:t>I</w:t>
      </w:r>
      <w:r w:rsidR="00321E09" w:rsidRPr="006C0719">
        <w:t>P Enrollees by Local Capacity Area</w:t>
      </w:r>
      <w:r w:rsidR="00E32794" w:rsidRPr="006C0719">
        <w:t xml:space="preserve">, </w:t>
      </w:r>
      <w:r w:rsidR="00321E09" w:rsidRPr="006C0719">
        <w:rPr>
          <w:i/>
        </w:rPr>
        <w:t>PG&amp;E</w:t>
      </w:r>
      <w:bookmarkEnd w:id="57"/>
    </w:p>
    <w:tbl>
      <w:tblPr>
        <w:tblW w:w="8265" w:type="dxa"/>
        <w:jc w:val="center"/>
        <w:tblLook w:val="04A0" w:firstRow="1" w:lastRow="0" w:firstColumn="1" w:lastColumn="0" w:noHBand="0" w:noVBand="1"/>
      </w:tblPr>
      <w:tblGrid>
        <w:gridCol w:w="3816"/>
        <w:gridCol w:w="1181"/>
        <w:gridCol w:w="1008"/>
        <w:gridCol w:w="1094"/>
        <w:gridCol w:w="1166"/>
      </w:tblGrid>
      <w:tr w:rsidR="009A4596" w:rsidRPr="000E16FE" w14:paraId="2E94AE8F" w14:textId="77777777" w:rsidTr="006B55F6">
        <w:trPr>
          <w:trHeight w:val="508"/>
          <w:jc w:val="center"/>
        </w:trPr>
        <w:tc>
          <w:tcPr>
            <w:tcW w:w="3816" w:type="dxa"/>
            <w:tcBorders>
              <w:top w:val="single" w:sz="4" w:space="0" w:color="auto"/>
              <w:left w:val="single" w:sz="4" w:space="0" w:color="auto"/>
              <w:bottom w:val="nil"/>
              <w:right w:val="single" w:sz="4" w:space="0" w:color="FFFFFF" w:themeColor="background1"/>
            </w:tcBorders>
            <w:shd w:val="clear" w:color="auto" w:fill="0C2577"/>
            <w:vAlign w:val="center"/>
            <w:hideMark/>
          </w:tcPr>
          <w:p w14:paraId="760C505A" w14:textId="77777777" w:rsidR="000E16FE" w:rsidRPr="000E16FE" w:rsidRDefault="000E16FE" w:rsidP="000E16FE">
            <w:pPr>
              <w:jc w:val="center"/>
              <w:rPr>
                <w:rFonts w:ascii="Arial" w:hAnsi="Arial" w:cs="Arial"/>
                <w:b/>
                <w:bCs/>
                <w:color w:val="FFFFFF"/>
                <w:sz w:val="20"/>
                <w:szCs w:val="20"/>
              </w:rPr>
            </w:pPr>
            <w:r w:rsidRPr="000E16FE">
              <w:rPr>
                <w:rFonts w:ascii="Arial" w:hAnsi="Arial" w:cs="Arial"/>
                <w:b/>
                <w:bCs/>
                <w:color w:val="FFFFFF"/>
                <w:sz w:val="20"/>
                <w:szCs w:val="20"/>
              </w:rPr>
              <w:t>Local Capacity Area</w:t>
            </w:r>
          </w:p>
        </w:tc>
        <w:tc>
          <w:tcPr>
            <w:tcW w:w="1181" w:type="dxa"/>
            <w:tcBorders>
              <w:top w:val="single" w:sz="4" w:space="0" w:color="auto"/>
              <w:left w:val="single" w:sz="4" w:space="0" w:color="FFFFFF" w:themeColor="background1"/>
              <w:bottom w:val="nil"/>
              <w:right w:val="single" w:sz="4" w:space="0" w:color="FFFFFF" w:themeColor="background1"/>
            </w:tcBorders>
            <w:shd w:val="clear" w:color="auto" w:fill="0C2577"/>
            <w:vAlign w:val="center"/>
            <w:hideMark/>
          </w:tcPr>
          <w:p w14:paraId="51738B40" w14:textId="4303DA8E" w:rsidR="000E16FE" w:rsidRPr="000E16FE" w:rsidRDefault="000E16FE" w:rsidP="000E16FE">
            <w:pPr>
              <w:jc w:val="center"/>
              <w:rPr>
                <w:rFonts w:ascii="Arial" w:hAnsi="Arial" w:cs="Arial"/>
                <w:b/>
                <w:bCs/>
                <w:color w:val="FFFFFF"/>
                <w:sz w:val="20"/>
                <w:szCs w:val="20"/>
              </w:rPr>
            </w:pPr>
            <w:r w:rsidRPr="000E16FE">
              <w:rPr>
                <w:rFonts w:ascii="Arial" w:hAnsi="Arial" w:cs="Arial"/>
                <w:b/>
                <w:bCs/>
                <w:color w:val="FFFFFF"/>
                <w:sz w:val="20"/>
                <w:szCs w:val="20"/>
              </w:rPr>
              <w:t>Enrolled</w:t>
            </w:r>
          </w:p>
        </w:tc>
        <w:tc>
          <w:tcPr>
            <w:tcW w:w="1008" w:type="dxa"/>
            <w:tcBorders>
              <w:top w:val="single" w:sz="4" w:space="0" w:color="auto"/>
              <w:left w:val="single" w:sz="4" w:space="0" w:color="FFFFFF" w:themeColor="background1"/>
              <w:bottom w:val="nil"/>
              <w:right w:val="single" w:sz="4" w:space="0" w:color="FFFFFF" w:themeColor="background1"/>
            </w:tcBorders>
            <w:shd w:val="clear" w:color="auto" w:fill="0C2577"/>
            <w:vAlign w:val="center"/>
            <w:hideMark/>
          </w:tcPr>
          <w:p w14:paraId="58B1E825" w14:textId="77777777" w:rsidR="000E16FE" w:rsidRPr="000E16FE" w:rsidRDefault="000E16FE" w:rsidP="000E16FE">
            <w:pPr>
              <w:jc w:val="center"/>
              <w:rPr>
                <w:rFonts w:ascii="Arial" w:hAnsi="Arial" w:cs="Arial"/>
                <w:b/>
                <w:bCs/>
                <w:color w:val="FFFFFF"/>
                <w:sz w:val="20"/>
                <w:szCs w:val="20"/>
              </w:rPr>
            </w:pPr>
            <w:r w:rsidRPr="000E16FE">
              <w:rPr>
                <w:rFonts w:ascii="Arial" w:hAnsi="Arial" w:cs="Arial"/>
                <w:b/>
                <w:bCs/>
                <w:color w:val="FFFFFF"/>
                <w:sz w:val="20"/>
                <w:szCs w:val="20"/>
              </w:rPr>
              <w:t>Sum of Max MWh/h</w:t>
            </w:r>
          </w:p>
        </w:tc>
        <w:tc>
          <w:tcPr>
            <w:tcW w:w="1094" w:type="dxa"/>
            <w:tcBorders>
              <w:top w:val="single" w:sz="4" w:space="0" w:color="auto"/>
              <w:left w:val="single" w:sz="4" w:space="0" w:color="FFFFFF" w:themeColor="background1"/>
              <w:bottom w:val="nil"/>
              <w:right w:val="single" w:sz="4" w:space="0" w:color="FFFFFF" w:themeColor="background1"/>
            </w:tcBorders>
            <w:shd w:val="clear" w:color="auto" w:fill="0C2577"/>
            <w:vAlign w:val="center"/>
            <w:hideMark/>
          </w:tcPr>
          <w:p w14:paraId="3C23C1BD" w14:textId="77777777" w:rsidR="000E16FE" w:rsidRPr="000E16FE" w:rsidRDefault="000E16FE" w:rsidP="000E16FE">
            <w:pPr>
              <w:jc w:val="center"/>
              <w:rPr>
                <w:rFonts w:ascii="Arial" w:hAnsi="Arial" w:cs="Arial"/>
                <w:b/>
                <w:bCs/>
                <w:color w:val="FFFFFF"/>
                <w:sz w:val="20"/>
                <w:szCs w:val="20"/>
              </w:rPr>
            </w:pPr>
            <w:r w:rsidRPr="000E16FE">
              <w:rPr>
                <w:rFonts w:ascii="Arial" w:hAnsi="Arial" w:cs="Arial"/>
                <w:b/>
                <w:bCs/>
                <w:color w:val="FFFFFF"/>
                <w:sz w:val="20"/>
                <w:szCs w:val="20"/>
              </w:rPr>
              <w:t>Percent of Max MWh/h</w:t>
            </w:r>
          </w:p>
        </w:tc>
        <w:tc>
          <w:tcPr>
            <w:tcW w:w="1166" w:type="dxa"/>
            <w:tcBorders>
              <w:top w:val="single" w:sz="4" w:space="0" w:color="auto"/>
              <w:left w:val="single" w:sz="4" w:space="0" w:color="FFFFFF" w:themeColor="background1"/>
              <w:bottom w:val="nil"/>
              <w:right w:val="single" w:sz="4" w:space="0" w:color="auto"/>
            </w:tcBorders>
            <w:shd w:val="clear" w:color="auto" w:fill="0C2577"/>
            <w:vAlign w:val="center"/>
            <w:hideMark/>
          </w:tcPr>
          <w:p w14:paraId="42CC3186" w14:textId="77777777" w:rsidR="000E16FE" w:rsidRPr="000E16FE" w:rsidRDefault="000E16FE" w:rsidP="000E16FE">
            <w:pPr>
              <w:jc w:val="center"/>
              <w:rPr>
                <w:rFonts w:ascii="Arial" w:hAnsi="Arial" w:cs="Arial"/>
                <w:b/>
                <w:bCs/>
                <w:color w:val="FFFFFF"/>
                <w:sz w:val="20"/>
                <w:szCs w:val="20"/>
              </w:rPr>
            </w:pPr>
            <w:r w:rsidRPr="000E16FE">
              <w:rPr>
                <w:rFonts w:ascii="Arial" w:hAnsi="Arial" w:cs="Arial"/>
                <w:b/>
                <w:bCs/>
                <w:color w:val="FFFFFF"/>
                <w:sz w:val="20"/>
                <w:szCs w:val="20"/>
              </w:rPr>
              <w:t>Average Max MWh/h</w:t>
            </w:r>
          </w:p>
        </w:tc>
      </w:tr>
      <w:tr w:rsidR="000E16FE" w:rsidRPr="000E16FE" w14:paraId="4BC89904" w14:textId="77777777" w:rsidTr="007357E6">
        <w:trPr>
          <w:trHeight w:val="259"/>
          <w:jc w:val="center"/>
        </w:trPr>
        <w:tc>
          <w:tcPr>
            <w:tcW w:w="3816" w:type="dxa"/>
            <w:tcBorders>
              <w:top w:val="single" w:sz="4" w:space="0" w:color="auto"/>
              <w:left w:val="single" w:sz="4" w:space="0" w:color="auto"/>
              <w:bottom w:val="nil"/>
              <w:right w:val="single" w:sz="4" w:space="0" w:color="auto"/>
            </w:tcBorders>
            <w:shd w:val="clear" w:color="000000" w:fill="FFFFFF"/>
            <w:noWrap/>
            <w:vAlign w:val="center"/>
            <w:hideMark/>
          </w:tcPr>
          <w:p w14:paraId="18F9655D" w14:textId="77777777" w:rsidR="000E16FE" w:rsidRPr="000E16FE" w:rsidRDefault="000E16FE" w:rsidP="000E16FE">
            <w:pPr>
              <w:rPr>
                <w:rFonts w:ascii="Arial" w:hAnsi="Arial" w:cs="Arial"/>
                <w:color w:val="000000"/>
                <w:sz w:val="20"/>
                <w:szCs w:val="20"/>
              </w:rPr>
            </w:pPr>
            <w:r w:rsidRPr="000E16FE">
              <w:rPr>
                <w:rFonts w:ascii="Arial" w:hAnsi="Arial" w:cs="Arial"/>
                <w:color w:val="000000"/>
                <w:sz w:val="20"/>
                <w:szCs w:val="20"/>
              </w:rPr>
              <w:t>Greater Bay Area</w:t>
            </w:r>
          </w:p>
        </w:tc>
        <w:tc>
          <w:tcPr>
            <w:tcW w:w="1181" w:type="dxa"/>
            <w:tcBorders>
              <w:top w:val="single" w:sz="4" w:space="0" w:color="auto"/>
              <w:left w:val="nil"/>
              <w:bottom w:val="nil"/>
              <w:right w:val="single" w:sz="4" w:space="0" w:color="auto"/>
            </w:tcBorders>
            <w:shd w:val="clear" w:color="auto" w:fill="000000" w:themeFill="text1"/>
            <w:vAlign w:val="center"/>
          </w:tcPr>
          <w:p w14:paraId="32B26A37" w14:textId="12ECDFDE" w:rsidR="000E16FE" w:rsidRPr="000E16FE" w:rsidRDefault="000E16FE" w:rsidP="000E16FE">
            <w:pPr>
              <w:jc w:val="right"/>
              <w:rPr>
                <w:rFonts w:ascii="Arial" w:hAnsi="Arial" w:cs="Arial"/>
                <w:color w:val="000000"/>
                <w:sz w:val="20"/>
                <w:szCs w:val="20"/>
              </w:rPr>
            </w:pPr>
          </w:p>
        </w:tc>
        <w:tc>
          <w:tcPr>
            <w:tcW w:w="1008" w:type="dxa"/>
            <w:tcBorders>
              <w:top w:val="single" w:sz="4" w:space="0" w:color="auto"/>
              <w:left w:val="nil"/>
              <w:bottom w:val="nil"/>
              <w:right w:val="single" w:sz="4" w:space="0" w:color="auto"/>
            </w:tcBorders>
            <w:shd w:val="clear" w:color="auto" w:fill="000000" w:themeFill="text1"/>
            <w:vAlign w:val="center"/>
          </w:tcPr>
          <w:p w14:paraId="01A19A20" w14:textId="39C9EF44" w:rsidR="000E16FE" w:rsidRPr="000E16FE" w:rsidRDefault="000E16FE" w:rsidP="000E16FE">
            <w:pPr>
              <w:jc w:val="center"/>
              <w:rPr>
                <w:rFonts w:ascii="Arial" w:hAnsi="Arial" w:cs="Arial"/>
                <w:color w:val="000000"/>
                <w:sz w:val="20"/>
                <w:szCs w:val="20"/>
              </w:rPr>
            </w:pPr>
          </w:p>
        </w:tc>
        <w:tc>
          <w:tcPr>
            <w:tcW w:w="1094" w:type="dxa"/>
            <w:tcBorders>
              <w:top w:val="single" w:sz="4" w:space="0" w:color="auto"/>
              <w:left w:val="nil"/>
              <w:bottom w:val="nil"/>
              <w:right w:val="single" w:sz="4" w:space="0" w:color="auto"/>
            </w:tcBorders>
            <w:shd w:val="clear" w:color="auto" w:fill="000000" w:themeFill="text1"/>
            <w:vAlign w:val="center"/>
          </w:tcPr>
          <w:p w14:paraId="2FA25E72" w14:textId="0D315D03" w:rsidR="000E16FE" w:rsidRPr="000E16FE" w:rsidRDefault="000E16FE" w:rsidP="000E16FE">
            <w:pPr>
              <w:jc w:val="right"/>
              <w:rPr>
                <w:rFonts w:ascii="Arial" w:hAnsi="Arial" w:cs="Arial"/>
                <w:color w:val="000000"/>
                <w:sz w:val="20"/>
                <w:szCs w:val="20"/>
              </w:rPr>
            </w:pPr>
          </w:p>
        </w:tc>
        <w:tc>
          <w:tcPr>
            <w:tcW w:w="1166" w:type="dxa"/>
            <w:tcBorders>
              <w:top w:val="single" w:sz="4" w:space="0" w:color="auto"/>
              <w:left w:val="nil"/>
              <w:bottom w:val="nil"/>
              <w:right w:val="single" w:sz="4" w:space="0" w:color="auto"/>
            </w:tcBorders>
            <w:shd w:val="clear" w:color="auto" w:fill="000000" w:themeFill="text1"/>
            <w:vAlign w:val="center"/>
          </w:tcPr>
          <w:p w14:paraId="030E0453" w14:textId="682C792B" w:rsidR="000E16FE" w:rsidRPr="000E16FE" w:rsidRDefault="000E16FE" w:rsidP="000E16FE">
            <w:pPr>
              <w:jc w:val="center"/>
              <w:rPr>
                <w:rFonts w:ascii="Arial" w:hAnsi="Arial" w:cs="Arial"/>
                <w:color w:val="000000"/>
                <w:sz w:val="20"/>
                <w:szCs w:val="20"/>
              </w:rPr>
            </w:pPr>
          </w:p>
        </w:tc>
      </w:tr>
      <w:tr w:rsidR="000E16FE" w:rsidRPr="000E16FE" w14:paraId="74D3646C" w14:textId="77777777" w:rsidTr="007357E6">
        <w:trPr>
          <w:trHeight w:val="259"/>
          <w:jc w:val="center"/>
        </w:trPr>
        <w:tc>
          <w:tcPr>
            <w:tcW w:w="3816" w:type="dxa"/>
            <w:tcBorders>
              <w:top w:val="nil"/>
              <w:left w:val="single" w:sz="4" w:space="0" w:color="auto"/>
              <w:bottom w:val="nil"/>
              <w:right w:val="single" w:sz="4" w:space="0" w:color="auto"/>
            </w:tcBorders>
            <w:shd w:val="clear" w:color="000000" w:fill="FFFFFF"/>
            <w:noWrap/>
            <w:vAlign w:val="center"/>
            <w:hideMark/>
          </w:tcPr>
          <w:p w14:paraId="69A2FAC5" w14:textId="77777777" w:rsidR="000E16FE" w:rsidRPr="000E16FE" w:rsidRDefault="000E16FE" w:rsidP="000E16FE">
            <w:pPr>
              <w:rPr>
                <w:rFonts w:ascii="Arial" w:hAnsi="Arial" w:cs="Arial"/>
                <w:color w:val="000000"/>
                <w:sz w:val="20"/>
                <w:szCs w:val="20"/>
              </w:rPr>
            </w:pPr>
            <w:r w:rsidRPr="000E16FE">
              <w:rPr>
                <w:rFonts w:ascii="Arial" w:hAnsi="Arial" w:cs="Arial"/>
                <w:color w:val="000000"/>
                <w:sz w:val="20"/>
                <w:szCs w:val="20"/>
              </w:rPr>
              <w:t>Greater Fresno Area</w:t>
            </w:r>
          </w:p>
        </w:tc>
        <w:tc>
          <w:tcPr>
            <w:tcW w:w="1181" w:type="dxa"/>
            <w:tcBorders>
              <w:top w:val="nil"/>
              <w:left w:val="nil"/>
              <w:bottom w:val="nil"/>
              <w:right w:val="single" w:sz="4" w:space="0" w:color="auto"/>
            </w:tcBorders>
            <w:shd w:val="clear" w:color="auto" w:fill="000000" w:themeFill="text1"/>
            <w:vAlign w:val="center"/>
          </w:tcPr>
          <w:p w14:paraId="2C7B353A" w14:textId="2D322EB2" w:rsidR="000E16FE" w:rsidRPr="000E16FE" w:rsidRDefault="000E16FE" w:rsidP="000E16FE">
            <w:pPr>
              <w:jc w:val="right"/>
              <w:rPr>
                <w:rFonts w:ascii="Arial" w:hAnsi="Arial" w:cs="Arial"/>
                <w:color w:val="000000"/>
                <w:sz w:val="20"/>
                <w:szCs w:val="20"/>
              </w:rPr>
            </w:pPr>
          </w:p>
        </w:tc>
        <w:tc>
          <w:tcPr>
            <w:tcW w:w="1008" w:type="dxa"/>
            <w:tcBorders>
              <w:top w:val="nil"/>
              <w:left w:val="nil"/>
              <w:bottom w:val="nil"/>
              <w:right w:val="single" w:sz="4" w:space="0" w:color="auto"/>
            </w:tcBorders>
            <w:shd w:val="clear" w:color="auto" w:fill="000000" w:themeFill="text1"/>
            <w:vAlign w:val="center"/>
          </w:tcPr>
          <w:p w14:paraId="0DB5CDDC" w14:textId="45B0DD9A" w:rsidR="000E16FE" w:rsidRPr="000E16FE" w:rsidRDefault="000E16FE" w:rsidP="000E16FE">
            <w:pPr>
              <w:jc w:val="center"/>
              <w:rPr>
                <w:rFonts w:ascii="Arial" w:hAnsi="Arial" w:cs="Arial"/>
                <w:color w:val="000000"/>
                <w:sz w:val="20"/>
                <w:szCs w:val="20"/>
              </w:rPr>
            </w:pPr>
          </w:p>
        </w:tc>
        <w:tc>
          <w:tcPr>
            <w:tcW w:w="1094" w:type="dxa"/>
            <w:tcBorders>
              <w:top w:val="nil"/>
              <w:left w:val="nil"/>
              <w:bottom w:val="nil"/>
              <w:right w:val="single" w:sz="4" w:space="0" w:color="auto"/>
            </w:tcBorders>
            <w:shd w:val="clear" w:color="auto" w:fill="000000" w:themeFill="text1"/>
            <w:vAlign w:val="center"/>
          </w:tcPr>
          <w:p w14:paraId="12A737F5" w14:textId="6D99F09E" w:rsidR="000E16FE" w:rsidRPr="000E16FE" w:rsidRDefault="000E16FE" w:rsidP="000E16FE">
            <w:pPr>
              <w:jc w:val="right"/>
              <w:rPr>
                <w:rFonts w:ascii="Arial" w:hAnsi="Arial" w:cs="Arial"/>
                <w:color w:val="000000"/>
                <w:sz w:val="20"/>
                <w:szCs w:val="20"/>
              </w:rPr>
            </w:pPr>
          </w:p>
        </w:tc>
        <w:tc>
          <w:tcPr>
            <w:tcW w:w="1166" w:type="dxa"/>
            <w:tcBorders>
              <w:top w:val="nil"/>
              <w:left w:val="nil"/>
              <w:bottom w:val="nil"/>
              <w:right w:val="single" w:sz="4" w:space="0" w:color="auto"/>
            </w:tcBorders>
            <w:shd w:val="clear" w:color="auto" w:fill="000000" w:themeFill="text1"/>
            <w:vAlign w:val="center"/>
          </w:tcPr>
          <w:p w14:paraId="341A6CF9" w14:textId="24550B29" w:rsidR="000E16FE" w:rsidRPr="000E16FE" w:rsidRDefault="000E16FE" w:rsidP="000E16FE">
            <w:pPr>
              <w:jc w:val="center"/>
              <w:rPr>
                <w:rFonts w:ascii="Arial" w:hAnsi="Arial" w:cs="Arial"/>
                <w:color w:val="000000"/>
                <w:sz w:val="20"/>
                <w:szCs w:val="20"/>
              </w:rPr>
            </w:pPr>
          </w:p>
        </w:tc>
      </w:tr>
      <w:tr w:rsidR="000E16FE" w:rsidRPr="000E16FE" w14:paraId="11F82962" w14:textId="77777777" w:rsidTr="007357E6">
        <w:trPr>
          <w:trHeight w:val="259"/>
          <w:jc w:val="center"/>
        </w:trPr>
        <w:tc>
          <w:tcPr>
            <w:tcW w:w="3816" w:type="dxa"/>
            <w:tcBorders>
              <w:top w:val="nil"/>
              <w:left w:val="single" w:sz="4" w:space="0" w:color="auto"/>
              <w:bottom w:val="nil"/>
              <w:right w:val="single" w:sz="4" w:space="0" w:color="auto"/>
            </w:tcBorders>
            <w:shd w:val="clear" w:color="000000" w:fill="FFFFFF"/>
            <w:noWrap/>
            <w:vAlign w:val="center"/>
            <w:hideMark/>
          </w:tcPr>
          <w:p w14:paraId="6CC06683" w14:textId="77777777" w:rsidR="000E16FE" w:rsidRPr="000E16FE" w:rsidRDefault="000E16FE" w:rsidP="000E16FE">
            <w:pPr>
              <w:rPr>
                <w:rFonts w:ascii="Arial" w:hAnsi="Arial" w:cs="Arial"/>
                <w:color w:val="000000"/>
                <w:sz w:val="20"/>
                <w:szCs w:val="20"/>
              </w:rPr>
            </w:pPr>
            <w:r w:rsidRPr="000E16FE">
              <w:rPr>
                <w:rFonts w:ascii="Arial" w:hAnsi="Arial" w:cs="Arial"/>
                <w:color w:val="000000"/>
                <w:sz w:val="20"/>
                <w:szCs w:val="20"/>
              </w:rPr>
              <w:t>Humboldt</w:t>
            </w:r>
          </w:p>
        </w:tc>
        <w:tc>
          <w:tcPr>
            <w:tcW w:w="1181" w:type="dxa"/>
            <w:tcBorders>
              <w:top w:val="nil"/>
              <w:left w:val="nil"/>
              <w:bottom w:val="nil"/>
              <w:right w:val="single" w:sz="4" w:space="0" w:color="auto"/>
            </w:tcBorders>
            <w:shd w:val="clear" w:color="auto" w:fill="000000" w:themeFill="text1"/>
            <w:vAlign w:val="center"/>
          </w:tcPr>
          <w:p w14:paraId="2C29A35B" w14:textId="0425EBD2" w:rsidR="000E16FE" w:rsidRPr="000E16FE" w:rsidRDefault="000E16FE" w:rsidP="000E16FE">
            <w:pPr>
              <w:jc w:val="right"/>
              <w:rPr>
                <w:rFonts w:ascii="Arial" w:hAnsi="Arial" w:cs="Arial"/>
                <w:color w:val="000000"/>
                <w:sz w:val="20"/>
                <w:szCs w:val="20"/>
              </w:rPr>
            </w:pPr>
          </w:p>
        </w:tc>
        <w:tc>
          <w:tcPr>
            <w:tcW w:w="1008" w:type="dxa"/>
            <w:tcBorders>
              <w:top w:val="nil"/>
              <w:left w:val="nil"/>
              <w:bottom w:val="nil"/>
              <w:right w:val="single" w:sz="4" w:space="0" w:color="auto"/>
            </w:tcBorders>
            <w:shd w:val="clear" w:color="auto" w:fill="000000" w:themeFill="text1"/>
            <w:vAlign w:val="center"/>
          </w:tcPr>
          <w:p w14:paraId="546CA5F6" w14:textId="226E7FB4" w:rsidR="000E16FE" w:rsidRPr="000E16FE" w:rsidRDefault="000E16FE" w:rsidP="000E16FE">
            <w:pPr>
              <w:jc w:val="center"/>
              <w:rPr>
                <w:rFonts w:ascii="Arial" w:hAnsi="Arial" w:cs="Arial"/>
                <w:color w:val="000000"/>
                <w:sz w:val="20"/>
                <w:szCs w:val="20"/>
              </w:rPr>
            </w:pPr>
          </w:p>
        </w:tc>
        <w:tc>
          <w:tcPr>
            <w:tcW w:w="1094" w:type="dxa"/>
            <w:tcBorders>
              <w:top w:val="nil"/>
              <w:left w:val="nil"/>
              <w:bottom w:val="nil"/>
              <w:right w:val="single" w:sz="4" w:space="0" w:color="auto"/>
            </w:tcBorders>
            <w:shd w:val="clear" w:color="auto" w:fill="000000" w:themeFill="text1"/>
            <w:vAlign w:val="center"/>
          </w:tcPr>
          <w:p w14:paraId="6727A847" w14:textId="2BF64980" w:rsidR="000E16FE" w:rsidRPr="000E16FE" w:rsidRDefault="000E16FE" w:rsidP="000E16FE">
            <w:pPr>
              <w:jc w:val="right"/>
              <w:rPr>
                <w:rFonts w:ascii="Arial" w:hAnsi="Arial" w:cs="Arial"/>
                <w:color w:val="000000"/>
                <w:sz w:val="20"/>
                <w:szCs w:val="20"/>
              </w:rPr>
            </w:pPr>
          </w:p>
        </w:tc>
        <w:tc>
          <w:tcPr>
            <w:tcW w:w="1166" w:type="dxa"/>
            <w:tcBorders>
              <w:top w:val="nil"/>
              <w:left w:val="nil"/>
              <w:bottom w:val="nil"/>
              <w:right w:val="single" w:sz="4" w:space="0" w:color="auto"/>
            </w:tcBorders>
            <w:shd w:val="clear" w:color="auto" w:fill="000000" w:themeFill="text1"/>
            <w:vAlign w:val="center"/>
          </w:tcPr>
          <w:p w14:paraId="776FAACB" w14:textId="79361CA8" w:rsidR="000E16FE" w:rsidRPr="000E16FE" w:rsidRDefault="000E16FE" w:rsidP="000E16FE">
            <w:pPr>
              <w:jc w:val="center"/>
              <w:rPr>
                <w:rFonts w:ascii="Arial" w:hAnsi="Arial" w:cs="Arial"/>
                <w:color w:val="000000"/>
                <w:sz w:val="20"/>
                <w:szCs w:val="20"/>
              </w:rPr>
            </w:pPr>
          </w:p>
        </w:tc>
      </w:tr>
      <w:tr w:rsidR="000E16FE" w:rsidRPr="000E16FE" w14:paraId="475DBBAA" w14:textId="77777777" w:rsidTr="007357E6">
        <w:trPr>
          <w:trHeight w:val="259"/>
          <w:jc w:val="center"/>
        </w:trPr>
        <w:tc>
          <w:tcPr>
            <w:tcW w:w="3816" w:type="dxa"/>
            <w:tcBorders>
              <w:top w:val="nil"/>
              <w:left w:val="single" w:sz="4" w:space="0" w:color="auto"/>
              <w:bottom w:val="nil"/>
              <w:right w:val="single" w:sz="4" w:space="0" w:color="auto"/>
            </w:tcBorders>
            <w:shd w:val="clear" w:color="000000" w:fill="FFFFFF"/>
            <w:noWrap/>
            <w:vAlign w:val="center"/>
            <w:hideMark/>
          </w:tcPr>
          <w:p w14:paraId="78583CFC" w14:textId="77777777" w:rsidR="000E16FE" w:rsidRPr="000E16FE" w:rsidRDefault="000E16FE" w:rsidP="000E16FE">
            <w:pPr>
              <w:rPr>
                <w:rFonts w:ascii="Arial" w:hAnsi="Arial" w:cs="Arial"/>
                <w:color w:val="000000"/>
                <w:sz w:val="20"/>
                <w:szCs w:val="20"/>
              </w:rPr>
            </w:pPr>
            <w:r w:rsidRPr="000E16FE">
              <w:rPr>
                <w:rFonts w:ascii="Arial" w:hAnsi="Arial" w:cs="Arial"/>
                <w:color w:val="000000"/>
                <w:sz w:val="20"/>
                <w:szCs w:val="20"/>
              </w:rPr>
              <w:t>Kern</w:t>
            </w:r>
          </w:p>
        </w:tc>
        <w:tc>
          <w:tcPr>
            <w:tcW w:w="1181" w:type="dxa"/>
            <w:tcBorders>
              <w:top w:val="nil"/>
              <w:left w:val="nil"/>
              <w:bottom w:val="nil"/>
              <w:right w:val="single" w:sz="4" w:space="0" w:color="auto"/>
            </w:tcBorders>
            <w:shd w:val="clear" w:color="auto" w:fill="000000" w:themeFill="text1"/>
            <w:vAlign w:val="center"/>
          </w:tcPr>
          <w:p w14:paraId="6C288C13" w14:textId="1CEF2194" w:rsidR="000E16FE" w:rsidRPr="000E16FE" w:rsidRDefault="000E16FE" w:rsidP="000E16FE">
            <w:pPr>
              <w:jc w:val="right"/>
              <w:rPr>
                <w:rFonts w:ascii="Arial" w:hAnsi="Arial" w:cs="Arial"/>
                <w:color w:val="000000"/>
                <w:sz w:val="20"/>
                <w:szCs w:val="20"/>
              </w:rPr>
            </w:pPr>
          </w:p>
        </w:tc>
        <w:tc>
          <w:tcPr>
            <w:tcW w:w="1008" w:type="dxa"/>
            <w:tcBorders>
              <w:top w:val="nil"/>
              <w:left w:val="nil"/>
              <w:bottom w:val="nil"/>
              <w:right w:val="single" w:sz="4" w:space="0" w:color="auto"/>
            </w:tcBorders>
            <w:shd w:val="clear" w:color="auto" w:fill="000000" w:themeFill="text1"/>
            <w:vAlign w:val="center"/>
          </w:tcPr>
          <w:p w14:paraId="6A92B0E8" w14:textId="7F7A9690" w:rsidR="000E16FE" w:rsidRPr="000E16FE" w:rsidRDefault="000E16FE" w:rsidP="000E16FE">
            <w:pPr>
              <w:jc w:val="center"/>
              <w:rPr>
                <w:rFonts w:ascii="Arial" w:hAnsi="Arial" w:cs="Arial"/>
                <w:color w:val="000000"/>
                <w:sz w:val="20"/>
                <w:szCs w:val="20"/>
              </w:rPr>
            </w:pPr>
          </w:p>
        </w:tc>
        <w:tc>
          <w:tcPr>
            <w:tcW w:w="1094" w:type="dxa"/>
            <w:tcBorders>
              <w:top w:val="nil"/>
              <w:left w:val="nil"/>
              <w:bottom w:val="nil"/>
              <w:right w:val="single" w:sz="4" w:space="0" w:color="auto"/>
            </w:tcBorders>
            <w:shd w:val="clear" w:color="auto" w:fill="000000" w:themeFill="text1"/>
            <w:vAlign w:val="center"/>
          </w:tcPr>
          <w:p w14:paraId="1899A5CD" w14:textId="1B35F166" w:rsidR="000E16FE" w:rsidRPr="000E16FE" w:rsidRDefault="000E16FE" w:rsidP="000E16FE">
            <w:pPr>
              <w:jc w:val="right"/>
              <w:rPr>
                <w:rFonts w:ascii="Arial" w:hAnsi="Arial" w:cs="Arial"/>
                <w:color w:val="000000"/>
                <w:sz w:val="20"/>
                <w:szCs w:val="20"/>
              </w:rPr>
            </w:pPr>
          </w:p>
        </w:tc>
        <w:tc>
          <w:tcPr>
            <w:tcW w:w="1166" w:type="dxa"/>
            <w:tcBorders>
              <w:top w:val="nil"/>
              <w:left w:val="nil"/>
              <w:bottom w:val="nil"/>
              <w:right w:val="single" w:sz="4" w:space="0" w:color="auto"/>
            </w:tcBorders>
            <w:shd w:val="clear" w:color="auto" w:fill="000000" w:themeFill="text1"/>
            <w:vAlign w:val="center"/>
          </w:tcPr>
          <w:p w14:paraId="597A6411" w14:textId="3DD47915" w:rsidR="000E16FE" w:rsidRPr="000E16FE" w:rsidRDefault="000E16FE" w:rsidP="000E16FE">
            <w:pPr>
              <w:jc w:val="center"/>
              <w:rPr>
                <w:rFonts w:ascii="Arial" w:hAnsi="Arial" w:cs="Arial"/>
                <w:color w:val="000000"/>
                <w:sz w:val="20"/>
                <w:szCs w:val="20"/>
              </w:rPr>
            </w:pPr>
          </w:p>
        </w:tc>
      </w:tr>
      <w:tr w:rsidR="000E16FE" w:rsidRPr="000E16FE" w14:paraId="3646463D" w14:textId="77777777" w:rsidTr="007357E6">
        <w:trPr>
          <w:trHeight w:val="259"/>
          <w:jc w:val="center"/>
        </w:trPr>
        <w:tc>
          <w:tcPr>
            <w:tcW w:w="3816" w:type="dxa"/>
            <w:tcBorders>
              <w:top w:val="nil"/>
              <w:left w:val="single" w:sz="4" w:space="0" w:color="auto"/>
              <w:bottom w:val="nil"/>
              <w:right w:val="single" w:sz="4" w:space="0" w:color="auto"/>
            </w:tcBorders>
            <w:shd w:val="clear" w:color="000000" w:fill="FFFFFF"/>
            <w:noWrap/>
            <w:vAlign w:val="center"/>
            <w:hideMark/>
          </w:tcPr>
          <w:p w14:paraId="71F53A47" w14:textId="77777777" w:rsidR="000E16FE" w:rsidRPr="000E16FE" w:rsidRDefault="000E16FE" w:rsidP="000E16FE">
            <w:pPr>
              <w:rPr>
                <w:rFonts w:ascii="Arial" w:hAnsi="Arial" w:cs="Arial"/>
                <w:color w:val="000000"/>
                <w:sz w:val="20"/>
                <w:szCs w:val="20"/>
              </w:rPr>
            </w:pPr>
            <w:r w:rsidRPr="000E16FE">
              <w:rPr>
                <w:rFonts w:ascii="Arial" w:hAnsi="Arial" w:cs="Arial"/>
                <w:color w:val="000000"/>
                <w:sz w:val="20"/>
                <w:szCs w:val="20"/>
              </w:rPr>
              <w:t>North Coast / North Bay</w:t>
            </w:r>
          </w:p>
        </w:tc>
        <w:tc>
          <w:tcPr>
            <w:tcW w:w="1181" w:type="dxa"/>
            <w:tcBorders>
              <w:top w:val="nil"/>
              <w:left w:val="nil"/>
              <w:bottom w:val="nil"/>
              <w:right w:val="single" w:sz="4" w:space="0" w:color="auto"/>
            </w:tcBorders>
            <w:shd w:val="clear" w:color="auto" w:fill="000000" w:themeFill="text1"/>
            <w:vAlign w:val="center"/>
          </w:tcPr>
          <w:p w14:paraId="67C9A79B" w14:textId="16BEA1A2" w:rsidR="000E16FE" w:rsidRPr="000E16FE" w:rsidRDefault="000E16FE" w:rsidP="000E16FE">
            <w:pPr>
              <w:jc w:val="right"/>
              <w:rPr>
                <w:rFonts w:ascii="Arial" w:hAnsi="Arial" w:cs="Arial"/>
                <w:color w:val="000000"/>
                <w:sz w:val="20"/>
                <w:szCs w:val="20"/>
              </w:rPr>
            </w:pPr>
          </w:p>
        </w:tc>
        <w:tc>
          <w:tcPr>
            <w:tcW w:w="1008" w:type="dxa"/>
            <w:tcBorders>
              <w:top w:val="nil"/>
              <w:left w:val="nil"/>
              <w:bottom w:val="nil"/>
              <w:right w:val="single" w:sz="4" w:space="0" w:color="auto"/>
            </w:tcBorders>
            <w:shd w:val="clear" w:color="auto" w:fill="000000" w:themeFill="text1"/>
            <w:vAlign w:val="center"/>
          </w:tcPr>
          <w:p w14:paraId="3E2FE237" w14:textId="3706B0EF" w:rsidR="000E16FE" w:rsidRPr="000E16FE" w:rsidRDefault="000E16FE" w:rsidP="000E16FE">
            <w:pPr>
              <w:jc w:val="center"/>
              <w:rPr>
                <w:rFonts w:ascii="Arial" w:hAnsi="Arial" w:cs="Arial"/>
                <w:color w:val="000000"/>
                <w:sz w:val="20"/>
                <w:szCs w:val="20"/>
              </w:rPr>
            </w:pPr>
          </w:p>
        </w:tc>
        <w:tc>
          <w:tcPr>
            <w:tcW w:w="1094" w:type="dxa"/>
            <w:tcBorders>
              <w:top w:val="nil"/>
              <w:left w:val="nil"/>
              <w:bottom w:val="nil"/>
              <w:right w:val="single" w:sz="4" w:space="0" w:color="auto"/>
            </w:tcBorders>
            <w:shd w:val="clear" w:color="auto" w:fill="000000" w:themeFill="text1"/>
            <w:vAlign w:val="center"/>
          </w:tcPr>
          <w:p w14:paraId="4E0629F4" w14:textId="07FAAE8B" w:rsidR="000E16FE" w:rsidRPr="000E16FE" w:rsidRDefault="000E16FE" w:rsidP="000E16FE">
            <w:pPr>
              <w:jc w:val="right"/>
              <w:rPr>
                <w:rFonts w:ascii="Arial" w:hAnsi="Arial" w:cs="Arial"/>
                <w:color w:val="000000"/>
                <w:sz w:val="20"/>
                <w:szCs w:val="20"/>
              </w:rPr>
            </w:pPr>
          </w:p>
        </w:tc>
        <w:tc>
          <w:tcPr>
            <w:tcW w:w="1166" w:type="dxa"/>
            <w:tcBorders>
              <w:top w:val="nil"/>
              <w:left w:val="nil"/>
              <w:bottom w:val="nil"/>
              <w:right w:val="single" w:sz="4" w:space="0" w:color="auto"/>
            </w:tcBorders>
            <w:shd w:val="clear" w:color="auto" w:fill="000000" w:themeFill="text1"/>
            <w:vAlign w:val="center"/>
          </w:tcPr>
          <w:p w14:paraId="5D84448A" w14:textId="1CE7E9A2" w:rsidR="000E16FE" w:rsidRPr="000E16FE" w:rsidRDefault="000E16FE" w:rsidP="000E16FE">
            <w:pPr>
              <w:jc w:val="center"/>
              <w:rPr>
                <w:rFonts w:ascii="Arial" w:hAnsi="Arial" w:cs="Arial"/>
                <w:color w:val="000000"/>
                <w:sz w:val="20"/>
                <w:szCs w:val="20"/>
              </w:rPr>
            </w:pPr>
          </w:p>
        </w:tc>
      </w:tr>
      <w:tr w:rsidR="000E16FE" w:rsidRPr="000E16FE" w14:paraId="6A27729C" w14:textId="77777777" w:rsidTr="00D95593">
        <w:trPr>
          <w:trHeight w:val="259"/>
          <w:jc w:val="center"/>
        </w:trPr>
        <w:tc>
          <w:tcPr>
            <w:tcW w:w="3816" w:type="dxa"/>
            <w:tcBorders>
              <w:top w:val="nil"/>
              <w:left w:val="single" w:sz="4" w:space="0" w:color="auto"/>
              <w:bottom w:val="nil"/>
              <w:right w:val="single" w:sz="4" w:space="0" w:color="auto"/>
            </w:tcBorders>
            <w:shd w:val="clear" w:color="000000" w:fill="FFFFFF"/>
            <w:noWrap/>
            <w:vAlign w:val="center"/>
            <w:hideMark/>
          </w:tcPr>
          <w:p w14:paraId="41015F69" w14:textId="77777777" w:rsidR="000E16FE" w:rsidRPr="000E16FE" w:rsidRDefault="000E16FE" w:rsidP="000E16FE">
            <w:pPr>
              <w:rPr>
                <w:rFonts w:ascii="Arial" w:hAnsi="Arial" w:cs="Arial"/>
                <w:color w:val="000000"/>
                <w:sz w:val="20"/>
                <w:szCs w:val="20"/>
              </w:rPr>
            </w:pPr>
            <w:r w:rsidRPr="000E16FE">
              <w:rPr>
                <w:rFonts w:ascii="Arial" w:hAnsi="Arial" w:cs="Arial"/>
                <w:color w:val="000000"/>
                <w:sz w:val="20"/>
                <w:szCs w:val="20"/>
              </w:rPr>
              <w:t>Other (blank)</w:t>
            </w:r>
          </w:p>
        </w:tc>
        <w:tc>
          <w:tcPr>
            <w:tcW w:w="1181" w:type="dxa"/>
            <w:tcBorders>
              <w:top w:val="nil"/>
              <w:left w:val="nil"/>
              <w:bottom w:val="nil"/>
              <w:right w:val="single" w:sz="4" w:space="0" w:color="auto"/>
            </w:tcBorders>
            <w:shd w:val="clear" w:color="000000" w:fill="FFFFFF"/>
            <w:vAlign w:val="center"/>
            <w:hideMark/>
          </w:tcPr>
          <w:p w14:paraId="6CB62365" w14:textId="38975AA9" w:rsidR="000E16FE" w:rsidRPr="000E16FE" w:rsidRDefault="000E16FE" w:rsidP="000E16FE">
            <w:pPr>
              <w:jc w:val="right"/>
              <w:rPr>
                <w:rFonts w:ascii="Arial" w:hAnsi="Arial" w:cs="Arial"/>
                <w:color w:val="000000"/>
                <w:sz w:val="20"/>
                <w:szCs w:val="20"/>
              </w:rPr>
            </w:pPr>
            <w:r w:rsidRPr="000E16FE">
              <w:rPr>
                <w:rFonts w:ascii="Arial" w:hAnsi="Arial" w:cs="Arial"/>
                <w:color w:val="000000"/>
                <w:sz w:val="20"/>
                <w:szCs w:val="20"/>
              </w:rPr>
              <w:t>109</w:t>
            </w:r>
          </w:p>
        </w:tc>
        <w:tc>
          <w:tcPr>
            <w:tcW w:w="1008" w:type="dxa"/>
            <w:tcBorders>
              <w:top w:val="nil"/>
              <w:left w:val="nil"/>
              <w:bottom w:val="nil"/>
              <w:right w:val="single" w:sz="4" w:space="0" w:color="auto"/>
            </w:tcBorders>
            <w:shd w:val="clear" w:color="000000" w:fill="FFFFFF"/>
            <w:vAlign w:val="center"/>
            <w:hideMark/>
          </w:tcPr>
          <w:p w14:paraId="2278DB3F" w14:textId="77777777" w:rsidR="000E16FE" w:rsidRPr="000E16FE" w:rsidRDefault="000E16FE" w:rsidP="000E16FE">
            <w:pPr>
              <w:jc w:val="center"/>
              <w:rPr>
                <w:rFonts w:ascii="Arial" w:hAnsi="Arial" w:cs="Arial"/>
                <w:color w:val="000000"/>
                <w:sz w:val="20"/>
                <w:szCs w:val="20"/>
              </w:rPr>
            </w:pPr>
            <w:r w:rsidRPr="000E16FE">
              <w:rPr>
                <w:rFonts w:ascii="Arial" w:hAnsi="Arial" w:cs="Arial"/>
                <w:color w:val="000000"/>
                <w:sz w:val="20"/>
                <w:szCs w:val="20"/>
              </w:rPr>
              <w:t xml:space="preserve">     107.9 </w:t>
            </w:r>
          </w:p>
        </w:tc>
        <w:tc>
          <w:tcPr>
            <w:tcW w:w="1094" w:type="dxa"/>
            <w:tcBorders>
              <w:top w:val="nil"/>
              <w:left w:val="nil"/>
              <w:bottom w:val="nil"/>
              <w:right w:val="single" w:sz="4" w:space="0" w:color="auto"/>
            </w:tcBorders>
            <w:shd w:val="clear" w:color="000000" w:fill="FFFFFF"/>
            <w:vAlign w:val="center"/>
            <w:hideMark/>
          </w:tcPr>
          <w:p w14:paraId="117FB59D" w14:textId="77777777" w:rsidR="000E16FE" w:rsidRPr="000E16FE" w:rsidRDefault="000E16FE" w:rsidP="000E16FE">
            <w:pPr>
              <w:jc w:val="right"/>
              <w:rPr>
                <w:rFonts w:ascii="Arial" w:hAnsi="Arial" w:cs="Arial"/>
                <w:color w:val="000000"/>
                <w:sz w:val="20"/>
                <w:szCs w:val="20"/>
              </w:rPr>
            </w:pPr>
            <w:r w:rsidRPr="000E16FE">
              <w:rPr>
                <w:rFonts w:ascii="Arial" w:hAnsi="Arial" w:cs="Arial"/>
                <w:color w:val="000000"/>
                <w:sz w:val="20"/>
                <w:szCs w:val="20"/>
              </w:rPr>
              <w:t>29.5%</w:t>
            </w:r>
          </w:p>
        </w:tc>
        <w:tc>
          <w:tcPr>
            <w:tcW w:w="1166" w:type="dxa"/>
            <w:tcBorders>
              <w:top w:val="nil"/>
              <w:left w:val="nil"/>
              <w:bottom w:val="nil"/>
              <w:right w:val="single" w:sz="4" w:space="0" w:color="auto"/>
            </w:tcBorders>
            <w:shd w:val="clear" w:color="000000" w:fill="FFFFFF"/>
            <w:vAlign w:val="center"/>
            <w:hideMark/>
          </w:tcPr>
          <w:p w14:paraId="6B670493" w14:textId="77777777" w:rsidR="000E16FE" w:rsidRPr="000E16FE" w:rsidRDefault="000E16FE" w:rsidP="000E16FE">
            <w:pPr>
              <w:jc w:val="center"/>
              <w:rPr>
                <w:rFonts w:ascii="Arial" w:hAnsi="Arial" w:cs="Arial"/>
                <w:color w:val="000000"/>
                <w:sz w:val="20"/>
                <w:szCs w:val="20"/>
              </w:rPr>
            </w:pPr>
            <w:r w:rsidRPr="000E16FE">
              <w:rPr>
                <w:rFonts w:ascii="Arial" w:hAnsi="Arial" w:cs="Arial"/>
                <w:color w:val="000000"/>
                <w:sz w:val="20"/>
                <w:szCs w:val="20"/>
              </w:rPr>
              <w:t xml:space="preserve">       0.99 </w:t>
            </w:r>
          </w:p>
        </w:tc>
      </w:tr>
      <w:tr w:rsidR="000E16FE" w:rsidRPr="000E16FE" w14:paraId="704F3AC0" w14:textId="77777777" w:rsidTr="00424EEE">
        <w:trPr>
          <w:trHeight w:val="259"/>
          <w:jc w:val="center"/>
        </w:trPr>
        <w:tc>
          <w:tcPr>
            <w:tcW w:w="3816" w:type="dxa"/>
            <w:tcBorders>
              <w:top w:val="nil"/>
              <w:left w:val="single" w:sz="4" w:space="0" w:color="auto"/>
              <w:bottom w:val="nil"/>
              <w:right w:val="single" w:sz="4" w:space="0" w:color="auto"/>
            </w:tcBorders>
            <w:shd w:val="clear" w:color="000000" w:fill="FFFFFF"/>
            <w:noWrap/>
            <w:vAlign w:val="center"/>
            <w:hideMark/>
          </w:tcPr>
          <w:p w14:paraId="0664CA94" w14:textId="77777777" w:rsidR="000E16FE" w:rsidRPr="000E16FE" w:rsidRDefault="000E16FE" w:rsidP="000E16FE">
            <w:pPr>
              <w:rPr>
                <w:rFonts w:ascii="Arial" w:hAnsi="Arial" w:cs="Arial"/>
                <w:color w:val="000000"/>
                <w:sz w:val="20"/>
                <w:szCs w:val="20"/>
              </w:rPr>
            </w:pPr>
            <w:r w:rsidRPr="000E16FE">
              <w:rPr>
                <w:rFonts w:ascii="Arial" w:hAnsi="Arial" w:cs="Arial"/>
                <w:color w:val="000000"/>
                <w:sz w:val="20"/>
                <w:szCs w:val="20"/>
              </w:rPr>
              <w:t>Sierra</w:t>
            </w:r>
          </w:p>
        </w:tc>
        <w:tc>
          <w:tcPr>
            <w:tcW w:w="1181" w:type="dxa"/>
            <w:tcBorders>
              <w:top w:val="nil"/>
              <w:left w:val="nil"/>
              <w:bottom w:val="nil"/>
              <w:right w:val="single" w:sz="4" w:space="0" w:color="auto"/>
            </w:tcBorders>
            <w:shd w:val="clear" w:color="auto" w:fill="auto"/>
            <w:vAlign w:val="center"/>
            <w:hideMark/>
          </w:tcPr>
          <w:p w14:paraId="63BC4590" w14:textId="3D2740B1" w:rsidR="000E16FE" w:rsidRPr="000E16FE" w:rsidRDefault="000E16FE" w:rsidP="000E16FE">
            <w:pPr>
              <w:jc w:val="right"/>
              <w:rPr>
                <w:rFonts w:ascii="Arial" w:hAnsi="Arial" w:cs="Arial"/>
                <w:color w:val="000000"/>
                <w:sz w:val="20"/>
                <w:szCs w:val="20"/>
              </w:rPr>
            </w:pPr>
            <w:r w:rsidRPr="000E16FE">
              <w:rPr>
                <w:rFonts w:ascii="Arial" w:hAnsi="Arial" w:cs="Arial"/>
                <w:color w:val="000000"/>
                <w:sz w:val="20"/>
                <w:szCs w:val="20"/>
              </w:rPr>
              <w:t>20</w:t>
            </w:r>
          </w:p>
        </w:tc>
        <w:tc>
          <w:tcPr>
            <w:tcW w:w="1008" w:type="dxa"/>
            <w:tcBorders>
              <w:top w:val="nil"/>
              <w:left w:val="nil"/>
              <w:bottom w:val="nil"/>
              <w:right w:val="single" w:sz="4" w:space="0" w:color="auto"/>
            </w:tcBorders>
            <w:shd w:val="clear" w:color="auto" w:fill="auto"/>
            <w:vAlign w:val="center"/>
            <w:hideMark/>
          </w:tcPr>
          <w:p w14:paraId="48C58F30" w14:textId="77777777" w:rsidR="000E16FE" w:rsidRPr="000E16FE" w:rsidRDefault="000E16FE" w:rsidP="000E16FE">
            <w:pPr>
              <w:jc w:val="center"/>
              <w:rPr>
                <w:rFonts w:ascii="Arial" w:hAnsi="Arial" w:cs="Arial"/>
                <w:color w:val="000000"/>
                <w:sz w:val="20"/>
                <w:szCs w:val="20"/>
              </w:rPr>
            </w:pPr>
            <w:r w:rsidRPr="000E16FE">
              <w:rPr>
                <w:rFonts w:ascii="Arial" w:hAnsi="Arial" w:cs="Arial"/>
                <w:color w:val="000000"/>
                <w:sz w:val="20"/>
                <w:szCs w:val="20"/>
              </w:rPr>
              <w:t xml:space="preserve">       18.5 </w:t>
            </w:r>
          </w:p>
        </w:tc>
        <w:tc>
          <w:tcPr>
            <w:tcW w:w="1094" w:type="dxa"/>
            <w:tcBorders>
              <w:top w:val="nil"/>
              <w:left w:val="nil"/>
              <w:bottom w:val="nil"/>
              <w:right w:val="single" w:sz="4" w:space="0" w:color="auto"/>
            </w:tcBorders>
            <w:shd w:val="clear" w:color="auto" w:fill="auto"/>
            <w:vAlign w:val="center"/>
            <w:hideMark/>
          </w:tcPr>
          <w:p w14:paraId="5E12F12A" w14:textId="77777777" w:rsidR="000E16FE" w:rsidRPr="000E16FE" w:rsidRDefault="000E16FE" w:rsidP="000E16FE">
            <w:pPr>
              <w:jc w:val="right"/>
              <w:rPr>
                <w:rFonts w:ascii="Arial" w:hAnsi="Arial" w:cs="Arial"/>
                <w:color w:val="000000"/>
                <w:sz w:val="20"/>
                <w:szCs w:val="20"/>
              </w:rPr>
            </w:pPr>
            <w:r w:rsidRPr="000E16FE">
              <w:rPr>
                <w:rFonts w:ascii="Arial" w:hAnsi="Arial" w:cs="Arial"/>
                <w:color w:val="000000"/>
                <w:sz w:val="20"/>
                <w:szCs w:val="20"/>
              </w:rPr>
              <w:t>5.0%</w:t>
            </w:r>
          </w:p>
        </w:tc>
        <w:tc>
          <w:tcPr>
            <w:tcW w:w="1166" w:type="dxa"/>
            <w:tcBorders>
              <w:top w:val="nil"/>
              <w:left w:val="nil"/>
              <w:bottom w:val="nil"/>
              <w:right w:val="single" w:sz="4" w:space="0" w:color="auto"/>
            </w:tcBorders>
            <w:shd w:val="clear" w:color="auto" w:fill="auto"/>
            <w:vAlign w:val="center"/>
            <w:hideMark/>
          </w:tcPr>
          <w:p w14:paraId="17BAB21A" w14:textId="77777777" w:rsidR="000E16FE" w:rsidRPr="000E16FE" w:rsidRDefault="000E16FE" w:rsidP="000E16FE">
            <w:pPr>
              <w:jc w:val="center"/>
              <w:rPr>
                <w:rFonts w:ascii="Arial" w:hAnsi="Arial" w:cs="Arial"/>
                <w:color w:val="000000"/>
                <w:sz w:val="20"/>
                <w:szCs w:val="20"/>
              </w:rPr>
            </w:pPr>
            <w:r w:rsidRPr="000E16FE">
              <w:rPr>
                <w:rFonts w:ascii="Arial" w:hAnsi="Arial" w:cs="Arial"/>
                <w:color w:val="000000"/>
                <w:sz w:val="20"/>
                <w:szCs w:val="20"/>
              </w:rPr>
              <w:t xml:space="preserve">       0.92 </w:t>
            </w:r>
          </w:p>
        </w:tc>
      </w:tr>
      <w:tr w:rsidR="000E16FE" w:rsidRPr="000E16FE" w14:paraId="7D5757D2" w14:textId="77777777" w:rsidTr="00424EEE">
        <w:trPr>
          <w:trHeight w:val="259"/>
          <w:jc w:val="center"/>
        </w:trPr>
        <w:tc>
          <w:tcPr>
            <w:tcW w:w="3816" w:type="dxa"/>
            <w:tcBorders>
              <w:top w:val="nil"/>
              <w:left w:val="single" w:sz="4" w:space="0" w:color="auto"/>
              <w:bottom w:val="nil"/>
              <w:right w:val="single" w:sz="4" w:space="0" w:color="auto"/>
            </w:tcBorders>
            <w:shd w:val="clear" w:color="000000" w:fill="FFFFFF"/>
            <w:noWrap/>
            <w:vAlign w:val="center"/>
            <w:hideMark/>
          </w:tcPr>
          <w:p w14:paraId="2A8DD781" w14:textId="77777777" w:rsidR="000E16FE" w:rsidRPr="000E16FE" w:rsidRDefault="000E16FE" w:rsidP="000E16FE">
            <w:pPr>
              <w:rPr>
                <w:rFonts w:ascii="Arial" w:hAnsi="Arial" w:cs="Arial"/>
                <w:color w:val="000000"/>
                <w:sz w:val="20"/>
                <w:szCs w:val="20"/>
              </w:rPr>
            </w:pPr>
            <w:r w:rsidRPr="000E16FE">
              <w:rPr>
                <w:rFonts w:ascii="Arial" w:hAnsi="Arial" w:cs="Arial"/>
                <w:color w:val="000000"/>
                <w:sz w:val="20"/>
                <w:szCs w:val="20"/>
              </w:rPr>
              <w:t>Stockton</w:t>
            </w:r>
          </w:p>
        </w:tc>
        <w:tc>
          <w:tcPr>
            <w:tcW w:w="1181" w:type="dxa"/>
            <w:tcBorders>
              <w:top w:val="nil"/>
              <w:left w:val="nil"/>
              <w:bottom w:val="nil"/>
              <w:right w:val="single" w:sz="4" w:space="0" w:color="auto"/>
            </w:tcBorders>
            <w:shd w:val="clear" w:color="auto" w:fill="auto"/>
            <w:vAlign w:val="center"/>
            <w:hideMark/>
          </w:tcPr>
          <w:p w14:paraId="1E913E2A" w14:textId="77777777" w:rsidR="000E16FE" w:rsidRPr="000E16FE" w:rsidRDefault="000E16FE" w:rsidP="000E16FE">
            <w:pPr>
              <w:jc w:val="right"/>
              <w:rPr>
                <w:rFonts w:ascii="Arial" w:hAnsi="Arial" w:cs="Arial"/>
                <w:color w:val="000000"/>
                <w:sz w:val="20"/>
                <w:szCs w:val="20"/>
              </w:rPr>
            </w:pPr>
            <w:r w:rsidRPr="000E16FE">
              <w:rPr>
                <w:rFonts w:ascii="Arial" w:hAnsi="Arial" w:cs="Arial"/>
                <w:color w:val="000000"/>
                <w:sz w:val="20"/>
                <w:szCs w:val="20"/>
              </w:rPr>
              <w:t>23</w:t>
            </w:r>
          </w:p>
        </w:tc>
        <w:tc>
          <w:tcPr>
            <w:tcW w:w="1008" w:type="dxa"/>
            <w:tcBorders>
              <w:top w:val="nil"/>
              <w:left w:val="nil"/>
              <w:bottom w:val="nil"/>
              <w:right w:val="single" w:sz="4" w:space="0" w:color="auto"/>
            </w:tcBorders>
            <w:shd w:val="clear" w:color="auto" w:fill="auto"/>
            <w:vAlign w:val="center"/>
            <w:hideMark/>
          </w:tcPr>
          <w:p w14:paraId="450AA3FB" w14:textId="77777777" w:rsidR="000E16FE" w:rsidRPr="000E16FE" w:rsidRDefault="000E16FE" w:rsidP="000E16FE">
            <w:pPr>
              <w:jc w:val="center"/>
              <w:rPr>
                <w:rFonts w:ascii="Arial" w:hAnsi="Arial" w:cs="Arial"/>
                <w:color w:val="000000"/>
                <w:sz w:val="20"/>
                <w:szCs w:val="20"/>
              </w:rPr>
            </w:pPr>
            <w:r w:rsidRPr="000E16FE">
              <w:rPr>
                <w:rFonts w:ascii="Arial" w:hAnsi="Arial" w:cs="Arial"/>
                <w:color w:val="000000"/>
                <w:sz w:val="20"/>
                <w:szCs w:val="20"/>
              </w:rPr>
              <w:t xml:space="preserve">       30.1 </w:t>
            </w:r>
          </w:p>
        </w:tc>
        <w:tc>
          <w:tcPr>
            <w:tcW w:w="1094" w:type="dxa"/>
            <w:tcBorders>
              <w:top w:val="nil"/>
              <w:left w:val="nil"/>
              <w:bottom w:val="nil"/>
              <w:right w:val="single" w:sz="4" w:space="0" w:color="auto"/>
            </w:tcBorders>
            <w:shd w:val="clear" w:color="auto" w:fill="auto"/>
            <w:vAlign w:val="center"/>
            <w:hideMark/>
          </w:tcPr>
          <w:p w14:paraId="44419C0A" w14:textId="77777777" w:rsidR="000E16FE" w:rsidRPr="000E16FE" w:rsidRDefault="000E16FE" w:rsidP="000E16FE">
            <w:pPr>
              <w:jc w:val="right"/>
              <w:rPr>
                <w:rFonts w:ascii="Arial" w:hAnsi="Arial" w:cs="Arial"/>
                <w:color w:val="000000"/>
                <w:sz w:val="20"/>
                <w:szCs w:val="20"/>
              </w:rPr>
            </w:pPr>
            <w:r w:rsidRPr="000E16FE">
              <w:rPr>
                <w:rFonts w:ascii="Arial" w:hAnsi="Arial" w:cs="Arial"/>
                <w:color w:val="000000"/>
                <w:sz w:val="20"/>
                <w:szCs w:val="20"/>
              </w:rPr>
              <w:t>8.2%</w:t>
            </w:r>
          </w:p>
        </w:tc>
        <w:tc>
          <w:tcPr>
            <w:tcW w:w="1166" w:type="dxa"/>
            <w:tcBorders>
              <w:top w:val="nil"/>
              <w:left w:val="nil"/>
              <w:bottom w:val="nil"/>
              <w:right w:val="single" w:sz="4" w:space="0" w:color="auto"/>
            </w:tcBorders>
            <w:shd w:val="clear" w:color="auto" w:fill="auto"/>
            <w:vAlign w:val="center"/>
            <w:hideMark/>
          </w:tcPr>
          <w:p w14:paraId="240C0CE4" w14:textId="77777777" w:rsidR="000E16FE" w:rsidRPr="000E16FE" w:rsidRDefault="000E16FE" w:rsidP="000E16FE">
            <w:pPr>
              <w:jc w:val="center"/>
              <w:rPr>
                <w:rFonts w:ascii="Arial" w:hAnsi="Arial" w:cs="Arial"/>
                <w:color w:val="000000"/>
                <w:sz w:val="20"/>
                <w:szCs w:val="20"/>
              </w:rPr>
            </w:pPr>
            <w:r w:rsidRPr="000E16FE">
              <w:rPr>
                <w:rFonts w:ascii="Arial" w:hAnsi="Arial" w:cs="Arial"/>
                <w:color w:val="000000"/>
                <w:sz w:val="20"/>
                <w:szCs w:val="20"/>
              </w:rPr>
              <w:t xml:space="preserve">       1.31 </w:t>
            </w:r>
          </w:p>
        </w:tc>
      </w:tr>
      <w:tr w:rsidR="000E16FE" w:rsidRPr="000E16FE" w14:paraId="292CD6B9" w14:textId="77777777" w:rsidTr="00D95593">
        <w:trPr>
          <w:trHeight w:val="199"/>
          <w:jc w:val="center"/>
        </w:trPr>
        <w:tc>
          <w:tcPr>
            <w:tcW w:w="3816" w:type="dxa"/>
            <w:tcBorders>
              <w:top w:val="nil"/>
              <w:left w:val="single" w:sz="4" w:space="0" w:color="auto"/>
              <w:bottom w:val="single" w:sz="4" w:space="0" w:color="auto"/>
              <w:right w:val="single" w:sz="4" w:space="0" w:color="auto"/>
            </w:tcBorders>
            <w:shd w:val="clear" w:color="000000" w:fill="FFFFFF"/>
            <w:noWrap/>
            <w:vAlign w:val="center"/>
            <w:hideMark/>
          </w:tcPr>
          <w:p w14:paraId="1AD1210E" w14:textId="77777777" w:rsidR="000E16FE" w:rsidRPr="000E16FE" w:rsidRDefault="000E16FE" w:rsidP="000E16FE">
            <w:pPr>
              <w:rPr>
                <w:rFonts w:ascii="Arial" w:hAnsi="Arial" w:cs="Arial"/>
                <w:b/>
                <w:bCs/>
                <w:color w:val="000000"/>
                <w:sz w:val="20"/>
                <w:szCs w:val="20"/>
              </w:rPr>
            </w:pPr>
            <w:r w:rsidRPr="000E16FE">
              <w:rPr>
                <w:rFonts w:ascii="Arial" w:hAnsi="Arial" w:cs="Arial"/>
                <w:b/>
                <w:bCs/>
                <w:color w:val="000000"/>
                <w:sz w:val="20"/>
                <w:szCs w:val="20"/>
              </w:rPr>
              <w:t>Total</w:t>
            </w:r>
          </w:p>
        </w:tc>
        <w:tc>
          <w:tcPr>
            <w:tcW w:w="1181" w:type="dxa"/>
            <w:tcBorders>
              <w:top w:val="nil"/>
              <w:left w:val="nil"/>
              <w:bottom w:val="single" w:sz="4" w:space="0" w:color="auto"/>
              <w:right w:val="single" w:sz="4" w:space="0" w:color="auto"/>
            </w:tcBorders>
            <w:shd w:val="clear" w:color="000000" w:fill="FFFFFF"/>
            <w:vAlign w:val="center"/>
            <w:hideMark/>
          </w:tcPr>
          <w:p w14:paraId="63EDE309" w14:textId="076FAAD1" w:rsidR="000E16FE" w:rsidRPr="00424EEE" w:rsidRDefault="000E16FE" w:rsidP="000E16FE">
            <w:pPr>
              <w:jc w:val="right"/>
              <w:rPr>
                <w:rFonts w:ascii="Arial" w:hAnsi="Arial" w:cs="Arial"/>
                <w:b/>
                <w:color w:val="000000"/>
                <w:sz w:val="20"/>
                <w:szCs w:val="20"/>
              </w:rPr>
            </w:pPr>
            <w:r w:rsidRPr="00424EEE">
              <w:rPr>
                <w:rFonts w:ascii="Arial" w:hAnsi="Arial" w:cs="Arial"/>
                <w:b/>
                <w:color w:val="000000"/>
                <w:sz w:val="20"/>
                <w:szCs w:val="20"/>
              </w:rPr>
              <w:t>331</w:t>
            </w:r>
          </w:p>
        </w:tc>
        <w:tc>
          <w:tcPr>
            <w:tcW w:w="1008" w:type="dxa"/>
            <w:tcBorders>
              <w:top w:val="nil"/>
              <w:left w:val="nil"/>
              <w:bottom w:val="single" w:sz="4" w:space="0" w:color="auto"/>
              <w:right w:val="single" w:sz="4" w:space="0" w:color="auto"/>
            </w:tcBorders>
            <w:shd w:val="clear" w:color="000000" w:fill="FFFFFF"/>
            <w:vAlign w:val="center"/>
            <w:hideMark/>
          </w:tcPr>
          <w:p w14:paraId="382BBF04" w14:textId="77777777" w:rsidR="000E16FE" w:rsidRPr="00424EEE" w:rsidRDefault="000E16FE" w:rsidP="000E16FE">
            <w:pPr>
              <w:jc w:val="center"/>
              <w:rPr>
                <w:rFonts w:ascii="Arial" w:hAnsi="Arial" w:cs="Arial"/>
                <w:b/>
                <w:color w:val="000000"/>
                <w:sz w:val="20"/>
                <w:szCs w:val="20"/>
              </w:rPr>
            </w:pPr>
            <w:r w:rsidRPr="00424EEE">
              <w:rPr>
                <w:rFonts w:ascii="Arial" w:hAnsi="Arial" w:cs="Arial"/>
                <w:b/>
                <w:color w:val="000000"/>
                <w:sz w:val="20"/>
                <w:szCs w:val="20"/>
              </w:rPr>
              <w:t xml:space="preserve">     365.8 </w:t>
            </w:r>
          </w:p>
        </w:tc>
        <w:tc>
          <w:tcPr>
            <w:tcW w:w="1094" w:type="dxa"/>
            <w:tcBorders>
              <w:top w:val="nil"/>
              <w:left w:val="nil"/>
              <w:bottom w:val="single" w:sz="4" w:space="0" w:color="auto"/>
              <w:right w:val="single" w:sz="4" w:space="0" w:color="auto"/>
            </w:tcBorders>
            <w:shd w:val="clear" w:color="000000" w:fill="FFFFFF"/>
            <w:vAlign w:val="center"/>
            <w:hideMark/>
          </w:tcPr>
          <w:p w14:paraId="014BC1C4" w14:textId="77777777" w:rsidR="000E16FE" w:rsidRPr="00424EEE" w:rsidRDefault="000E16FE" w:rsidP="000E16FE">
            <w:pPr>
              <w:jc w:val="right"/>
              <w:rPr>
                <w:rFonts w:ascii="Arial" w:hAnsi="Arial" w:cs="Arial"/>
                <w:b/>
                <w:color w:val="000000"/>
                <w:sz w:val="20"/>
                <w:szCs w:val="20"/>
              </w:rPr>
            </w:pPr>
            <w:r w:rsidRPr="00424EEE">
              <w:rPr>
                <w:rFonts w:ascii="Arial" w:hAnsi="Arial" w:cs="Arial"/>
                <w:b/>
                <w:color w:val="000000"/>
                <w:sz w:val="20"/>
                <w:szCs w:val="20"/>
              </w:rPr>
              <w:t>0.0%</w:t>
            </w:r>
          </w:p>
        </w:tc>
        <w:tc>
          <w:tcPr>
            <w:tcW w:w="1166" w:type="dxa"/>
            <w:tcBorders>
              <w:top w:val="nil"/>
              <w:left w:val="nil"/>
              <w:bottom w:val="single" w:sz="4" w:space="0" w:color="auto"/>
              <w:right w:val="single" w:sz="4" w:space="0" w:color="auto"/>
            </w:tcBorders>
            <w:shd w:val="clear" w:color="000000" w:fill="FFFFFF"/>
            <w:vAlign w:val="center"/>
            <w:hideMark/>
          </w:tcPr>
          <w:p w14:paraId="5255305A" w14:textId="77777777" w:rsidR="000E16FE" w:rsidRPr="00424EEE" w:rsidRDefault="000E16FE" w:rsidP="000E16FE">
            <w:pPr>
              <w:jc w:val="center"/>
              <w:rPr>
                <w:rFonts w:ascii="Arial" w:hAnsi="Arial" w:cs="Arial"/>
                <w:b/>
                <w:color w:val="000000"/>
                <w:sz w:val="20"/>
                <w:szCs w:val="20"/>
              </w:rPr>
            </w:pPr>
            <w:r w:rsidRPr="00424EEE">
              <w:rPr>
                <w:rFonts w:ascii="Arial" w:hAnsi="Arial" w:cs="Arial"/>
                <w:b/>
                <w:color w:val="000000"/>
                <w:sz w:val="20"/>
                <w:szCs w:val="20"/>
              </w:rPr>
              <w:t xml:space="preserve">       1.11 </w:t>
            </w:r>
          </w:p>
        </w:tc>
      </w:tr>
    </w:tbl>
    <w:p w14:paraId="1998E064" w14:textId="0B20B958" w:rsidR="000E16FE" w:rsidRDefault="000E16FE" w:rsidP="000E16FE">
      <w:pPr>
        <w:pStyle w:val="TableCaption"/>
        <w:keepNext/>
        <w:keepLines/>
      </w:pPr>
    </w:p>
    <w:p w14:paraId="4AF1BA11" w14:textId="22C271DA" w:rsidR="00D45D8A" w:rsidRDefault="008F1160" w:rsidP="00D95593">
      <w:pPr>
        <w:pStyle w:val="TableCaption"/>
        <w:spacing w:before="240"/>
        <w:rPr>
          <w:i/>
        </w:rPr>
      </w:pPr>
      <w:bookmarkStart w:id="58" w:name="_Toc226190228"/>
      <w:bookmarkStart w:id="59" w:name="_Toc508800212"/>
      <w:r>
        <w:t>Table 2.</w:t>
      </w:r>
      <w:r w:rsidR="00E47BA7">
        <w:t>5</w:t>
      </w:r>
      <w:r>
        <w:t xml:space="preserve">: </w:t>
      </w:r>
      <w:r w:rsidR="00321E09" w:rsidRPr="003E1856">
        <w:t>B</w:t>
      </w:r>
      <w:r>
        <w:t>I</w:t>
      </w:r>
      <w:r w:rsidR="00321E09" w:rsidRPr="003E1856">
        <w:t>P Enrollees by Local Capacity Area</w:t>
      </w:r>
      <w:r w:rsidR="00E32794" w:rsidRPr="003E1856">
        <w:t xml:space="preserve">, </w:t>
      </w:r>
      <w:r w:rsidR="00E32794" w:rsidRPr="003E1856">
        <w:rPr>
          <w:i/>
        </w:rPr>
        <w:t>S</w:t>
      </w:r>
      <w:r w:rsidR="00321E09" w:rsidRPr="003E1856">
        <w:rPr>
          <w:i/>
        </w:rPr>
        <w:t>CE</w:t>
      </w:r>
      <w:bookmarkEnd w:id="58"/>
      <w:bookmarkEnd w:id="59"/>
    </w:p>
    <w:tbl>
      <w:tblPr>
        <w:tblW w:w="8388" w:type="dxa"/>
        <w:jc w:val="center"/>
        <w:tblLook w:val="04A0" w:firstRow="1" w:lastRow="0" w:firstColumn="1" w:lastColumn="0" w:noHBand="0" w:noVBand="1"/>
      </w:tblPr>
      <w:tblGrid>
        <w:gridCol w:w="3939"/>
        <w:gridCol w:w="1181"/>
        <w:gridCol w:w="1008"/>
        <w:gridCol w:w="1094"/>
        <w:gridCol w:w="1166"/>
      </w:tblGrid>
      <w:tr w:rsidR="009A4596" w:rsidRPr="00D95593" w14:paraId="0317D261" w14:textId="77777777" w:rsidTr="006B55F6">
        <w:trPr>
          <w:trHeight w:val="625"/>
          <w:jc w:val="center"/>
        </w:trPr>
        <w:tc>
          <w:tcPr>
            <w:tcW w:w="3939" w:type="dxa"/>
            <w:tcBorders>
              <w:top w:val="single" w:sz="4" w:space="0" w:color="auto"/>
              <w:left w:val="single" w:sz="4" w:space="0" w:color="auto"/>
              <w:bottom w:val="nil"/>
              <w:right w:val="single" w:sz="4" w:space="0" w:color="FFFFFF" w:themeColor="background1"/>
            </w:tcBorders>
            <w:shd w:val="clear" w:color="auto" w:fill="0C2577"/>
            <w:vAlign w:val="center"/>
            <w:hideMark/>
          </w:tcPr>
          <w:p w14:paraId="6325BF96" w14:textId="77777777" w:rsidR="00D95593" w:rsidRPr="00D95593" w:rsidRDefault="00D95593" w:rsidP="00D95593">
            <w:pPr>
              <w:jc w:val="center"/>
              <w:rPr>
                <w:rFonts w:ascii="Arial" w:hAnsi="Arial" w:cs="Arial"/>
                <w:b/>
                <w:bCs/>
                <w:color w:val="FFFFFF"/>
                <w:sz w:val="20"/>
                <w:szCs w:val="20"/>
              </w:rPr>
            </w:pPr>
            <w:r w:rsidRPr="00D95593">
              <w:rPr>
                <w:rFonts w:ascii="Arial" w:hAnsi="Arial" w:cs="Arial"/>
                <w:b/>
                <w:bCs/>
                <w:color w:val="FFFFFF"/>
                <w:sz w:val="20"/>
                <w:szCs w:val="20"/>
              </w:rPr>
              <w:t>Local Capacity Area</w:t>
            </w:r>
          </w:p>
        </w:tc>
        <w:tc>
          <w:tcPr>
            <w:tcW w:w="1181" w:type="dxa"/>
            <w:tcBorders>
              <w:top w:val="single" w:sz="4" w:space="0" w:color="auto"/>
              <w:left w:val="single" w:sz="4" w:space="0" w:color="FFFFFF" w:themeColor="background1"/>
              <w:bottom w:val="nil"/>
              <w:right w:val="single" w:sz="4" w:space="0" w:color="FFFFFF" w:themeColor="background1"/>
            </w:tcBorders>
            <w:shd w:val="clear" w:color="auto" w:fill="0C2577"/>
            <w:vAlign w:val="center"/>
            <w:hideMark/>
          </w:tcPr>
          <w:p w14:paraId="3A33D168" w14:textId="77777777" w:rsidR="00D95593" w:rsidRPr="00D95593" w:rsidRDefault="00D95593" w:rsidP="00D95593">
            <w:pPr>
              <w:jc w:val="center"/>
              <w:rPr>
                <w:rFonts w:ascii="Arial" w:hAnsi="Arial" w:cs="Arial"/>
                <w:b/>
                <w:bCs/>
                <w:color w:val="FFFFFF"/>
                <w:sz w:val="20"/>
                <w:szCs w:val="20"/>
              </w:rPr>
            </w:pPr>
            <w:r w:rsidRPr="00D95593">
              <w:rPr>
                <w:rFonts w:ascii="Arial" w:hAnsi="Arial" w:cs="Arial"/>
                <w:b/>
                <w:bCs/>
                <w:color w:val="FFFFFF"/>
                <w:sz w:val="20"/>
                <w:szCs w:val="20"/>
              </w:rPr>
              <w:t>Enrolled</w:t>
            </w:r>
          </w:p>
        </w:tc>
        <w:tc>
          <w:tcPr>
            <w:tcW w:w="1008" w:type="dxa"/>
            <w:tcBorders>
              <w:top w:val="single" w:sz="4" w:space="0" w:color="auto"/>
              <w:left w:val="single" w:sz="4" w:space="0" w:color="FFFFFF" w:themeColor="background1"/>
              <w:bottom w:val="nil"/>
              <w:right w:val="single" w:sz="4" w:space="0" w:color="FFFFFF" w:themeColor="background1"/>
            </w:tcBorders>
            <w:shd w:val="clear" w:color="auto" w:fill="0C2577"/>
            <w:vAlign w:val="center"/>
            <w:hideMark/>
          </w:tcPr>
          <w:p w14:paraId="70F55C8B" w14:textId="75FD7479" w:rsidR="00D95593" w:rsidRPr="00D95593" w:rsidRDefault="00D95593" w:rsidP="00D95593">
            <w:pPr>
              <w:jc w:val="center"/>
              <w:rPr>
                <w:rFonts w:ascii="Arial" w:hAnsi="Arial" w:cs="Arial"/>
                <w:b/>
                <w:bCs/>
                <w:color w:val="FFFFFF"/>
                <w:sz w:val="20"/>
                <w:szCs w:val="20"/>
              </w:rPr>
            </w:pPr>
            <w:r w:rsidRPr="00D95593">
              <w:rPr>
                <w:rFonts w:ascii="Arial" w:hAnsi="Arial" w:cs="Arial"/>
                <w:b/>
                <w:bCs/>
                <w:color w:val="FFFFFF"/>
                <w:sz w:val="20"/>
                <w:szCs w:val="20"/>
              </w:rPr>
              <w:t>Sum of Max MWh/h</w:t>
            </w:r>
          </w:p>
        </w:tc>
        <w:tc>
          <w:tcPr>
            <w:tcW w:w="1094" w:type="dxa"/>
            <w:tcBorders>
              <w:top w:val="single" w:sz="4" w:space="0" w:color="auto"/>
              <w:left w:val="single" w:sz="4" w:space="0" w:color="FFFFFF" w:themeColor="background1"/>
              <w:bottom w:val="nil"/>
              <w:right w:val="single" w:sz="4" w:space="0" w:color="FFFFFF" w:themeColor="background1"/>
            </w:tcBorders>
            <w:shd w:val="clear" w:color="auto" w:fill="0C2577"/>
            <w:vAlign w:val="center"/>
            <w:hideMark/>
          </w:tcPr>
          <w:p w14:paraId="0FEC3191" w14:textId="77777777" w:rsidR="00D95593" w:rsidRPr="00D95593" w:rsidRDefault="00D95593" w:rsidP="00D95593">
            <w:pPr>
              <w:jc w:val="center"/>
              <w:rPr>
                <w:rFonts w:ascii="Arial" w:hAnsi="Arial" w:cs="Arial"/>
                <w:b/>
                <w:bCs/>
                <w:color w:val="FFFFFF"/>
                <w:sz w:val="20"/>
                <w:szCs w:val="20"/>
              </w:rPr>
            </w:pPr>
            <w:r w:rsidRPr="00D95593">
              <w:rPr>
                <w:rFonts w:ascii="Arial" w:hAnsi="Arial" w:cs="Arial"/>
                <w:b/>
                <w:bCs/>
                <w:color w:val="FFFFFF"/>
                <w:sz w:val="20"/>
                <w:szCs w:val="20"/>
              </w:rPr>
              <w:t>Percent of Max MWh/h</w:t>
            </w:r>
          </w:p>
        </w:tc>
        <w:tc>
          <w:tcPr>
            <w:tcW w:w="1166" w:type="dxa"/>
            <w:tcBorders>
              <w:top w:val="single" w:sz="4" w:space="0" w:color="auto"/>
              <w:left w:val="single" w:sz="4" w:space="0" w:color="FFFFFF" w:themeColor="background1"/>
              <w:bottom w:val="nil"/>
              <w:right w:val="single" w:sz="4" w:space="0" w:color="auto"/>
            </w:tcBorders>
            <w:shd w:val="clear" w:color="auto" w:fill="0C2577"/>
            <w:vAlign w:val="center"/>
            <w:hideMark/>
          </w:tcPr>
          <w:p w14:paraId="73363EE5" w14:textId="77777777" w:rsidR="00D95593" w:rsidRPr="00D95593" w:rsidRDefault="00D95593" w:rsidP="00D95593">
            <w:pPr>
              <w:jc w:val="center"/>
              <w:rPr>
                <w:rFonts w:ascii="Arial" w:hAnsi="Arial" w:cs="Arial"/>
                <w:b/>
                <w:bCs/>
                <w:color w:val="FFFFFF"/>
                <w:sz w:val="20"/>
                <w:szCs w:val="20"/>
              </w:rPr>
            </w:pPr>
            <w:r w:rsidRPr="00D95593">
              <w:rPr>
                <w:rFonts w:ascii="Arial" w:hAnsi="Arial" w:cs="Arial"/>
                <w:b/>
                <w:bCs/>
                <w:color w:val="FFFFFF"/>
                <w:sz w:val="20"/>
                <w:szCs w:val="20"/>
              </w:rPr>
              <w:t>Average Max MWh/h</w:t>
            </w:r>
          </w:p>
        </w:tc>
      </w:tr>
      <w:tr w:rsidR="00D95593" w:rsidRPr="00D95593" w14:paraId="79BAE4E1" w14:textId="77777777" w:rsidTr="00D95593">
        <w:trPr>
          <w:trHeight w:val="259"/>
          <w:jc w:val="center"/>
        </w:trPr>
        <w:tc>
          <w:tcPr>
            <w:tcW w:w="3939" w:type="dxa"/>
            <w:tcBorders>
              <w:top w:val="single" w:sz="4" w:space="0" w:color="auto"/>
              <w:left w:val="single" w:sz="4" w:space="0" w:color="auto"/>
              <w:bottom w:val="nil"/>
              <w:right w:val="single" w:sz="4" w:space="0" w:color="auto"/>
            </w:tcBorders>
            <w:shd w:val="clear" w:color="000000" w:fill="FFFFFF"/>
            <w:noWrap/>
            <w:vAlign w:val="center"/>
            <w:hideMark/>
          </w:tcPr>
          <w:p w14:paraId="43EE7807" w14:textId="77777777" w:rsidR="00D95593" w:rsidRPr="00D95593" w:rsidRDefault="00D95593" w:rsidP="00D95593">
            <w:pPr>
              <w:rPr>
                <w:rFonts w:ascii="Arial" w:hAnsi="Arial" w:cs="Arial"/>
                <w:color w:val="000000"/>
                <w:sz w:val="20"/>
                <w:szCs w:val="20"/>
              </w:rPr>
            </w:pPr>
            <w:r w:rsidRPr="00D95593">
              <w:rPr>
                <w:rFonts w:ascii="Arial" w:hAnsi="Arial" w:cs="Arial"/>
                <w:color w:val="000000"/>
                <w:sz w:val="20"/>
                <w:szCs w:val="20"/>
              </w:rPr>
              <w:t>LA Basin</w:t>
            </w:r>
          </w:p>
        </w:tc>
        <w:tc>
          <w:tcPr>
            <w:tcW w:w="1181" w:type="dxa"/>
            <w:tcBorders>
              <w:top w:val="single" w:sz="4" w:space="0" w:color="auto"/>
              <w:left w:val="nil"/>
              <w:bottom w:val="nil"/>
              <w:right w:val="single" w:sz="4" w:space="0" w:color="auto"/>
            </w:tcBorders>
            <w:shd w:val="clear" w:color="000000" w:fill="FFFFFF"/>
            <w:vAlign w:val="center"/>
            <w:hideMark/>
          </w:tcPr>
          <w:p w14:paraId="2E7F8581" w14:textId="77777777" w:rsidR="00D95593" w:rsidRPr="00D95593" w:rsidRDefault="00D95593" w:rsidP="00D95593">
            <w:pPr>
              <w:jc w:val="right"/>
              <w:rPr>
                <w:rFonts w:ascii="Arial" w:hAnsi="Arial" w:cs="Arial"/>
                <w:color w:val="000000"/>
                <w:sz w:val="20"/>
                <w:szCs w:val="20"/>
              </w:rPr>
            </w:pPr>
            <w:r w:rsidRPr="00D95593">
              <w:rPr>
                <w:rFonts w:ascii="Arial" w:hAnsi="Arial" w:cs="Arial"/>
                <w:color w:val="000000"/>
                <w:sz w:val="20"/>
                <w:szCs w:val="20"/>
              </w:rPr>
              <w:t>480</w:t>
            </w:r>
          </w:p>
        </w:tc>
        <w:tc>
          <w:tcPr>
            <w:tcW w:w="1008" w:type="dxa"/>
            <w:tcBorders>
              <w:top w:val="single" w:sz="4" w:space="0" w:color="auto"/>
              <w:left w:val="nil"/>
              <w:bottom w:val="nil"/>
              <w:right w:val="single" w:sz="4" w:space="0" w:color="auto"/>
            </w:tcBorders>
            <w:shd w:val="clear" w:color="000000" w:fill="FFFFFF"/>
            <w:vAlign w:val="center"/>
            <w:hideMark/>
          </w:tcPr>
          <w:p w14:paraId="6D3171FD" w14:textId="5BBFE96F" w:rsidR="00D95593" w:rsidRPr="00D95593" w:rsidRDefault="00D95593" w:rsidP="00D95593">
            <w:pPr>
              <w:jc w:val="center"/>
              <w:rPr>
                <w:rFonts w:ascii="Arial" w:hAnsi="Arial" w:cs="Arial"/>
                <w:color w:val="000000"/>
                <w:sz w:val="20"/>
                <w:szCs w:val="20"/>
              </w:rPr>
            </w:pPr>
            <w:r w:rsidRPr="00D95593">
              <w:rPr>
                <w:rFonts w:ascii="Arial" w:hAnsi="Arial" w:cs="Arial"/>
                <w:color w:val="000000"/>
                <w:sz w:val="20"/>
                <w:szCs w:val="20"/>
              </w:rPr>
              <w:t xml:space="preserve">     653.9 </w:t>
            </w:r>
          </w:p>
        </w:tc>
        <w:tc>
          <w:tcPr>
            <w:tcW w:w="1094" w:type="dxa"/>
            <w:tcBorders>
              <w:top w:val="single" w:sz="4" w:space="0" w:color="auto"/>
              <w:left w:val="nil"/>
              <w:bottom w:val="nil"/>
              <w:right w:val="single" w:sz="4" w:space="0" w:color="auto"/>
            </w:tcBorders>
            <w:shd w:val="clear" w:color="000000" w:fill="FFFFFF"/>
            <w:vAlign w:val="center"/>
            <w:hideMark/>
          </w:tcPr>
          <w:p w14:paraId="1CEEE5BB" w14:textId="77777777" w:rsidR="00D95593" w:rsidRPr="00D95593" w:rsidRDefault="00D95593" w:rsidP="00D95593">
            <w:pPr>
              <w:jc w:val="right"/>
              <w:rPr>
                <w:rFonts w:ascii="Arial" w:hAnsi="Arial" w:cs="Arial"/>
                <w:color w:val="000000"/>
                <w:sz w:val="20"/>
                <w:szCs w:val="20"/>
              </w:rPr>
            </w:pPr>
            <w:r w:rsidRPr="00D95593">
              <w:rPr>
                <w:rFonts w:ascii="Arial" w:hAnsi="Arial" w:cs="Arial"/>
                <w:color w:val="000000"/>
                <w:sz w:val="20"/>
                <w:szCs w:val="20"/>
              </w:rPr>
              <w:t>75.7%</w:t>
            </w:r>
          </w:p>
        </w:tc>
        <w:tc>
          <w:tcPr>
            <w:tcW w:w="1166" w:type="dxa"/>
            <w:tcBorders>
              <w:top w:val="single" w:sz="4" w:space="0" w:color="auto"/>
              <w:left w:val="nil"/>
              <w:bottom w:val="nil"/>
              <w:right w:val="single" w:sz="4" w:space="0" w:color="auto"/>
            </w:tcBorders>
            <w:shd w:val="clear" w:color="000000" w:fill="FFFFFF"/>
            <w:vAlign w:val="center"/>
            <w:hideMark/>
          </w:tcPr>
          <w:p w14:paraId="13F0034A" w14:textId="77777777" w:rsidR="00D95593" w:rsidRPr="00D95593" w:rsidRDefault="00D95593" w:rsidP="00D95593">
            <w:pPr>
              <w:jc w:val="center"/>
              <w:rPr>
                <w:rFonts w:ascii="Arial" w:hAnsi="Arial" w:cs="Arial"/>
                <w:color w:val="000000"/>
                <w:sz w:val="20"/>
                <w:szCs w:val="20"/>
              </w:rPr>
            </w:pPr>
            <w:r w:rsidRPr="00D95593">
              <w:rPr>
                <w:rFonts w:ascii="Arial" w:hAnsi="Arial" w:cs="Arial"/>
                <w:color w:val="000000"/>
                <w:sz w:val="20"/>
                <w:szCs w:val="20"/>
              </w:rPr>
              <w:t xml:space="preserve">       1.36 </w:t>
            </w:r>
          </w:p>
        </w:tc>
      </w:tr>
      <w:tr w:rsidR="00D95593" w:rsidRPr="00D95593" w14:paraId="6A69E8DB" w14:textId="77777777" w:rsidTr="00D67BC6">
        <w:trPr>
          <w:trHeight w:val="259"/>
          <w:jc w:val="center"/>
        </w:trPr>
        <w:tc>
          <w:tcPr>
            <w:tcW w:w="3939" w:type="dxa"/>
            <w:tcBorders>
              <w:top w:val="nil"/>
              <w:left w:val="single" w:sz="4" w:space="0" w:color="auto"/>
              <w:bottom w:val="nil"/>
              <w:right w:val="single" w:sz="4" w:space="0" w:color="auto"/>
            </w:tcBorders>
            <w:shd w:val="clear" w:color="000000" w:fill="FFFFFF"/>
            <w:noWrap/>
            <w:vAlign w:val="center"/>
            <w:hideMark/>
          </w:tcPr>
          <w:p w14:paraId="11EB7205" w14:textId="77777777" w:rsidR="00D95593" w:rsidRPr="00D95593" w:rsidRDefault="00D95593" w:rsidP="00D95593">
            <w:pPr>
              <w:rPr>
                <w:rFonts w:ascii="Arial" w:hAnsi="Arial" w:cs="Arial"/>
                <w:color w:val="000000"/>
                <w:sz w:val="20"/>
                <w:szCs w:val="20"/>
              </w:rPr>
            </w:pPr>
            <w:r w:rsidRPr="00D95593">
              <w:rPr>
                <w:rFonts w:ascii="Arial" w:hAnsi="Arial" w:cs="Arial"/>
                <w:color w:val="000000"/>
                <w:sz w:val="20"/>
                <w:szCs w:val="20"/>
              </w:rPr>
              <w:t>Outside Basin</w:t>
            </w:r>
          </w:p>
        </w:tc>
        <w:tc>
          <w:tcPr>
            <w:tcW w:w="1181" w:type="dxa"/>
            <w:tcBorders>
              <w:top w:val="nil"/>
              <w:left w:val="nil"/>
              <w:bottom w:val="nil"/>
              <w:right w:val="single" w:sz="4" w:space="0" w:color="auto"/>
            </w:tcBorders>
            <w:shd w:val="clear" w:color="auto" w:fill="000000" w:themeFill="text1"/>
            <w:vAlign w:val="center"/>
          </w:tcPr>
          <w:p w14:paraId="1081DB0C" w14:textId="54F7CE2A" w:rsidR="00D95593" w:rsidRPr="00D95593" w:rsidRDefault="00D95593" w:rsidP="00D95593">
            <w:pPr>
              <w:jc w:val="right"/>
              <w:rPr>
                <w:rFonts w:ascii="Arial" w:hAnsi="Arial" w:cs="Arial"/>
                <w:color w:val="000000"/>
                <w:sz w:val="20"/>
                <w:szCs w:val="20"/>
              </w:rPr>
            </w:pPr>
          </w:p>
        </w:tc>
        <w:tc>
          <w:tcPr>
            <w:tcW w:w="1008" w:type="dxa"/>
            <w:tcBorders>
              <w:top w:val="nil"/>
              <w:left w:val="nil"/>
              <w:bottom w:val="nil"/>
              <w:right w:val="single" w:sz="4" w:space="0" w:color="auto"/>
            </w:tcBorders>
            <w:shd w:val="clear" w:color="auto" w:fill="000000" w:themeFill="text1"/>
            <w:vAlign w:val="center"/>
          </w:tcPr>
          <w:p w14:paraId="60BD1BCC" w14:textId="0FF56A33" w:rsidR="00D95593" w:rsidRPr="00D95593" w:rsidRDefault="00D95593" w:rsidP="00D95593">
            <w:pPr>
              <w:jc w:val="center"/>
              <w:rPr>
                <w:rFonts w:ascii="Arial" w:hAnsi="Arial" w:cs="Arial"/>
                <w:color w:val="000000"/>
                <w:sz w:val="20"/>
                <w:szCs w:val="20"/>
              </w:rPr>
            </w:pPr>
          </w:p>
        </w:tc>
        <w:tc>
          <w:tcPr>
            <w:tcW w:w="1094" w:type="dxa"/>
            <w:tcBorders>
              <w:top w:val="nil"/>
              <w:left w:val="nil"/>
              <w:bottom w:val="nil"/>
              <w:right w:val="single" w:sz="4" w:space="0" w:color="auto"/>
            </w:tcBorders>
            <w:shd w:val="clear" w:color="auto" w:fill="000000" w:themeFill="text1"/>
            <w:vAlign w:val="center"/>
          </w:tcPr>
          <w:p w14:paraId="51E0430A" w14:textId="4D249859" w:rsidR="00D95593" w:rsidRPr="00D95593" w:rsidRDefault="00D95593" w:rsidP="00D95593">
            <w:pPr>
              <w:jc w:val="right"/>
              <w:rPr>
                <w:rFonts w:ascii="Arial" w:hAnsi="Arial" w:cs="Arial"/>
                <w:color w:val="000000"/>
                <w:sz w:val="20"/>
                <w:szCs w:val="20"/>
              </w:rPr>
            </w:pPr>
          </w:p>
        </w:tc>
        <w:tc>
          <w:tcPr>
            <w:tcW w:w="1166" w:type="dxa"/>
            <w:tcBorders>
              <w:top w:val="nil"/>
              <w:left w:val="nil"/>
              <w:bottom w:val="nil"/>
              <w:right w:val="single" w:sz="4" w:space="0" w:color="auto"/>
            </w:tcBorders>
            <w:shd w:val="clear" w:color="auto" w:fill="000000" w:themeFill="text1"/>
            <w:vAlign w:val="center"/>
          </w:tcPr>
          <w:p w14:paraId="2378BFFC" w14:textId="34B98B5F" w:rsidR="00D95593" w:rsidRPr="00D95593" w:rsidRDefault="00D95593" w:rsidP="00D95593">
            <w:pPr>
              <w:jc w:val="center"/>
              <w:rPr>
                <w:rFonts w:ascii="Arial" w:hAnsi="Arial" w:cs="Arial"/>
                <w:color w:val="000000"/>
                <w:sz w:val="20"/>
                <w:szCs w:val="20"/>
              </w:rPr>
            </w:pPr>
          </w:p>
        </w:tc>
      </w:tr>
      <w:tr w:rsidR="00D95593" w:rsidRPr="00D95593" w14:paraId="53C5219E" w14:textId="77777777" w:rsidTr="00D67BC6">
        <w:trPr>
          <w:trHeight w:val="259"/>
          <w:jc w:val="center"/>
        </w:trPr>
        <w:tc>
          <w:tcPr>
            <w:tcW w:w="3939" w:type="dxa"/>
            <w:tcBorders>
              <w:top w:val="nil"/>
              <w:left w:val="single" w:sz="4" w:space="0" w:color="auto"/>
              <w:bottom w:val="nil"/>
              <w:right w:val="single" w:sz="4" w:space="0" w:color="auto"/>
            </w:tcBorders>
            <w:shd w:val="clear" w:color="000000" w:fill="FFFFFF"/>
            <w:noWrap/>
            <w:vAlign w:val="center"/>
            <w:hideMark/>
          </w:tcPr>
          <w:p w14:paraId="7C17103E" w14:textId="77777777" w:rsidR="00D95593" w:rsidRPr="00D95593" w:rsidRDefault="00D95593" w:rsidP="00D95593">
            <w:pPr>
              <w:rPr>
                <w:rFonts w:ascii="Arial" w:hAnsi="Arial" w:cs="Arial"/>
                <w:color w:val="000000"/>
                <w:sz w:val="20"/>
                <w:szCs w:val="20"/>
              </w:rPr>
            </w:pPr>
            <w:r w:rsidRPr="00D95593">
              <w:rPr>
                <w:rFonts w:ascii="Arial" w:hAnsi="Arial" w:cs="Arial"/>
                <w:color w:val="000000"/>
                <w:sz w:val="20"/>
                <w:szCs w:val="20"/>
              </w:rPr>
              <w:t>Ventura</w:t>
            </w:r>
          </w:p>
        </w:tc>
        <w:tc>
          <w:tcPr>
            <w:tcW w:w="1181" w:type="dxa"/>
            <w:tcBorders>
              <w:top w:val="nil"/>
              <w:left w:val="nil"/>
              <w:bottom w:val="nil"/>
              <w:right w:val="single" w:sz="4" w:space="0" w:color="auto"/>
            </w:tcBorders>
            <w:shd w:val="clear" w:color="auto" w:fill="000000" w:themeFill="text1"/>
            <w:vAlign w:val="center"/>
          </w:tcPr>
          <w:p w14:paraId="1BD70FF0" w14:textId="78BEC436" w:rsidR="00D95593" w:rsidRPr="00D95593" w:rsidRDefault="00D95593" w:rsidP="00D95593">
            <w:pPr>
              <w:jc w:val="right"/>
              <w:rPr>
                <w:rFonts w:ascii="Arial" w:hAnsi="Arial" w:cs="Arial"/>
                <w:color w:val="000000"/>
                <w:sz w:val="20"/>
                <w:szCs w:val="20"/>
              </w:rPr>
            </w:pPr>
          </w:p>
        </w:tc>
        <w:tc>
          <w:tcPr>
            <w:tcW w:w="1008" w:type="dxa"/>
            <w:tcBorders>
              <w:top w:val="nil"/>
              <w:left w:val="nil"/>
              <w:bottom w:val="nil"/>
              <w:right w:val="single" w:sz="4" w:space="0" w:color="auto"/>
            </w:tcBorders>
            <w:shd w:val="clear" w:color="auto" w:fill="000000" w:themeFill="text1"/>
            <w:vAlign w:val="center"/>
          </w:tcPr>
          <w:p w14:paraId="248B35F1" w14:textId="530EC595" w:rsidR="00D95593" w:rsidRPr="00D95593" w:rsidRDefault="00D95593" w:rsidP="00D95593">
            <w:pPr>
              <w:jc w:val="center"/>
              <w:rPr>
                <w:rFonts w:ascii="Arial" w:hAnsi="Arial" w:cs="Arial"/>
                <w:color w:val="000000"/>
                <w:sz w:val="20"/>
                <w:szCs w:val="20"/>
              </w:rPr>
            </w:pPr>
          </w:p>
        </w:tc>
        <w:tc>
          <w:tcPr>
            <w:tcW w:w="1094" w:type="dxa"/>
            <w:tcBorders>
              <w:top w:val="nil"/>
              <w:left w:val="nil"/>
              <w:bottom w:val="nil"/>
              <w:right w:val="single" w:sz="4" w:space="0" w:color="auto"/>
            </w:tcBorders>
            <w:shd w:val="clear" w:color="auto" w:fill="000000" w:themeFill="text1"/>
            <w:vAlign w:val="center"/>
          </w:tcPr>
          <w:p w14:paraId="0BA12A88" w14:textId="24AB19F0" w:rsidR="00D95593" w:rsidRPr="00D95593" w:rsidRDefault="00D95593" w:rsidP="00D95593">
            <w:pPr>
              <w:jc w:val="right"/>
              <w:rPr>
                <w:rFonts w:ascii="Arial" w:hAnsi="Arial" w:cs="Arial"/>
                <w:color w:val="000000"/>
                <w:sz w:val="20"/>
                <w:szCs w:val="20"/>
              </w:rPr>
            </w:pPr>
          </w:p>
        </w:tc>
        <w:tc>
          <w:tcPr>
            <w:tcW w:w="1166" w:type="dxa"/>
            <w:tcBorders>
              <w:top w:val="nil"/>
              <w:left w:val="nil"/>
              <w:bottom w:val="nil"/>
              <w:right w:val="single" w:sz="4" w:space="0" w:color="auto"/>
            </w:tcBorders>
            <w:shd w:val="clear" w:color="auto" w:fill="000000" w:themeFill="text1"/>
            <w:vAlign w:val="center"/>
          </w:tcPr>
          <w:p w14:paraId="40E95DED" w14:textId="41ACFE78" w:rsidR="00D95593" w:rsidRPr="00D95593" w:rsidRDefault="00D95593" w:rsidP="00D95593">
            <w:pPr>
              <w:jc w:val="center"/>
              <w:rPr>
                <w:rFonts w:ascii="Arial" w:hAnsi="Arial" w:cs="Arial"/>
                <w:color w:val="000000"/>
                <w:sz w:val="20"/>
                <w:szCs w:val="20"/>
              </w:rPr>
            </w:pPr>
          </w:p>
        </w:tc>
      </w:tr>
      <w:tr w:rsidR="00D95593" w:rsidRPr="00D95593" w14:paraId="61A58AB7" w14:textId="77777777" w:rsidTr="00D95593">
        <w:trPr>
          <w:trHeight w:val="245"/>
          <w:jc w:val="center"/>
        </w:trPr>
        <w:tc>
          <w:tcPr>
            <w:tcW w:w="3939" w:type="dxa"/>
            <w:tcBorders>
              <w:top w:val="nil"/>
              <w:left w:val="single" w:sz="4" w:space="0" w:color="auto"/>
              <w:bottom w:val="single" w:sz="4" w:space="0" w:color="auto"/>
              <w:right w:val="single" w:sz="4" w:space="0" w:color="auto"/>
            </w:tcBorders>
            <w:shd w:val="clear" w:color="auto" w:fill="auto"/>
            <w:noWrap/>
            <w:vAlign w:val="bottom"/>
            <w:hideMark/>
          </w:tcPr>
          <w:p w14:paraId="4CA7800B" w14:textId="77777777" w:rsidR="00D95593" w:rsidRPr="00D95593" w:rsidRDefault="00D95593" w:rsidP="00D95593">
            <w:pPr>
              <w:rPr>
                <w:rFonts w:cs="Calibri"/>
                <w:b/>
                <w:color w:val="000000"/>
                <w:sz w:val="22"/>
                <w:szCs w:val="22"/>
              </w:rPr>
            </w:pPr>
            <w:r w:rsidRPr="00D95593">
              <w:rPr>
                <w:rFonts w:cs="Calibri"/>
                <w:b/>
                <w:color w:val="000000"/>
                <w:sz w:val="22"/>
                <w:szCs w:val="22"/>
              </w:rPr>
              <w:t>Total</w:t>
            </w:r>
          </w:p>
        </w:tc>
        <w:tc>
          <w:tcPr>
            <w:tcW w:w="1181" w:type="dxa"/>
            <w:tcBorders>
              <w:top w:val="nil"/>
              <w:left w:val="nil"/>
              <w:bottom w:val="single" w:sz="4" w:space="0" w:color="auto"/>
              <w:right w:val="single" w:sz="4" w:space="0" w:color="auto"/>
            </w:tcBorders>
            <w:shd w:val="clear" w:color="000000" w:fill="FFFFFF"/>
            <w:vAlign w:val="center"/>
            <w:hideMark/>
          </w:tcPr>
          <w:p w14:paraId="50E7F113" w14:textId="77777777" w:rsidR="00D95593" w:rsidRPr="00424EEE" w:rsidRDefault="00D95593" w:rsidP="00D95593">
            <w:pPr>
              <w:jc w:val="right"/>
              <w:rPr>
                <w:rFonts w:ascii="Arial" w:hAnsi="Arial" w:cs="Arial"/>
                <w:b/>
                <w:color w:val="000000"/>
                <w:sz w:val="20"/>
                <w:szCs w:val="20"/>
              </w:rPr>
            </w:pPr>
            <w:r w:rsidRPr="00424EEE">
              <w:rPr>
                <w:rFonts w:ascii="Arial" w:hAnsi="Arial" w:cs="Arial"/>
                <w:b/>
                <w:color w:val="000000"/>
                <w:sz w:val="20"/>
                <w:szCs w:val="20"/>
              </w:rPr>
              <w:t>571</w:t>
            </w:r>
          </w:p>
        </w:tc>
        <w:tc>
          <w:tcPr>
            <w:tcW w:w="1008" w:type="dxa"/>
            <w:tcBorders>
              <w:top w:val="nil"/>
              <w:left w:val="nil"/>
              <w:bottom w:val="single" w:sz="4" w:space="0" w:color="auto"/>
              <w:right w:val="single" w:sz="4" w:space="0" w:color="auto"/>
            </w:tcBorders>
            <w:shd w:val="clear" w:color="000000" w:fill="FFFFFF"/>
            <w:vAlign w:val="center"/>
            <w:hideMark/>
          </w:tcPr>
          <w:p w14:paraId="6D183FE4" w14:textId="75DBBD02" w:rsidR="00D95593" w:rsidRPr="00424EEE" w:rsidRDefault="00D95593" w:rsidP="00D95593">
            <w:pPr>
              <w:jc w:val="center"/>
              <w:rPr>
                <w:rFonts w:ascii="Arial" w:hAnsi="Arial" w:cs="Arial"/>
                <w:b/>
                <w:color w:val="000000"/>
                <w:sz w:val="20"/>
                <w:szCs w:val="20"/>
              </w:rPr>
            </w:pPr>
            <w:r w:rsidRPr="00424EEE">
              <w:rPr>
                <w:rFonts w:ascii="Arial" w:hAnsi="Arial" w:cs="Arial"/>
                <w:b/>
                <w:color w:val="000000"/>
                <w:sz w:val="20"/>
                <w:szCs w:val="20"/>
              </w:rPr>
              <w:t xml:space="preserve">     863.5 </w:t>
            </w:r>
          </w:p>
        </w:tc>
        <w:tc>
          <w:tcPr>
            <w:tcW w:w="1094" w:type="dxa"/>
            <w:tcBorders>
              <w:top w:val="nil"/>
              <w:left w:val="nil"/>
              <w:bottom w:val="single" w:sz="4" w:space="0" w:color="auto"/>
              <w:right w:val="single" w:sz="4" w:space="0" w:color="auto"/>
            </w:tcBorders>
            <w:shd w:val="clear" w:color="000000" w:fill="FFFFFF"/>
            <w:vAlign w:val="center"/>
            <w:hideMark/>
          </w:tcPr>
          <w:p w14:paraId="5657ED70" w14:textId="77777777" w:rsidR="00D95593" w:rsidRPr="00424EEE" w:rsidRDefault="00D95593" w:rsidP="00D95593">
            <w:pPr>
              <w:jc w:val="right"/>
              <w:rPr>
                <w:rFonts w:ascii="Arial" w:hAnsi="Arial" w:cs="Arial"/>
                <w:b/>
                <w:color w:val="000000"/>
                <w:sz w:val="20"/>
                <w:szCs w:val="20"/>
              </w:rPr>
            </w:pPr>
            <w:r w:rsidRPr="00424EEE">
              <w:rPr>
                <w:rFonts w:ascii="Arial" w:hAnsi="Arial" w:cs="Arial"/>
                <w:b/>
                <w:color w:val="000000"/>
                <w:sz w:val="20"/>
                <w:szCs w:val="20"/>
              </w:rPr>
              <w:t>0.0%</w:t>
            </w:r>
          </w:p>
        </w:tc>
        <w:tc>
          <w:tcPr>
            <w:tcW w:w="1166" w:type="dxa"/>
            <w:tcBorders>
              <w:top w:val="nil"/>
              <w:left w:val="nil"/>
              <w:bottom w:val="single" w:sz="4" w:space="0" w:color="auto"/>
              <w:right w:val="single" w:sz="4" w:space="0" w:color="auto"/>
            </w:tcBorders>
            <w:shd w:val="clear" w:color="000000" w:fill="FFFFFF"/>
            <w:vAlign w:val="center"/>
            <w:hideMark/>
          </w:tcPr>
          <w:p w14:paraId="063CB2D7" w14:textId="77777777" w:rsidR="00D95593" w:rsidRPr="00424EEE" w:rsidRDefault="00D95593" w:rsidP="00D95593">
            <w:pPr>
              <w:jc w:val="center"/>
              <w:rPr>
                <w:rFonts w:ascii="Arial" w:hAnsi="Arial" w:cs="Arial"/>
                <w:b/>
                <w:color w:val="000000"/>
                <w:sz w:val="20"/>
                <w:szCs w:val="20"/>
              </w:rPr>
            </w:pPr>
            <w:r w:rsidRPr="00424EEE">
              <w:rPr>
                <w:rFonts w:ascii="Arial" w:hAnsi="Arial" w:cs="Arial"/>
                <w:b/>
                <w:color w:val="000000"/>
                <w:sz w:val="20"/>
                <w:szCs w:val="20"/>
              </w:rPr>
              <w:t xml:space="preserve">       1.51 </w:t>
            </w:r>
          </w:p>
        </w:tc>
      </w:tr>
    </w:tbl>
    <w:p w14:paraId="1094E0DB" w14:textId="25E9218F" w:rsidR="00D95593" w:rsidRDefault="00D95593" w:rsidP="00D95593">
      <w:pPr>
        <w:pStyle w:val="TableCaption"/>
        <w:spacing w:before="240"/>
      </w:pPr>
    </w:p>
    <w:p w14:paraId="038F3D8C" w14:textId="77777777" w:rsidR="00321E09" w:rsidRDefault="00321E09" w:rsidP="008943AD">
      <w:pPr>
        <w:pStyle w:val="Heading2"/>
      </w:pPr>
      <w:bookmarkStart w:id="60" w:name="_Toc510091103"/>
      <w:r>
        <w:lastRenderedPageBreak/>
        <w:t>2.3 Event Days</w:t>
      </w:r>
      <w:bookmarkEnd w:id="60"/>
    </w:p>
    <w:p w14:paraId="2938C6B4" w14:textId="2C267D80" w:rsidR="00321E09" w:rsidRDefault="00321E09" w:rsidP="00AC2CB7">
      <w:r>
        <w:t>Table 2.</w:t>
      </w:r>
      <w:r w:rsidR="00E47BA7">
        <w:t>6</w:t>
      </w:r>
      <w:r>
        <w:t xml:space="preserve"> lists B</w:t>
      </w:r>
      <w:r w:rsidR="00AD1A7C">
        <w:t>I</w:t>
      </w:r>
      <w:r>
        <w:t xml:space="preserve">P event days </w:t>
      </w:r>
      <w:r w:rsidR="00E26325">
        <w:t xml:space="preserve">and hours </w:t>
      </w:r>
      <w:r>
        <w:t>for the t</w:t>
      </w:r>
      <w:r w:rsidR="0006560A">
        <w:t xml:space="preserve">hree </w:t>
      </w:r>
      <w:r w:rsidR="001530A9">
        <w:t>IOUs</w:t>
      </w:r>
      <w:r>
        <w:t xml:space="preserve"> in 201</w:t>
      </w:r>
      <w:r w:rsidR="001660AF">
        <w:t>7</w:t>
      </w:r>
      <w:r>
        <w:t>.</w:t>
      </w:r>
      <w:r w:rsidR="00EF0559">
        <w:t xml:space="preserve"> </w:t>
      </w:r>
      <w:r w:rsidR="00842856">
        <w:t>PG&amp;E and SCE called an emergency event on May 3, 2017. PG&amp;E called two additional re-test events. SDG&amp;E called one test event.</w:t>
      </w:r>
      <w:r w:rsidR="00EF0559">
        <w:t xml:space="preserve"> </w:t>
      </w:r>
    </w:p>
    <w:p w14:paraId="022BACA1" w14:textId="77777777" w:rsidR="00006EAE" w:rsidRDefault="00006EAE" w:rsidP="00AC2CB7"/>
    <w:p w14:paraId="3631878B" w14:textId="77777777" w:rsidR="00E370BF" w:rsidRPr="00852320" w:rsidRDefault="00E47BA7" w:rsidP="00480675">
      <w:pPr>
        <w:pStyle w:val="TableCaption"/>
        <w:keepNext/>
        <w:keepLines/>
      </w:pPr>
      <w:bookmarkStart w:id="61" w:name="_Toc226190229"/>
      <w:bookmarkStart w:id="62" w:name="_Toc508800213"/>
      <w:r>
        <w:t>Table 2.6</w:t>
      </w:r>
      <w:r w:rsidR="00172D95">
        <w:t xml:space="preserve">: </w:t>
      </w:r>
      <w:r w:rsidR="00321E09" w:rsidRPr="00852320">
        <w:t>B</w:t>
      </w:r>
      <w:r w:rsidR="00172D95">
        <w:t>I</w:t>
      </w:r>
      <w:r w:rsidR="00321E09" w:rsidRPr="00852320">
        <w:t>P Event</w:t>
      </w:r>
      <w:r w:rsidR="00C53715" w:rsidRPr="00852320">
        <w:t xml:space="preserve"> Day</w:t>
      </w:r>
      <w:r w:rsidR="00321E09" w:rsidRPr="00852320">
        <w:t>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1406"/>
        <w:gridCol w:w="1851"/>
        <w:gridCol w:w="1851"/>
        <w:gridCol w:w="2062"/>
      </w:tblGrid>
      <w:tr w:rsidR="00E370BF" w14:paraId="5E112694" w14:textId="77777777" w:rsidTr="006B55F6">
        <w:trPr>
          <w:jc w:val="center"/>
        </w:trPr>
        <w:tc>
          <w:tcPr>
            <w:tcW w:w="0" w:type="auto"/>
            <w:tcBorders>
              <w:bottom w:val="single" w:sz="4" w:space="0" w:color="auto"/>
              <w:right w:val="single" w:sz="4" w:space="0" w:color="FFFFFF" w:themeColor="background1"/>
            </w:tcBorders>
            <w:shd w:val="clear" w:color="auto" w:fill="0C2577"/>
            <w:vAlign w:val="bottom"/>
          </w:tcPr>
          <w:p w14:paraId="2529A88E" w14:textId="77777777" w:rsidR="00E370BF" w:rsidRPr="00631A57" w:rsidRDefault="00E370BF" w:rsidP="00A4624C">
            <w:pPr>
              <w:keepNext/>
              <w:keepLines/>
              <w:jc w:val="center"/>
              <w:rPr>
                <w:rFonts w:ascii="Arial" w:hAnsi="Arial" w:cs="Arial"/>
                <w:b/>
                <w:bCs/>
                <w:color w:val="FFFFFF" w:themeColor="background1"/>
                <w:sz w:val="20"/>
                <w:szCs w:val="20"/>
              </w:rPr>
            </w:pPr>
            <w:r w:rsidRPr="00631A57">
              <w:rPr>
                <w:rFonts w:ascii="Arial" w:hAnsi="Arial" w:cs="Arial"/>
                <w:b/>
                <w:bCs/>
                <w:color w:val="FFFFFF" w:themeColor="background1"/>
                <w:sz w:val="20"/>
                <w:szCs w:val="20"/>
              </w:rPr>
              <w:t>Date</w:t>
            </w:r>
          </w:p>
        </w:tc>
        <w:tc>
          <w:tcPr>
            <w:tcW w:w="0" w:type="auto"/>
            <w:tcBorders>
              <w:left w:val="single" w:sz="4" w:space="0" w:color="FFFFFF" w:themeColor="background1"/>
              <w:bottom w:val="single" w:sz="4" w:space="0" w:color="auto"/>
              <w:right w:val="single" w:sz="4" w:space="0" w:color="FFFFFF" w:themeColor="background1"/>
            </w:tcBorders>
            <w:shd w:val="clear" w:color="auto" w:fill="0C2577"/>
            <w:vAlign w:val="bottom"/>
          </w:tcPr>
          <w:p w14:paraId="4A3406E2" w14:textId="77777777" w:rsidR="00E370BF" w:rsidRPr="00631A57" w:rsidRDefault="00E370BF" w:rsidP="00A4624C">
            <w:pPr>
              <w:keepNext/>
              <w:keepLines/>
              <w:jc w:val="center"/>
              <w:rPr>
                <w:rFonts w:ascii="Arial" w:hAnsi="Arial" w:cs="Arial"/>
                <w:b/>
                <w:bCs/>
                <w:color w:val="FFFFFF" w:themeColor="background1"/>
                <w:sz w:val="20"/>
                <w:szCs w:val="20"/>
              </w:rPr>
            </w:pPr>
            <w:r w:rsidRPr="00631A57">
              <w:rPr>
                <w:rFonts w:ascii="Arial" w:hAnsi="Arial" w:cs="Arial"/>
                <w:b/>
                <w:bCs/>
                <w:color w:val="FFFFFF" w:themeColor="background1"/>
                <w:sz w:val="20"/>
                <w:szCs w:val="20"/>
              </w:rPr>
              <w:t>Day of Week</w:t>
            </w:r>
          </w:p>
        </w:tc>
        <w:tc>
          <w:tcPr>
            <w:tcW w:w="0" w:type="auto"/>
            <w:tcBorders>
              <w:left w:val="single" w:sz="4" w:space="0" w:color="FFFFFF" w:themeColor="background1"/>
              <w:bottom w:val="single" w:sz="4" w:space="0" w:color="auto"/>
              <w:right w:val="single" w:sz="4" w:space="0" w:color="FFFFFF" w:themeColor="background1"/>
            </w:tcBorders>
            <w:shd w:val="clear" w:color="auto" w:fill="0C2577"/>
            <w:vAlign w:val="bottom"/>
          </w:tcPr>
          <w:p w14:paraId="48F8E7E3" w14:textId="77777777" w:rsidR="00E370BF" w:rsidRPr="00631A57" w:rsidRDefault="00E370BF" w:rsidP="00A4624C">
            <w:pPr>
              <w:keepNext/>
              <w:keepLines/>
              <w:jc w:val="center"/>
              <w:rPr>
                <w:rFonts w:ascii="Arial" w:hAnsi="Arial" w:cs="Arial"/>
                <w:b/>
                <w:bCs/>
                <w:color w:val="FFFFFF" w:themeColor="background1"/>
                <w:sz w:val="20"/>
                <w:szCs w:val="20"/>
              </w:rPr>
            </w:pPr>
            <w:r w:rsidRPr="00631A57">
              <w:rPr>
                <w:rFonts w:ascii="Arial" w:hAnsi="Arial" w:cs="Arial"/>
                <w:b/>
                <w:bCs/>
                <w:color w:val="FFFFFF" w:themeColor="background1"/>
                <w:sz w:val="20"/>
                <w:szCs w:val="20"/>
              </w:rPr>
              <w:t>PG&amp;E</w:t>
            </w:r>
          </w:p>
        </w:tc>
        <w:tc>
          <w:tcPr>
            <w:tcW w:w="0" w:type="auto"/>
            <w:tcBorders>
              <w:left w:val="single" w:sz="4" w:space="0" w:color="FFFFFF" w:themeColor="background1"/>
              <w:bottom w:val="single" w:sz="4" w:space="0" w:color="auto"/>
              <w:right w:val="single" w:sz="4" w:space="0" w:color="FFFFFF" w:themeColor="background1"/>
            </w:tcBorders>
            <w:shd w:val="clear" w:color="auto" w:fill="0C2577"/>
            <w:vAlign w:val="bottom"/>
          </w:tcPr>
          <w:p w14:paraId="0FE4DCDD" w14:textId="77777777" w:rsidR="00E370BF" w:rsidRPr="00631A57" w:rsidRDefault="00E370BF" w:rsidP="00A4624C">
            <w:pPr>
              <w:keepNext/>
              <w:keepLines/>
              <w:jc w:val="center"/>
              <w:rPr>
                <w:rFonts w:ascii="Arial" w:hAnsi="Arial" w:cs="Arial"/>
                <w:b/>
                <w:bCs/>
                <w:color w:val="FFFFFF" w:themeColor="background1"/>
                <w:sz w:val="20"/>
                <w:szCs w:val="20"/>
              </w:rPr>
            </w:pPr>
            <w:r w:rsidRPr="00631A57">
              <w:rPr>
                <w:rFonts w:ascii="Arial" w:hAnsi="Arial" w:cs="Arial"/>
                <w:b/>
                <w:bCs/>
                <w:color w:val="FFFFFF" w:themeColor="background1"/>
                <w:sz w:val="20"/>
                <w:szCs w:val="20"/>
              </w:rPr>
              <w:t>SCE</w:t>
            </w:r>
          </w:p>
        </w:tc>
        <w:tc>
          <w:tcPr>
            <w:tcW w:w="0" w:type="auto"/>
            <w:tcBorders>
              <w:left w:val="single" w:sz="4" w:space="0" w:color="FFFFFF" w:themeColor="background1"/>
              <w:bottom w:val="single" w:sz="4" w:space="0" w:color="auto"/>
            </w:tcBorders>
            <w:shd w:val="clear" w:color="auto" w:fill="0C2577"/>
          </w:tcPr>
          <w:p w14:paraId="59F9C541" w14:textId="77777777" w:rsidR="00E370BF" w:rsidRPr="00631A57" w:rsidRDefault="00E370BF" w:rsidP="00A4624C">
            <w:pPr>
              <w:keepNext/>
              <w:keepLines/>
              <w:jc w:val="center"/>
              <w:rPr>
                <w:rFonts w:ascii="Arial" w:hAnsi="Arial" w:cs="Arial"/>
                <w:b/>
                <w:bCs/>
                <w:color w:val="FFFFFF" w:themeColor="background1"/>
                <w:sz w:val="20"/>
                <w:szCs w:val="20"/>
              </w:rPr>
            </w:pPr>
            <w:r w:rsidRPr="00631A57">
              <w:rPr>
                <w:rFonts w:ascii="Arial" w:hAnsi="Arial" w:cs="Arial"/>
                <w:b/>
                <w:bCs/>
                <w:color w:val="FFFFFF" w:themeColor="background1"/>
                <w:sz w:val="20"/>
                <w:szCs w:val="20"/>
              </w:rPr>
              <w:t>SDG&amp;E</w:t>
            </w:r>
          </w:p>
        </w:tc>
      </w:tr>
      <w:tr w:rsidR="00E370BF" w14:paraId="564C67D8" w14:textId="77777777" w:rsidTr="00631A57">
        <w:trPr>
          <w:jc w:val="center"/>
        </w:trPr>
        <w:tc>
          <w:tcPr>
            <w:tcW w:w="0" w:type="auto"/>
            <w:tcBorders>
              <w:top w:val="single" w:sz="4" w:space="0" w:color="auto"/>
            </w:tcBorders>
            <w:vAlign w:val="center"/>
          </w:tcPr>
          <w:p w14:paraId="5301DF0B" w14:textId="5BE6C956" w:rsidR="00E370BF" w:rsidRPr="00DD3E98" w:rsidRDefault="00BA1F4A" w:rsidP="00A4624C">
            <w:pPr>
              <w:keepNext/>
              <w:keepLines/>
              <w:jc w:val="center"/>
              <w:rPr>
                <w:rFonts w:ascii="Arial" w:hAnsi="Arial" w:cs="Arial"/>
                <w:sz w:val="20"/>
                <w:szCs w:val="20"/>
              </w:rPr>
            </w:pPr>
            <w:r>
              <w:rPr>
                <w:rFonts w:ascii="Arial" w:hAnsi="Arial" w:cs="Arial"/>
                <w:sz w:val="20"/>
                <w:szCs w:val="20"/>
              </w:rPr>
              <w:t>5</w:t>
            </w:r>
            <w:r w:rsidR="00E370BF" w:rsidRPr="00DD3E98">
              <w:rPr>
                <w:rFonts w:ascii="Arial" w:hAnsi="Arial" w:cs="Arial"/>
                <w:sz w:val="20"/>
                <w:szCs w:val="20"/>
              </w:rPr>
              <w:t>/</w:t>
            </w:r>
            <w:r>
              <w:rPr>
                <w:rFonts w:ascii="Arial" w:hAnsi="Arial" w:cs="Arial"/>
                <w:sz w:val="20"/>
                <w:szCs w:val="20"/>
              </w:rPr>
              <w:t>3/2017</w:t>
            </w:r>
          </w:p>
        </w:tc>
        <w:tc>
          <w:tcPr>
            <w:tcW w:w="0" w:type="auto"/>
            <w:tcBorders>
              <w:top w:val="single" w:sz="4" w:space="0" w:color="auto"/>
            </w:tcBorders>
            <w:vAlign w:val="center"/>
          </w:tcPr>
          <w:p w14:paraId="09D69CB0" w14:textId="77777777" w:rsidR="00E370BF" w:rsidRPr="00DD3E98" w:rsidRDefault="00E370BF" w:rsidP="00A4624C">
            <w:pPr>
              <w:keepNext/>
              <w:keepLines/>
              <w:jc w:val="center"/>
              <w:rPr>
                <w:rFonts w:ascii="Arial" w:hAnsi="Arial" w:cs="Arial"/>
                <w:sz w:val="20"/>
                <w:szCs w:val="20"/>
              </w:rPr>
            </w:pPr>
            <w:r w:rsidRPr="00DD3E98">
              <w:rPr>
                <w:rFonts w:ascii="Arial" w:hAnsi="Arial" w:cs="Arial"/>
                <w:sz w:val="20"/>
                <w:szCs w:val="20"/>
              </w:rPr>
              <w:t>Wednesday</w:t>
            </w:r>
          </w:p>
        </w:tc>
        <w:tc>
          <w:tcPr>
            <w:tcW w:w="0" w:type="auto"/>
            <w:tcBorders>
              <w:top w:val="single" w:sz="4" w:space="0" w:color="auto"/>
            </w:tcBorders>
            <w:vAlign w:val="center"/>
          </w:tcPr>
          <w:p w14:paraId="0945D0CD" w14:textId="22E8A963" w:rsidR="00E370BF" w:rsidRDefault="00842856" w:rsidP="00A4624C">
            <w:pPr>
              <w:keepNext/>
              <w:keepLines/>
              <w:jc w:val="center"/>
              <w:rPr>
                <w:rFonts w:ascii="Arial" w:hAnsi="Arial" w:cs="Arial"/>
                <w:sz w:val="20"/>
                <w:szCs w:val="20"/>
              </w:rPr>
            </w:pPr>
            <w:r>
              <w:rPr>
                <w:rFonts w:ascii="Arial" w:hAnsi="Arial" w:cs="Arial"/>
                <w:sz w:val="20"/>
                <w:szCs w:val="20"/>
              </w:rPr>
              <w:t>Emergency Even</w:t>
            </w:r>
            <w:r w:rsidR="00E370BF" w:rsidRPr="00DD3E98">
              <w:rPr>
                <w:rFonts w:ascii="Arial" w:hAnsi="Arial" w:cs="Arial"/>
                <w:sz w:val="20"/>
                <w:szCs w:val="20"/>
              </w:rPr>
              <w:t>t,</w:t>
            </w:r>
          </w:p>
          <w:p w14:paraId="5667F92D" w14:textId="6A9851F8" w:rsidR="00E370BF" w:rsidRPr="00DD3E98" w:rsidRDefault="00842856" w:rsidP="00A4624C">
            <w:pPr>
              <w:keepNext/>
              <w:keepLines/>
              <w:jc w:val="center"/>
              <w:rPr>
                <w:rFonts w:ascii="Arial" w:hAnsi="Arial" w:cs="Arial"/>
                <w:sz w:val="20"/>
                <w:szCs w:val="20"/>
              </w:rPr>
            </w:pPr>
            <w:r>
              <w:rPr>
                <w:rFonts w:ascii="Arial" w:hAnsi="Arial" w:cs="Arial"/>
                <w:sz w:val="20"/>
                <w:szCs w:val="20"/>
              </w:rPr>
              <w:t>8:00-9</w:t>
            </w:r>
            <w:r w:rsidR="00E370BF" w:rsidRPr="00DD3E98">
              <w:rPr>
                <w:rFonts w:ascii="Arial" w:hAnsi="Arial" w:cs="Arial"/>
                <w:sz w:val="20"/>
                <w:szCs w:val="20"/>
              </w:rPr>
              <w:t>:</w:t>
            </w:r>
            <w:r>
              <w:rPr>
                <w:rFonts w:ascii="Arial" w:hAnsi="Arial" w:cs="Arial"/>
                <w:sz w:val="20"/>
                <w:szCs w:val="20"/>
              </w:rPr>
              <w:t>25</w:t>
            </w:r>
            <w:r w:rsidR="00E370BF" w:rsidRPr="00DD3E98">
              <w:rPr>
                <w:rFonts w:ascii="Arial" w:hAnsi="Arial" w:cs="Arial"/>
                <w:sz w:val="20"/>
                <w:szCs w:val="20"/>
              </w:rPr>
              <w:t xml:space="preserve"> p.m.</w:t>
            </w:r>
          </w:p>
        </w:tc>
        <w:tc>
          <w:tcPr>
            <w:tcW w:w="0" w:type="auto"/>
            <w:tcBorders>
              <w:top w:val="single" w:sz="4" w:space="0" w:color="auto"/>
            </w:tcBorders>
            <w:vAlign w:val="center"/>
          </w:tcPr>
          <w:p w14:paraId="63A95FDB" w14:textId="77777777" w:rsidR="00842856" w:rsidRDefault="00842856" w:rsidP="00842856">
            <w:pPr>
              <w:keepNext/>
              <w:keepLines/>
              <w:jc w:val="center"/>
              <w:rPr>
                <w:rFonts w:ascii="Arial" w:hAnsi="Arial" w:cs="Arial"/>
                <w:sz w:val="20"/>
                <w:szCs w:val="20"/>
              </w:rPr>
            </w:pPr>
            <w:r>
              <w:rPr>
                <w:rFonts w:ascii="Arial" w:hAnsi="Arial" w:cs="Arial"/>
                <w:sz w:val="20"/>
                <w:szCs w:val="20"/>
              </w:rPr>
              <w:t>Emergency Even</w:t>
            </w:r>
            <w:r w:rsidRPr="00DD3E98">
              <w:rPr>
                <w:rFonts w:ascii="Arial" w:hAnsi="Arial" w:cs="Arial"/>
                <w:sz w:val="20"/>
                <w:szCs w:val="20"/>
              </w:rPr>
              <w:t>t,</w:t>
            </w:r>
          </w:p>
          <w:p w14:paraId="6DCF0FBB" w14:textId="7D8757EC" w:rsidR="00E370BF" w:rsidRPr="00DD3E98" w:rsidRDefault="00842856" w:rsidP="00842856">
            <w:pPr>
              <w:keepNext/>
              <w:keepLines/>
              <w:jc w:val="center"/>
              <w:rPr>
                <w:rFonts w:ascii="Arial" w:hAnsi="Arial" w:cs="Arial"/>
                <w:sz w:val="20"/>
                <w:szCs w:val="20"/>
              </w:rPr>
            </w:pPr>
            <w:r>
              <w:rPr>
                <w:rFonts w:ascii="Arial" w:hAnsi="Arial" w:cs="Arial"/>
                <w:sz w:val="20"/>
                <w:szCs w:val="20"/>
              </w:rPr>
              <w:t>6:58-9</w:t>
            </w:r>
            <w:r w:rsidRPr="00DD3E98">
              <w:rPr>
                <w:rFonts w:ascii="Arial" w:hAnsi="Arial" w:cs="Arial"/>
                <w:sz w:val="20"/>
                <w:szCs w:val="20"/>
              </w:rPr>
              <w:t>:</w:t>
            </w:r>
            <w:r>
              <w:rPr>
                <w:rFonts w:ascii="Arial" w:hAnsi="Arial" w:cs="Arial"/>
                <w:sz w:val="20"/>
                <w:szCs w:val="20"/>
              </w:rPr>
              <w:t>18</w:t>
            </w:r>
            <w:r w:rsidRPr="00DD3E98">
              <w:rPr>
                <w:rFonts w:ascii="Arial" w:hAnsi="Arial" w:cs="Arial"/>
                <w:sz w:val="20"/>
                <w:szCs w:val="20"/>
              </w:rPr>
              <w:t xml:space="preserve"> p.m.</w:t>
            </w:r>
          </w:p>
        </w:tc>
        <w:tc>
          <w:tcPr>
            <w:tcW w:w="0" w:type="auto"/>
            <w:tcBorders>
              <w:top w:val="single" w:sz="4" w:space="0" w:color="auto"/>
            </w:tcBorders>
            <w:vAlign w:val="center"/>
          </w:tcPr>
          <w:p w14:paraId="3B9B77B6" w14:textId="77777777" w:rsidR="00E370BF" w:rsidRPr="00DD3E98" w:rsidRDefault="00E370BF" w:rsidP="00A4624C">
            <w:pPr>
              <w:keepNext/>
              <w:keepLines/>
              <w:jc w:val="center"/>
              <w:rPr>
                <w:rFonts w:ascii="Arial" w:hAnsi="Arial" w:cs="Arial"/>
                <w:sz w:val="20"/>
                <w:szCs w:val="20"/>
              </w:rPr>
            </w:pPr>
          </w:p>
        </w:tc>
      </w:tr>
      <w:tr w:rsidR="00E370BF" w14:paraId="244D6D48" w14:textId="77777777" w:rsidTr="00A4624C">
        <w:trPr>
          <w:jc w:val="center"/>
        </w:trPr>
        <w:tc>
          <w:tcPr>
            <w:tcW w:w="0" w:type="auto"/>
            <w:vAlign w:val="center"/>
          </w:tcPr>
          <w:p w14:paraId="4C38A46E" w14:textId="0AC8EF15" w:rsidR="00E370BF" w:rsidRPr="00DD3E98" w:rsidRDefault="00BA1F4A" w:rsidP="00A4624C">
            <w:pPr>
              <w:keepNext/>
              <w:keepLines/>
              <w:jc w:val="center"/>
              <w:rPr>
                <w:rFonts w:ascii="Arial" w:hAnsi="Arial" w:cs="Arial"/>
                <w:sz w:val="20"/>
                <w:szCs w:val="20"/>
              </w:rPr>
            </w:pPr>
            <w:r>
              <w:rPr>
                <w:rFonts w:ascii="Arial" w:hAnsi="Arial" w:cs="Arial"/>
                <w:sz w:val="20"/>
                <w:szCs w:val="20"/>
              </w:rPr>
              <w:t>7</w:t>
            </w:r>
            <w:r w:rsidR="00E370BF" w:rsidRPr="00DD3E98">
              <w:rPr>
                <w:rFonts w:ascii="Arial" w:hAnsi="Arial" w:cs="Arial"/>
                <w:sz w:val="20"/>
                <w:szCs w:val="20"/>
              </w:rPr>
              <w:t>/</w:t>
            </w:r>
            <w:r>
              <w:rPr>
                <w:rFonts w:ascii="Arial" w:hAnsi="Arial" w:cs="Arial"/>
                <w:sz w:val="20"/>
                <w:szCs w:val="20"/>
              </w:rPr>
              <w:t>11/2017</w:t>
            </w:r>
          </w:p>
        </w:tc>
        <w:tc>
          <w:tcPr>
            <w:tcW w:w="0" w:type="auto"/>
            <w:vAlign w:val="center"/>
          </w:tcPr>
          <w:p w14:paraId="3408FD6F" w14:textId="2C402F20" w:rsidR="00E370BF" w:rsidRPr="00DD3E98" w:rsidRDefault="001660AF" w:rsidP="00A4624C">
            <w:pPr>
              <w:keepNext/>
              <w:keepLines/>
              <w:jc w:val="center"/>
              <w:rPr>
                <w:rFonts w:ascii="Arial" w:hAnsi="Arial" w:cs="Arial"/>
                <w:sz w:val="20"/>
                <w:szCs w:val="20"/>
              </w:rPr>
            </w:pPr>
            <w:r>
              <w:rPr>
                <w:rFonts w:ascii="Arial" w:hAnsi="Arial" w:cs="Arial"/>
                <w:sz w:val="20"/>
                <w:szCs w:val="20"/>
              </w:rPr>
              <w:t>Tuesday</w:t>
            </w:r>
          </w:p>
        </w:tc>
        <w:tc>
          <w:tcPr>
            <w:tcW w:w="0" w:type="auto"/>
            <w:vAlign w:val="center"/>
          </w:tcPr>
          <w:p w14:paraId="57EF4D43" w14:textId="77777777" w:rsidR="00E370BF" w:rsidRDefault="00E370BF" w:rsidP="00A4624C">
            <w:pPr>
              <w:keepNext/>
              <w:keepLines/>
              <w:jc w:val="center"/>
              <w:rPr>
                <w:rFonts w:ascii="Arial" w:hAnsi="Arial" w:cs="Arial"/>
                <w:sz w:val="20"/>
                <w:szCs w:val="20"/>
              </w:rPr>
            </w:pPr>
            <w:r w:rsidRPr="00DD3E98">
              <w:rPr>
                <w:rFonts w:ascii="Arial" w:hAnsi="Arial" w:cs="Arial"/>
                <w:sz w:val="20"/>
                <w:szCs w:val="20"/>
              </w:rPr>
              <w:t>Re-test,</w:t>
            </w:r>
          </w:p>
          <w:p w14:paraId="1273D730" w14:textId="6F7061FD" w:rsidR="00E370BF" w:rsidRPr="00DD3E98" w:rsidRDefault="00842856" w:rsidP="00A4624C">
            <w:pPr>
              <w:keepNext/>
              <w:keepLines/>
              <w:jc w:val="center"/>
              <w:rPr>
                <w:rFonts w:ascii="Arial" w:hAnsi="Arial" w:cs="Arial"/>
                <w:sz w:val="20"/>
                <w:szCs w:val="20"/>
              </w:rPr>
            </w:pPr>
            <w:r>
              <w:rPr>
                <w:rFonts w:ascii="Arial" w:hAnsi="Arial" w:cs="Arial"/>
                <w:sz w:val="20"/>
                <w:szCs w:val="20"/>
              </w:rPr>
              <w:t>6:00-8</w:t>
            </w:r>
            <w:r w:rsidR="00E370BF" w:rsidRPr="00DD3E98">
              <w:rPr>
                <w:rFonts w:ascii="Arial" w:hAnsi="Arial" w:cs="Arial"/>
                <w:sz w:val="20"/>
                <w:szCs w:val="20"/>
              </w:rPr>
              <w:t>:00 p.m.</w:t>
            </w:r>
          </w:p>
        </w:tc>
        <w:tc>
          <w:tcPr>
            <w:tcW w:w="0" w:type="auto"/>
            <w:vAlign w:val="center"/>
          </w:tcPr>
          <w:p w14:paraId="011309BC" w14:textId="77777777" w:rsidR="00E370BF" w:rsidRPr="00DD3E98" w:rsidRDefault="00E370BF" w:rsidP="00A4624C">
            <w:pPr>
              <w:keepNext/>
              <w:keepLines/>
              <w:jc w:val="center"/>
              <w:rPr>
                <w:rFonts w:ascii="Arial" w:hAnsi="Arial" w:cs="Arial"/>
                <w:sz w:val="20"/>
                <w:szCs w:val="20"/>
              </w:rPr>
            </w:pPr>
          </w:p>
        </w:tc>
        <w:tc>
          <w:tcPr>
            <w:tcW w:w="0" w:type="auto"/>
            <w:vAlign w:val="center"/>
          </w:tcPr>
          <w:p w14:paraId="526914BD" w14:textId="77777777" w:rsidR="00E370BF" w:rsidRPr="00DD3E98" w:rsidRDefault="00E370BF" w:rsidP="00A4624C">
            <w:pPr>
              <w:keepNext/>
              <w:keepLines/>
              <w:jc w:val="center"/>
              <w:rPr>
                <w:rFonts w:ascii="Arial" w:hAnsi="Arial" w:cs="Arial"/>
                <w:sz w:val="20"/>
                <w:szCs w:val="20"/>
              </w:rPr>
            </w:pPr>
          </w:p>
        </w:tc>
      </w:tr>
      <w:tr w:rsidR="00E370BF" w14:paraId="745F543F" w14:textId="77777777" w:rsidTr="00A4624C">
        <w:trPr>
          <w:jc w:val="center"/>
        </w:trPr>
        <w:tc>
          <w:tcPr>
            <w:tcW w:w="0" w:type="auto"/>
            <w:vAlign w:val="center"/>
          </w:tcPr>
          <w:p w14:paraId="49662132" w14:textId="52B477B4" w:rsidR="00E370BF" w:rsidRPr="00DD3E98" w:rsidRDefault="00BA1F4A" w:rsidP="00A4624C">
            <w:pPr>
              <w:keepNext/>
              <w:keepLines/>
              <w:jc w:val="center"/>
              <w:rPr>
                <w:rFonts w:ascii="Arial" w:hAnsi="Arial" w:cs="Arial"/>
                <w:sz w:val="20"/>
                <w:szCs w:val="20"/>
              </w:rPr>
            </w:pPr>
            <w:r>
              <w:rPr>
                <w:rFonts w:ascii="Arial" w:hAnsi="Arial" w:cs="Arial"/>
                <w:sz w:val="20"/>
                <w:szCs w:val="20"/>
              </w:rPr>
              <w:t>8</w:t>
            </w:r>
            <w:r w:rsidR="00E370BF" w:rsidRPr="00DD3E98">
              <w:rPr>
                <w:rFonts w:ascii="Arial" w:hAnsi="Arial" w:cs="Arial"/>
                <w:sz w:val="20"/>
                <w:szCs w:val="20"/>
              </w:rPr>
              <w:t>/3</w:t>
            </w:r>
            <w:r>
              <w:rPr>
                <w:rFonts w:ascii="Arial" w:hAnsi="Arial" w:cs="Arial"/>
                <w:sz w:val="20"/>
                <w:szCs w:val="20"/>
              </w:rPr>
              <w:t>1/2017</w:t>
            </w:r>
          </w:p>
        </w:tc>
        <w:tc>
          <w:tcPr>
            <w:tcW w:w="0" w:type="auto"/>
            <w:vAlign w:val="center"/>
          </w:tcPr>
          <w:p w14:paraId="6E146449" w14:textId="77777777" w:rsidR="00E370BF" w:rsidRPr="00DD3E98" w:rsidRDefault="00E370BF" w:rsidP="00A4624C">
            <w:pPr>
              <w:keepNext/>
              <w:keepLines/>
              <w:jc w:val="center"/>
              <w:rPr>
                <w:rFonts w:ascii="Arial" w:hAnsi="Arial" w:cs="Arial"/>
                <w:sz w:val="20"/>
                <w:szCs w:val="20"/>
              </w:rPr>
            </w:pPr>
            <w:r w:rsidRPr="00DD3E98">
              <w:rPr>
                <w:rFonts w:ascii="Arial" w:hAnsi="Arial" w:cs="Arial"/>
                <w:sz w:val="20"/>
                <w:szCs w:val="20"/>
              </w:rPr>
              <w:t>Thursday</w:t>
            </w:r>
          </w:p>
        </w:tc>
        <w:tc>
          <w:tcPr>
            <w:tcW w:w="0" w:type="auto"/>
            <w:vAlign w:val="center"/>
          </w:tcPr>
          <w:p w14:paraId="17686982" w14:textId="1BABCF3A" w:rsidR="00E370BF" w:rsidRPr="00DD3E98" w:rsidRDefault="00E370BF" w:rsidP="00A4624C">
            <w:pPr>
              <w:keepNext/>
              <w:keepLines/>
              <w:jc w:val="center"/>
              <w:rPr>
                <w:rFonts w:ascii="Arial" w:hAnsi="Arial" w:cs="Arial"/>
                <w:sz w:val="20"/>
                <w:szCs w:val="20"/>
              </w:rPr>
            </w:pPr>
          </w:p>
        </w:tc>
        <w:tc>
          <w:tcPr>
            <w:tcW w:w="0" w:type="auto"/>
            <w:vAlign w:val="center"/>
          </w:tcPr>
          <w:p w14:paraId="1BA455BA" w14:textId="77777777" w:rsidR="00E370BF" w:rsidRPr="00DD3E98" w:rsidRDefault="00E370BF" w:rsidP="00A4624C">
            <w:pPr>
              <w:keepNext/>
              <w:keepLines/>
              <w:jc w:val="center"/>
              <w:rPr>
                <w:rFonts w:ascii="Arial" w:hAnsi="Arial" w:cs="Arial"/>
                <w:sz w:val="20"/>
                <w:szCs w:val="20"/>
              </w:rPr>
            </w:pPr>
          </w:p>
        </w:tc>
        <w:tc>
          <w:tcPr>
            <w:tcW w:w="0" w:type="auto"/>
            <w:vAlign w:val="center"/>
          </w:tcPr>
          <w:p w14:paraId="2F5BA6BC" w14:textId="77777777" w:rsidR="00842856" w:rsidRDefault="00842856" w:rsidP="00842856">
            <w:pPr>
              <w:keepNext/>
              <w:keepLines/>
              <w:jc w:val="center"/>
              <w:rPr>
                <w:rFonts w:ascii="Arial" w:hAnsi="Arial" w:cs="Arial"/>
                <w:sz w:val="20"/>
                <w:szCs w:val="20"/>
              </w:rPr>
            </w:pPr>
            <w:r w:rsidRPr="00DD3E98">
              <w:rPr>
                <w:rFonts w:ascii="Arial" w:hAnsi="Arial" w:cs="Arial"/>
                <w:sz w:val="20"/>
                <w:szCs w:val="20"/>
              </w:rPr>
              <w:t>Test,</w:t>
            </w:r>
          </w:p>
          <w:p w14:paraId="0A798E93" w14:textId="254C8DCA" w:rsidR="00E370BF" w:rsidRPr="00DD3E98" w:rsidRDefault="00842856" w:rsidP="00842856">
            <w:pPr>
              <w:keepNext/>
              <w:keepLines/>
              <w:jc w:val="center"/>
              <w:rPr>
                <w:rFonts w:ascii="Arial" w:hAnsi="Arial" w:cs="Arial"/>
                <w:sz w:val="20"/>
                <w:szCs w:val="20"/>
              </w:rPr>
            </w:pPr>
            <w:r w:rsidRPr="00DD3E98">
              <w:rPr>
                <w:rFonts w:ascii="Arial" w:hAnsi="Arial" w:cs="Arial"/>
                <w:sz w:val="20"/>
                <w:szCs w:val="20"/>
              </w:rPr>
              <w:t>1</w:t>
            </w:r>
            <w:r>
              <w:rPr>
                <w:rFonts w:ascii="Arial" w:hAnsi="Arial" w:cs="Arial"/>
                <w:sz w:val="20"/>
                <w:szCs w:val="20"/>
              </w:rPr>
              <w:t>1</w:t>
            </w:r>
            <w:r w:rsidRPr="00DD3E98">
              <w:rPr>
                <w:rFonts w:ascii="Arial" w:hAnsi="Arial" w:cs="Arial"/>
                <w:sz w:val="20"/>
                <w:szCs w:val="20"/>
              </w:rPr>
              <w:t>:00</w:t>
            </w:r>
            <w:r>
              <w:rPr>
                <w:rFonts w:ascii="Arial" w:hAnsi="Arial" w:cs="Arial"/>
                <w:sz w:val="20"/>
                <w:szCs w:val="20"/>
              </w:rPr>
              <w:t xml:space="preserve"> a.m.</w:t>
            </w:r>
            <w:r w:rsidRPr="00DD3E98">
              <w:rPr>
                <w:rFonts w:ascii="Arial" w:hAnsi="Arial" w:cs="Arial"/>
                <w:sz w:val="20"/>
                <w:szCs w:val="20"/>
              </w:rPr>
              <w:t>-</w:t>
            </w:r>
            <w:r>
              <w:rPr>
                <w:rFonts w:ascii="Arial" w:hAnsi="Arial" w:cs="Arial"/>
                <w:sz w:val="20"/>
                <w:szCs w:val="20"/>
              </w:rPr>
              <w:t>3</w:t>
            </w:r>
            <w:r w:rsidRPr="00DD3E98">
              <w:rPr>
                <w:rFonts w:ascii="Arial" w:hAnsi="Arial" w:cs="Arial"/>
                <w:sz w:val="20"/>
                <w:szCs w:val="20"/>
              </w:rPr>
              <w:t>:00 p.m.</w:t>
            </w:r>
          </w:p>
        </w:tc>
      </w:tr>
      <w:tr w:rsidR="00E370BF" w14:paraId="435EE762" w14:textId="77777777" w:rsidTr="00A4624C">
        <w:trPr>
          <w:jc w:val="center"/>
        </w:trPr>
        <w:tc>
          <w:tcPr>
            <w:tcW w:w="0" w:type="auto"/>
            <w:vAlign w:val="center"/>
          </w:tcPr>
          <w:p w14:paraId="082FF398" w14:textId="08BF1B80" w:rsidR="00E370BF" w:rsidRPr="00DD3E98" w:rsidRDefault="00BA1F4A" w:rsidP="00A4624C">
            <w:pPr>
              <w:keepNext/>
              <w:keepLines/>
              <w:jc w:val="center"/>
              <w:rPr>
                <w:rFonts w:ascii="Arial" w:hAnsi="Arial" w:cs="Arial"/>
                <w:sz w:val="20"/>
                <w:szCs w:val="20"/>
              </w:rPr>
            </w:pPr>
            <w:r>
              <w:rPr>
                <w:rFonts w:ascii="Arial" w:hAnsi="Arial" w:cs="Arial"/>
                <w:sz w:val="20"/>
                <w:szCs w:val="20"/>
              </w:rPr>
              <w:t>10</w:t>
            </w:r>
            <w:r w:rsidR="00E370BF" w:rsidRPr="00DD3E98">
              <w:rPr>
                <w:rFonts w:ascii="Arial" w:hAnsi="Arial" w:cs="Arial"/>
                <w:sz w:val="20"/>
                <w:szCs w:val="20"/>
              </w:rPr>
              <w:t>/</w:t>
            </w:r>
            <w:r>
              <w:rPr>
                <w:rFonts w:ascii="Arial" w:hAnsi="Arial" w:cs="Arial"/>
                <w:sz w:val="20"/>
                <w:szCs w:val="20"/>
              </w:rPr>
              <w:t>17/2017</w:t>
            </w:r>
          </w:p>
        </w:tc>
        <w:tc>
          <w:tcPr>
            <w:tcW w:w="0" w:type="auto"/>
            <w:vAlign w:val="center"/>
          </w:tcPr>
          <w:p w14:paraId="32A0C7B1" w14:textId="0230844C" w:rsidR="00E370BF" w:rsidRPr="00DD3E98" w:rsidRDefault="001660AF" w:rsidP="00A4624C">
            <w:pPr>
              <w:keepNext/>
              <w:keepLines/>
              <w:jc w:val="center"/>
              <w:rPr>
                <w:rFonts w:ascii="Arial" w:hAnsi="Arial" w:cs="Arial"/>
                <w:sz w:val="20"/>
                <w:szCs w:val="20"/>
              </w:rPr>
            </w:pPr>
            <w:r>
              <w:rPr>
                <w:rFonts w:ascii="Arial" w:hAnsi="Arial" w:cs="Arial"/>
                <w:sz w:val="20"/>
                <w:szCs w:val="20"/>
              </w:rPr>
              <w:t>Tuesday</w:t>
            </w:r>
          </w:p>
        </w:tc>
        <w:tc>
          <w:tcPr>
            <w:tcW w:w="0" w:type="auto"/>
            <w:vAlign w:val="center"/>
          </w:tcPr>
          <w:p w14:paraId="5307C2BD" w14:textId="77777777" w:rsidR="00842856" w:rsidRDefault="00842856" w:rsidP="00842856">
            <w:pPr>
              <w:keepNext/>
              <w:keepLines/>
              <w:jc w:val="center"/>
              <w:rPr>
                <w:rFonts w:ascii="Arial" w:hAnsi="Arial" w:cs="Arial"/>
                <w:sz w:val="20"/>
                <w:szCs w:val="20"/>
              </w:rPr>
            </w:pPr>
            <w:r>
              <w:rPr>
                <w:rFonts w:ascii="Arial" w:hAnsi="Arial" w:cs="Arial"/>
                <w:sz w:val="20"/>
                <w:szCs w:val="20"/>
              </w:rPr>
              <w:t>Re-t</w:t>
            </w:r>
            <w:r w:rsidRPr="00DD3E98">
              <w:rPr>
                <w:rFonts w:ascii="Arial" w:hAnsi="Arial" w:cs="Arial"/>
                <w:sz w:val="20"/>
                <w:szCs w:val="20"/>
              </w:rPr>
              <w:t>est,</w:t>
            </w:r>
          </w:p>
          <w:p w14:paraId="5D1990FD" w14:textId="5A5D7146" w:rsidR="00E370BF" w:rsidRPr="00DD3E98" w:rsidRDefault="00842856" w:rsidP="00842856">
            <w:pPr>
              <w:keepNext/>
              <w:keepLines/>
              <w:jc w:val="center"/>
              <w:rPr>
                <w:rFonts w:ascii="Arial" w:hAnsi="Arial" w:cs="Arial"/>
                <w:sz w:val="20"/>
                <w:szCs w:val="20"/>
              </w:rPr>
            </w:pPr>
            <w:r>
              <w:rPr>
                <w:rFonts w:ascii="Arial" w:hAnsi="Arial" w:cs="Arial"/>
                <w:sz w:val="20"/>
                <w:szCs w:val="20"/>
              </w:rPr>
              <w:t>6:00-8</w:t>
            </w:r>
            <w:r w:rsidRPr="00DD3E98">
              <w:rPr>
                <w:rFonts w:ascii="Arial" w:hAnsi="Arial" w:cs="Arial"/>
                <w:sz w:val="20"/>
                <w:szCs w:val="20"/>
              </w:rPr>
              <w:t>:00 p.m.</w:t>
            </w:r>
          </w:p>
        </w:tc>
        <w:tc>
          <w:tcPr>
            <w:tcW w:w="0" w:type="auto"/>
            <w:vAlign w:val="center"/>
          </w:tcPr>
          <w:p w14:paraId="38DC22E3" w14:textId="77777777" w:rsidR="00E370BF" w:rsidRPr="00DD3E98" w:rsidRDefault="00E370BF" w:rsidP="00A4624C">
            <w:pPr>
              <w:keepNext/>
              <w:keepLines/>
              <w:jc w:val="center"/>
              <w:rPr>
                <w:rFonts w:ascii="Arial" w:hAnsi="Arial" w:cs="Arial"/>
                <w:sz w:val="20"/>
                <w:szCs w:val="20"/>
              </w:rPr>
            </w:pPr>
          </w:p>
        </w:tc>
        <w:tc>
          <w:tcPr>
            <w:tcW w:w="0" w:type="auto"/>
            <w:vAlign w:val="center"/>
          </w:tcPr>
          <w:p w14:paraId="75045C89" w14:textId="3015159C" w:rsidR="00E370BF" w:rsidRPr="00DD3E98" w:rsidRDefault="00E370BF" w:rsidP="00A4624C">
            <w:pPr>
              <w:keepNext/>
              <w:keepLines/>
              <w:jc w:val="center"/>
              <w:rPr>
                <w:rFonts w:ascii="Arial" w:hAnsi="Arial" w:cs="Arial"/>
                <w:sz w:val="20"/>
                <w:szCs w:val="20"/>
              </w:rPr>
            </w:pPr>
          </w:p>
        </w:tc>
      </w:tr>
    </w:tbl>
    <w:p w14:paraId="23BACC9C" w14:textId="77777777" w:rsidR="00321E09" w:rsidRDefault="00321E09" w:rsidP="00520449">
      <w:pPr>
        <w:pStyle w:val="Heading1"/>
        <w:spacing w:before="480"/>
      </w:pPr>
      <w:bookmarkStart w:id="63" w:name="_Toc510091104"/>
      <w:r>
        <w:t>3. Study Methodology</w:t>
      </w:r>
      <w:bookmarkEnd w:id="63"/>
    </w:p>
    <w:p w14:paraId="504833BE" w14:textId="77777777" w:rsidR="00321E09" w:rsidRDefault="00321E09" w:rsidP="008A6E80">
      <w:pPr>
        <w:pStyle w:val="Heading2"/>
      </w:pPr>
      <w:bookmarkStart w:id="64" w:name="_Toc510091105"/>
      <w:r>
        <w:t>3.1 Overview</w:t>
      </w:r>
      <w:bookmarkEnd w:id="64"/>
      <w:r>
        <w:t xml:space="preserve"> </w:t>
      </w:r>
    </w:p>
    <w:p w14:paraId="7CF5ED44" w14:textId="175EB331" w:rsidR="00321E09" w:rsidRDefault="00321E09" w:rsidP="005E68AA">
      <w:r>
        <w:t xml:space="preserve">We estimated </w:t>
      </w:r>
      <w:r w:rsidRPr="00E26325">
        <w:rPr>
          <w:i/>
        </w:rPr>
        <w:t>ex</w:t>
      </w:r>
      <w:r w:rsidR="00E26325" w:rsidRPr="00E26325">
        <w:rPr>
          <w:i/>
        </w:rPr>
        <w:t>-</w:t>
      </w:r>
      <w:r w:rsidRPr="00E26325">
        <w:rPr>
          <w:i/>
        </w:rPr>
        <w:t>post</w:t>
      </w:r>
      <w:r>
        <w:t xml:space="preserve"> hourly load impacts using regression equations applied to customer-level hourly load data. The regression equation models hourly load as a function of a set of variables designed to control for factors affecting consumers’ hourly demand levels, such as:</w:t>
      </w:r>
    </w:p>
    <w:p w14:paraId="019C4377" w14:textId="77777777" w:rsidR="00321E09" w:rsidRPr="001E060E" w:rsidRDefault="00321E09" w:rsidP="00C16F24">
      <w:pPr>
        <w:numPr>
          <w:ilvl w:val="0"/>
          <w:numId w:val="1"/>
        </w:numPr>
        <w:spacing w:before="120"/>
      </w:pPr>
      <w:r>
        <w:t>Seasonal and hourly time patterns (</w:t>
      </w:r>
      <w:r>
        <w:rPr>
          <w:i/>
        </w:rPr>
        <w:t>e.g.</w:t>
      </w:r>
      <w:r>
        <w:t xml:space="preserve">, year, month, day-of-week, and hour, plus </w:t>
      </w:r>
      <w:r w:rsidRPr="001E060E">
        <w:t>various hour/day-type interactions)</w:t>
      </w:r>
      <w:r>
        <w:t>;</w:t>
      </w:r>
    </w:p>
    <w:p w14:paraId="62D4E626" w14:textId="77777777" w:rsidR="00321E09" w:rsidRPr="001E060E" w:rsidRDefault="00321E09" w:rsidP="005E68AA">
      <w:pPr>
        <w:numPr>
          <w:ilvl w:val="0"/>
          <w:numId w:val="1"/>
        </w:numPr>
      </w:pPr>
      <w:r w:rsidRPr="001E060E">
        <w:t>Weather</w:t>
      </w:r>
      <w:r w:rsidR="00036433">
        <w:t xml:space="preserve">, </w:t>
      </w:r>
      <w:r w:rsidRPr="001E060E">
        <w:t>including hour-specific weather coefficients</w:t>
      </w:r>
      <w:r>
        <w:t>;</w:t>
      </w:r>
    </w:p>
    <w:p w14:paraId="1C8E294F" w14:textId="77777777" w:rsidR="00321E09" w:rsidRPr="001E060E" w:rsidRDefault="00321E09" w:rsidP="005E68AA">
      <w:pPr>
        <w:numPr>
          <w:ilvl w:val="0"/>
          <w:numId w:val="1"/>
        </w:numPr>
      </w:pPr>
      <w:r w:rsidRPr="001E060E">
        <w:t xml:space="preserve">Event </w:t>
      </w:r>
      <w:r>
        <w:t xml:space="preserve">variables. A series of dummy variables was included to account for each hour of each event day, allowing us to estimate the load impacts for all hours across the event days.  </w:t>
      </w:r>
    </w:p>
    <w:p w14:paraId="14D3710D" w14:textId="77777777" w:rsidR="00321E09" w:rsidRDefault="00321E09" w:rsidP="005E68AA"/>
    <w:p w14:paraId="0EA4BFCA" w14:textId="6B2F2C01" w:rsidR="00321E09" w:rsidRDefault="00321E09" w:rsidP="005E68AA">
      <w:r>
        <w:t xml:space="preserve">The models use the </w:t>
      </w:r>
      <w:r w:rsidRPr="00533155">
        <w:t>level</w:t>
      </w:r>
      <w:r>
        <w:t xml:space="preserve"> of hourly demand (kW) as the dependent variable and a separate equation is estimated for each enrolled customer. As a result, the coefficients on the event day/hour variables are direct estimates of the </w:t>
      </w:r>
      <w:r w:rsidRPr="00C6455B">
        <w:rPr>
          <w:i/>
        </w:rPr>
        <w:t>ex</w:t>
      </w:r>
      <w:r w:rsidR="00C6455B" w:rsidRPr="00C6455B">
        <w:rPr>
          <w:i/>
        </w:rPr>
        <w:t>-</w:t>
      </w:r>
      <w:r w:rsidRPr="00C6455B">
        <w:rPr>
          <w:i/>
        </w:rPr>
        <w:t>post</w:t>
      </w:r>
      <w:r>
        <w:t xml:space="preserve"> </w:t>
      </w:r>
      <w:r w:rsidR="003C6CFC">
        <w:t>load impacts. For example, a BIP</w:t>
      </w:r>
      <w:r>
        <w:t xml:space="preserve"> hour 1</w:t>
      </w:r>
      <w:r w:rsidR="00264B54">
        <w:t>5</w:t>
      </w:r>
      <w:r>
        <w:t xml:space="preserve"> event coefficient of -100 would mean that the customer reduced load by 100 kWh during hour 1</w:t>
      </w:r>
      <w:r w:rsidR="00264B54">
        <w:t>5</w:t>
      </w:r>
      <w:r>
        <w:t xml:space="preserve"> of that event day relative to its normal usage in that hour. Weekends and holidays were excluded from the estimation database.</w:t>
      </w:r>
      <w:r w:rsidRPr="00BE6F16">
        <w:rPr>
          <w:rStyle w:val="FootnoteReference"/>
        </w:rPr>
        <w:footnoteReference w:id="8"/>
      </w:r>
      <w:r>
        <w:t xml:space="preserve">  </w:t>
      </w:r>
    </w:p>
    <w:p w14:paraId="615E6779" w14:textId="77777777" w:rsidR="002459F5" w:rsidRDefault="002459F5" w:rsidP="005E68AA"/>
    <w:p w14:paraId="7DB4648B" w14:textId="3F91A9FB" w:rsidR="002459F5" w:rsidRDefault="002459F5" w:rsidP="005E68AA">
      <w:r>
        <w:t>We tested a variety of weather variables in an attempt to determine which set best explains usage on event-like non-event days.</w:t>
      </w:r>
      <w:r w:rsidR="00B23499">
        <w:t xml:space="preserve"> </w:t>
      </w:r>
      <w:r w:rsidR="004E0BDB">
        <w:t>Each c</w:t>
      </w:r>
      <w:r w:rsidR="00B23499">
        <w:t>ustomer</w:t>
      </w:r>
      <w:r w:rsidR="004E0BDB">
        <w:t xml:space="preserve"> was</w:t>
      </w:r>
      <w:r w:rsidR="00B23499">
        <w:t xml:space="preserve"> first classified </w:t>
      </w:r>
      <w:r w:rsidR="00B23499">
        <w:lastRenderedPageBreak/>
        <w:t xml:space="preserve">according to whether </w:t>
      </w:r>
      <w:r w:rsidR="004E0BDB">
        <w:t xml:space="preserve">it is </w:t>
      </w:r>
      <w:r w:rsidR="00B23499">
        <w:t xml:space="preserve">weather-sensitive. </w:t>
      </w:r>
      <w:r w:rsidR="007A00BA">
        <w:t>We then selected specifications by customer group, defined by industry group and weather sensitivity (</w:t>
      </w:r>
      <w:r w:rsidR="007A00BA" w:rsidRPr="007A00BA">
        <w:rPr>
          <w:i/>
        </w:rPr>
        <w:t>i.e.</w:t>
      </w:r>
      <w:r w:rsidR="007A00BA">
        <w:t xml:space="preserve">, </w:t>
      </w:r>
      <w:r w:rsidR="004E0BDB">
        <w:t xml:space="preserve">sixteen groups, with eight industry groups for each of the </w:t>
      </w:r>
      <w:r w:rsidR="007A00BA">
        <w:t>non-weather-sensitive customers and weather-sensitive customers).</w:t>
      </w:r>
      <w:r>
        <w:t xml:space="preserve"> This process and its results are explained in </w:t>
      </w:r>
      <w:r w:rsidR="00002762">
        <w:t>Appendix A</w:t>
      </w:r>
      <w:r>
        <w:t>.</w:t>
      </w:r>
    </w:p>
    <w:p w14:paraId="0C8235AA" w14:textId="77777777" w:rsidR="00321E09" w:rsidRDefault="00321E09" w:rsidP="008943AD">
      <w:pPr>
        <w:pStyle w:val="Heading2"/>
      </w:pPr>
      <w:bookmarkStart w:id="65" w:name="_Toc510091106"/>
      <w:r>
        <w:t>3.2 Description of methods</w:t>
      </w:r>
      <w:bookmarkEnd w:id="65"/>
    </w:p>
    <w:p w14:paraId="7A517653" w14:textId="77777777" w:rsidR="00321E09" w:rsidRPr="00146E50" w:rsidRDefault="00321E09" w:rsidP="00146E50">
      <w:pPr>
        <w:pStyle w:val="Heading3"/>
        <w:rPr>
          <w:sz w:val="22"/>
          <w:szCs w:val="22"/>
        </w:rPr>
      </w:pPr>
      <w:bookmarkStart w:id="66" w:name="_Toc510091107"/>
      <w:r>
        <w:rPr>
          <w:sz w:val="22"/>
          <w:szCs w:val="22"/>
        </w:rPr>
        <w:t>3</w:t>
      </w:r>
      <w:r w:rsidRPr="00146E50">
        <w:rPr>
          <w:sz w:val="22"/>
          <w:szCs w:val="22"/>
        </w:rPr>
        <w:t>.2.</w:t>
      </w:r>
      <w:r>
        <w:rPr>
          <w:sz w:val="22"/>
          <w:szCs w:val="22"/>
        </w:rPr>
        <w:t>1</w:t>
      </w:r>
      <w:r w:rsidRPr="00146E50">
        <w:rPr>
          <w:sz w:val="22"/>
          <w:szCs w:val="22"/>
        </w:rPr>
        <w:t xml:space="preserve"> </w:t>
      </w:r>
      <w:r>
        <w:rPr>
          <w:sz w:val="22"/>
          <w:szCs w:val="22"/>
        </w:rPr>
        <w:t>Regression</w:t>
      </w:r>
      <w:r w:rsidRPr="00146E50">
        <w:rPr>
          <w:sz w:val="22"/>
          <w:szCs w:val="22"/>
        </w:rPr>
        <w:t xml:space="preserve"> Model</w:t>
      </w:r>
      <w:bookmarkEnd w:id="66"/>
    </w:p>
    <w:p w14:paraId="22353781" w14:textId="27B729A7" w:rsidR="00321E09" w:rsidRDefault="00321E09" w:rsidP="00B81672">
      <w:r>
        <w:t xml:space="preserve">The </w:t>
      </w:r>
      <w:r w:rsidR="00F0560D">
        <w:t xml:space="preserve">following </w:t>
      </w:r>
      <w:r w:rsidR="00323D2C">
        <w:t xml:space="preserve">is a general form of the </w:t>
      </w:r>
      <w:r>
        <w:t xml:space="preserve">model </w:t>
      </w:r>
      <w:r w:rsidR="00323D2C">
        <w:t xml:space="preserve">that </w:t>
      </w:r>
      <w:r>
        <w:t xml:space="preserve">was separately estimated for each enrolled </w:t>
      </w:r>
      <w:r w:rsidR="00323D2C">
        <w:t>BIP</w:t>
      </w:r>
      <w:r w:rsidR="00F0560D">
        <w:t xml:space="preserve"> </w:t>
      </w:r>
      <w:r>
        <w:t>customer.</w:t>
      </w:r>
      <w:r w:rsidR="00323D2C">
        <w:t xml:space="preserve"> The specific form of the model varied across utilities and customer groups, </w:t>
      </w:r>
      <w:r w:rsidR="00323D2C" w:rsidRPr="004E0BDB">
        <w:t>as shown in Appendix A</w:t>
      </w:r>
      <w:r w:rsidR="00323D2C">
        <w:t>.</w:t>
      </w:r>
      <w:r w:rsidR="003C6CFC">
        <w:t xml:space="preserve"> </w:t>
      </w:r>
      <w:r w:rsidR="00F0560D" w:rsidRPr="00F7384B">
        <w:t>Table 3.1 below descr</w:t>
      </w:r>
      <w:r w:rsidR="0076511F">
        <w:t>ibes the terms included in this</w:t>
      </w:r>
      <w:r w:rsidR="00F0560D" w:rsidRPr="00F7384B">
        <w:t xml:space="preserve"> equation</w:t>
      </w:r>
      <w:r w:rsidR="0076511F">
        <w:t xml:space="preserve"> for the observed demand in a given hour </w:t>
      </w:r>
      <w:r w:rsidR="0076511F" w:rsidRPr="0076511F">
        <w:rPr>
          <w:rFonts w:ascii="Times New Roman" w:hAnsi="Times New Roman"/>
          <w:i/>
        </w:rPr>
        <w:t>h</w:t>
      </w:r>
      <w:r w:rsidR="0076511F">
        <w:rPr>
          <w:i/>
        </w:rPr>
        <w:t xml:space="preserve"> </w:t>
      </w:r>
      <w:r w:rsidR="0076511F">
        <w:t xml:space="preserve">and date </w:t>
      </w:r>
      <w:r w:rsidR="0076511F" w:rsidRPr="0076511F">
        <w:rPr>
          <w:rFonts w:ascii="Times New Roman" w:hAnsi="Times New Roman"/>
          <w:i/>
        </w:rPr>
        <w:t>d</w:t>
      </w:r>
      <w:r w:rsidR="0076511F">
        <w:t>:</w:t>
      </w:r>
    </w:p>
    <w:p w14:paraId="6F9B6DA1" w14:textId="77777777" w:rsidR="000F08B5" w:rsidRPr="00E92D52" w:rsidRDefault="000F08B5" w:rsidP="00B81672">
      <w:pPr>
        <w:rPr>
          <w:b/>
        </w:rPr>
      </w:pPr>
    </w:p>
    <w:p w14:paraId="6E9F1252" w14:textId="5FCC6322" w:rsidR="00321E09" w:rsidRDefault="00C810F3" w:rsidP="00B81672">
      <w:r w:rsidRPr="00C810F3">
        <w:rPr>
          <w:position w:val="-124"/>
        </w:rPr>
        <w:object w:dxaOrig="7839" w:dyaOrig="2600" w14:anchorId="14F34F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4pt;height:129.75pt" o:ole="">
            <v:imagedata r:id="rId19" o:title=""/>
          </v:shape>
          <o:OLEObject Type="Embed" ProgID="Equation.3" ShapeID="_x0000_i1025" DrawAspect="Content" ObjectID="_1583832934" r:id="rId20"/>
        </w:object>
      </w:r>
    </w:p>
    <w:p w14:paraId="3295B4ED" w14:textId="77777777" w:rsidR="00F0560D" w:rsidRDefault="00F0560D" w:rsidP="00B81672"/>
    <w:p w14:paraId="223DAC99" w14:textId="54CB9A9A" w:rsidR="00E92D52" w:rsidRPr="00852320" w:rsidRDefault="00E92D52" w:rsidP="00E92D52">
      <w:pPr>
        <w:pStyle w:val="TableCaption"/>
        <w:keepNext/>
        <w:keepLines/>
      </w:pPr>
      <w:bookmarkStart w:id="67" w:name="_Toc508800214"/>
      <w:r w:rsidRPr="00852320">
        <w:lastRenderedPageBreak/>
        <w:t xml:space="preserve">Table 3.1: Descriptions of </w:t>
      </w:r>
      <w:r w:rsidR="0048227B">
        <w:t>Variable</w:t>
      </w:r>
      <w:r w:rsidRPr="00852320">
        <w:t xml:space="preserve">s included in the </w:t>
      </w:r>
      <w:r w:rsidRPr="002E033B">
        <w:rPr>
          <w:i/>
        </w:rPr>
        <w:t>Ex</w:t>
      </w:r>
      <w:r w:rsidR="002E033B" w:rsidRPr="002E033B">
        <w:rPr>
          <w:i/>
        </w:rPr>
        <w:t>-p</w:t>
      </w:r>
      <w:r w:rsidRPr="002E033B">
        <w:rPr>
          <w:i/>
        </w:rPr>
        <w:t>ost</w:t>
      </w:r>
      <w:r w:rsidRPr="00852320">
        <w:t xml:space="preserve"> Regression Equation</w:t>
      </w:r>
      <w:bookmarkEnd w:id="6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5"/>
        <w:gridCol w:w="6735"/>
      </w:tblGrid>
      <w:tr w:rsidR="006F02FD" w14:paraId="4E48AD27" w14:textId="77777777" w:rsidTr="006B55F6">
        <w:trPr>
          <w:jc w:val="center"/>
        </w:trPr>
        <w:tc>
          <w:tcPr>
            <w:tcW w:w="1895" w:type="dxa"/>
            <w:tcBorders>
              <w:right w:val="single" w:sz="4" w:space="0" w:color="FFFFFF" w:themeColor="background1"/>
            </w:tcBorders>
            <w:shd w:val="clear" w:color="auto" w:fill="0C2577"/>
            <w:vAlign w:val="center"/>
          </w:tcPr>
          <w:p w14:paraId="33131F75" w14:textId="41BF1AD0" w:rsidR="00E92D52" w:rsidRPr="00AA745A" w:rsidRDefault="0048227B" w:rsidP="00AA745A">
            <w:pPr>
              <w:keepNext/>
              <w:keepLines/>
              <w:jc w:val="center"/>
              <w:rPr>
                <w:rFonts w:ascii="Arial" w:hAnsi="Arial" w:cs="Arial"/>
                <w:b/>
                <w:sz w:val="20"/>
                <w:szCs w:val="20"/>
              </w:rPr>
            </w:pPr>
            <w:r>
              <w:rPr>
                <w:rFonts w:ascii="Arial" w:hAnsi="Arial" w:cs="Arial"/>
                <w:b/>
                <w:sz w:val="20"/>
                <w:szCs w:val="20"/>
              </w:rPr>
              <w:t xml:space="preserve">Variable Name </w:t>
            </w:r>
          </w:p>
        </w:tc>
        <w:tc>
          <w:tcPr>
            <w:tcW w:w="6735" w:type="dxa"/>
            <w:tcBorders>
              <w:left w:val="single" w:sz="4" w:space="0" w:color="FFFFFF" w:themeColor="background1"/>
            </w:tcBorders>
            <w:shd w:val="clear" w:color="auto" w:fill="0C2577"/>
            <w:vAlign w:val="center"/>
          </w:tcPr>
          <w:p w14:paraId="7FAA95FB" w14:textId="2B248559" w:rsidR="00E92D52" w:rsidRPr="00AA745A" w:rsidRDefault="0048227B" w:rsidP="00AA745A">
            <w:pPr>
              <w:keepNext/>
              <w:keepLines/>
              <w:jc w:val="center"/>
              <w:rPr>
                <w:rFonts w:ascii="Arial" w:hAnsi="Arial" w:cs="Arial"/>
                <w:b/>
                <w:sz w:val="20"/>
                <w:szCs w:val="20"/>
              </w:rPr>
            </w:pPr>
            <w:r>
              <w:rPr>
                <w:rFonts w:ascii="Arial" w:hAnsi="Arial" w:cs="Arial"/>
                <w:b/>
                <w:sz w:val="20"/>
                <w:szCs w:val="20"/>
              </w:rPr>
              <w:t>Variable</w:t>
            </w:r>
            <w:r w:rsidR="00E92D52" w:rsidRPr="00AA745A">
              <w:rPr>
                <w:rFonts w:ascii="Arial" w:hAnsi="Arial" w:cs="Arial"/>
                <w:b/>
                <w:sz w:val="20"/>
                <w:szCs w:val="20"/>
              </w:rPr>
              <w:t xml:space="preserve"> Description</w:t>
            </w:r>
          </w:p>
        </w:tc>
      </w:tr>
      <w:tr w:rsidR="006F02FD" w14:paraId="39A5A6CA" w14:textId="77777777" w:rsidTr="00323D2C">
        <w:trPr>
          <w:trHeight w:val="331"/>
          <w:jc w:val="center"/>
        </w:trPr>
        <w:tc>
          <w:tcPr>
            <w:tcW w:w="1895" w:type="dxa"/>
            <w:shd w:val="clear" w:color="auto" w:fill="auto"/>
            <w:vAlign w:val="center"/>
          </w:tcPr>
          <w:p w14:paraId="55278B75" w14:textId="77542743" w:rsidR="00E92D52" w:rsidRPr="006F02FD" w:rsidRDefault="00E92D52" w:rsidP="00DF3784">
            <w:pPr>
              <w:keepNext/>
              <w:keepLines/>
              <w:jc w:val="center"/>
              <w:rPr>
                <w:rFonts w:ascii="Times New Roman" w:hAnsi="Times New Roman"/>
              </w:rPr>
            </w:pPr>
            <w:r w:rsidRPr="006F02FD">
              <w:rPr>
                <w:rFonts w:ascii="Times New Roman" w:hAnsi="Times New Roman"/>
                <w:i/>
              </w:rPr>
              <w:t>Q</w:t>
            </w:r>
            <w:r w:rsidR="00DF3784">
              <w:rPr>
                <w:rFonts w:ascii="Times New Roman" w:hAnsi="Times New Roman"/>
                <w:i/>
                <w:sz w:val="22"/>
                <w:szCs w:val="22"/>
                <w:vertAlign w:val="subscript"/>
              </w:rPr>
              <w:t>t</w:t>
            </w:r>
          </w:p>
        </w:tc>
        <w:tc>
          <w:tcPr>
            <w:tcW w:w="6735" w:type="dxa"/>
            <w:shd w:val="clear" w:color="auto" w:fill="auto"/>
            <w:vAlign w:val="center"/>
          </w:tcPr>
          <w:p w14:paraId="691DDC9F" w14:textId="22B6C928" w:rsidR="00E92D52" w:rsidRPr="00AA745A" w:rsidRDefault="00E92D52" w:rsidP="006A7D43">
            <w:pPr>
              <w:keepNext/>
              <w:keepLines/>
              <w:rPr>
                <w:rFonts w:ascii="Arial" w:hAnsi="Arial" w:cs="Arial"/>
                <w:sz w:val="20"/>
                <w:szCs w:val="20"/>
              </w:rPr>
            </w:pPr>
            <w:r w:rsidRPr="00AA745A">
              <w:rPr>
                <w:rFonts w:ascii="Arial" w:hAnsi="Arial" w:cs="Arial"/>
                <w:sz w:val="20"/>
                <w:szCs w:val="20"/>
              </w:rPr>
              <w:t xml:space="preserve">the demand in hour </w:t>
            </w:r>
            <w:r w:rsidR="006A7D43">
              <w:rPr>
                <w:rFonts w:ascii="Times New Roman" w:hAnsi="Times New Roman"/>
                <w:i/>
                <w:sz w:val="22"/>
                <w:szCs w:val="22"/>
              </w:rPr>
              <w:t>t</w:t>
            </w:r>
            <w:r w:rsidR="006A7D43">
              <w:rPr>
                <w:rFonts w:ascii="Arial" w:hAnsi="Arial" w:cs="Arial"/>
                <w:sz w:val="20"/>
                <w:szCs w:val="20"/>
              </w:rPr>
              <w:t xml:space="preserve"> </w:t>
            </w:r>
            <w:r w:rsidRPr="00AA745A">
              <w:rPr>
                <w:rFonts w:ascii="Arial" w:hAnsi="Arial" w:cs="Arial"/>
                <w:sz w:val="20"/>
                <w:szCs w:val="20"/>
              </w:rPr>
              <w:t xml:space="preserve">for a </w:t>
            </w:r>
            <w:r w:rsidR="006B577B">
              <w:rPr>
                <w:rFonts w:ascii="Arial" w:hAnsi="Arial" w:cs="Arial"/>
                <w:sz w:val="20"/>
                <w:szCs w:val="20"/>
              </w:rPr>
              <w:t xml:space="preserve">BIP </w:t>
            </w:r>
            <w:r w:rsidRPr="00AA745A">
              <w:rPr>
                <w:rFonts w:ascii="Arial" w:hAnsi="Arial" w:cs="Arial"/>
                <w:sz w:val="20"/>
                <w:szCs w:val="20"/>
              </w:rPr>
              <w:t xml:space="preserve">customer </w:t>
            </w:r>
          </w:p>
        </w:tc>
      </w:tr>
      <w:tr w:rsidR="006F02FD" w14:paraId="6CCEAF4B" w14:textId="77777777" w:rsidTr="00323D2C">
        <w:trPr>
          <w:trHeight w:val="331"/>
          <w:jc w:val="center"/>
        </w:trPr>
        <w:tc>
          <w:tcPr>
            <w:tcW w:w="1895" w:type="dxa"/>
            <w:shd w:val="clear" w:color="auto" w:fill="auto"/>
            <w:vAlign w:val="center"/>
          </w:tcPr>
          <w:p w14:paraId="22FC63DC" w14:textId="77777777" w:rsidR="00E92D52" w:rsidRPr="006F02FD" w:rsidRDefault="00E92D52" w:rsidP="00AA745A">
            <w:pPr>
              <w:keepNext/>
              <w:keepLines/>
              <w:jc w:val="center"/>
              <w:rPr>
                <w:rFonts w:ascii="Times New Roman" w:hAnsi="Times New Roman"/>
              </w:rPr>
            </w:pPr>
            <w:r w:rsidRPr="0048227B">
              <w:rPr>
                <w:rFonts w:ascii="Arial" w:hAnsi="Arial" w:cs="Arial"/>
                <w:sz w:val="20"/>
                <w:szCs w:val="20"/>
              </w:rPr>
              <w:t>The various</w:t>
            </w:r>
            <w:r w:rsidRPr="006F02FD">
              <w:rPr>
                <w:rFonts w:ascii="Times New Roman" w:hAnsi="Times New Roman"/>
              </w:rPr>
              <w:t xml:space="preserve"> </w:t>
            </w:r>
            <w:r w:rsidRPr="006F02FD">
              <w:rPr>
                <w:rFonts w:ascii="Times New Roman" w:hAnsi="Times New Roman"/>
                <w:i/>
              </w:rPr>
              <w:t>b</w:t>
            </w:r>
            <w:r w:rsidRPr="0048227B">
              <w:rPr>
                <w:rFonts w:ascii="Arial" w:hAnsi="Arial" w:cs="Arial"/>
                <w:sz w:val="20"/>
                <w:szCs w:val="20"/>
              </w:rPr>
              <w:t>’s</w:t>
            </w:r>
            <w:r w:rsidRPr="006F02FD">
              <w:rPr>
                <w:rFonts w:ascii="Times New Roman" w:hAnsi="Times New Roman"/>
              </w:rPr>
              <w:t xml:space="preserve"> </w:t>
            </w:r>
          </w:p>
        </w:tc>
        <w:tc>
          <w:tcPr>
            <w:tcW w:w="6735" w:type="dxa"/>
            <w:shd w:val="clear" w:color="auto" w:fill="auto"/>
            <w:vAlign w:val="center"/>
          </w:tcPr>
          <w:p w14:paraId="478FA58B"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the estimated parameters</w:t>
            </w:r>
          </w:p>
        </w:tc>
      </w:tr>
      <w:tr w:rsidR="00DF3784" w14:paraId="5636530E" w14:textId="77777777" w:rsidTr="00323D2C">
        <w:trPr>
          <w:trHeight w:val="331"/>
          <w:jc w:val="center"/>
        </w:trPr>
        <w:tc>
          <w:tcPr>
            <w:tcW w:w="1895" w:type="dxa"/>
            <w:shd w:val="clear" w:color="auto" w:fill="auto"/>
            <w:vAlign w:val="center"/>
          </w:tcPr>
          <w:p w14:paraId="7A31706E" w14:textId="4DD8451C" w:rsidR="00DF3784" w:rsidRPr="0048227B" w:rsidRDefault="00DF3784" w:rsidP="00DF3784">
            <w:pPr>
              <w:keepNext/>
              <w:keepLines/>
              <w:jc w:val="center"/>
              <w:rPr>
                <w:rFonts w:ascii="Arial" w:hAnsi="Arial" w:cs="Arial"/>
                <w:sz w:val="20"/>
                <w:szCs w:val="20"/>
              </w:rPr>
            </w:pPr>
            <w:r>
              <w:rPr>
                <w:rFonts w:ascii="Times New Roman" w:hAnsi="Times New Roman"/>
                <w:i/>
              </w:rPr>
              <w:t>h</w:t>
            </w:r>
            <w:r>
              <w:rPr>
                <w:rFonts w:ascii="Times New Roman" w:hAnsi="Times New Roman"/>
                <w:i/>
                <w:sz w:val="22"/>
                <w:szCs w:val="22"/>
                <w:vertAlign w:val="subscript"/>
              </w:rPr>
              <w:t>i,t</w:t>
            </w:r>
          </w:p>
        </w:tc>
        <w:tc>
          <w:tcPr>
            <w:tcW w:w="6735" w:type="dxa"/>
            <w:shd w:val="clear" w:color="auto" w:fill="auto"/>
            <w:vAlign w:val="center"/>
          </w:tcPr>
          <w:p w14:paraId="55B32F9C" w14:textId="74E53B63" w:rsidR="00DF3784" w:rsidRPr="00AA745A" w:rsidRDefault="00DF3784" w:rsidP="00DF3784">
            <w:pPr>
              <w:keepNext/>
              <w:keepLines/>
              <w:rPr>
                <w:rFonts w:ascii="Arial" w:hAnsi="Arial" w:cs="Arial"/>
                <w:sz w:val="20"/>
                <w:szCs w:val="20"/>
              </w:rPr>
            </w:pPr>
            <w:r>
              <w:rPr>
                <w:rFonts w:ascii="Arial" w:hAnsi="Arial" w:cs="Arial"/>
                <w:sz w:val="20"/>
                <w:szCs w:val="20"/>
              </w:rPr>
              <w:t xml:space="preserve">an indicator variable for hour </w:t>
            </w:r>
            <w:r>
              <w:rPr>
                <w:rFonts w:ascii="Times New Roman" w:hAnsi="Times New Roman"/>
                <w:i/>
                <w:sz w:val="22"/>
                <w:szCs w:val="22"/>
              </w:rPr>
              <w:t>i</w:t>
            </w:r>
            <w:r>
              <w:rPr>
                <w:rFonts w:ascii="Arial" w:hAnsi="Arial" w:cs="Arial"/>
                <w:sz w:val="20"/>
                <w:szCs w:val="20"/>
              </w:rPr>
              <w:t xml:space="preserve">, equal to one when </w:t>
            </w:r>
            <w:r w:rsidRPr="00DF3784">
              <w:rPr>
                <w:rFonts w:ascii="Times New Roman" w:hAnsi="Times New Roman"/>
                <w:i/>
                <w:sz w:val="22"/>
                <w:szCs w:val="22"/>
              </w:rPr>
              <w:t>t</w:t>
            </w:r>
            <w:r>
              <w:rPr>
                <w:rFonts w:ascii="Arial" w:hAnsi="Arial" w:cs="Arial"/>
                <w:sz w:val="20"/>
                <w:szCs w:val="20"/>
              </w:rPr>
              <w:t xml:space="preserve"> </w:t>
            </w:r>
            <w:r w:rsidR="00C62AEB">
              <w:rPr>
                <w:rFonts w:ascii="Arial" w:hAnsi="Arial" w:cs="Arial"/>
                <w:sz w:val="20"/>
                <w:szCs w:val="20"/>
              </w:rPr>
              <w:t xml:space="preserve">corresponds to </w:t>
            </w:r>
            <w:r>
              <w:rPr>
                <w:rFonts w:ascii="Arial" w:hAnsi="Arial" w:cs="Arial"/>
                <w:sz w:val="20"/>
                <w:szCs w:val="20"/>
              </w:rPr>
              <w:t>hour</w:t>
            </w:r>
            <w:r w:rsidR="00C62AEB">
              <w:rPr>
                <w:rFonts w:ascii="Arial" w:hAnsi="Arial" w:cs="Arial"/>
                <w:sz w:val="20"/>
                <w:szCs w:val="20"/>
              </w:rPr>
              <w:t xml:space="preserve"> </w:t>
            </w:r>
            <w:r w:rsidR="00C62AEB">
              <w:rPr>
                <w:rFonts w:ascii="Times New Roman" w:hAnsi="Times New Roman"/>
                <w:i/>
                <w:sz w:val="22"/>
                <w:szCs w:val="22"/>
              </w:rPr>
              <w:t>i</w:t>
            </w:r>
            <w:r>
              <w:rPr>
                <w:rFonts w:ascii="Arial" w:hAnsi="Arial" w:cs="Arial"/>
                <w:sz w:val="20"/>
                <w:szCs w:val="20"/>
              </w:rPr>
              <w:t xml:space="preserve"> of a </w:t>
            </w:r>
            <w:r w:rsidR="00C62AEB">
              <w:rPr>
                <w:rFonts w:ascii="Arial" w:hAnsi="Arial" w:cs="Arial"/>
                <w:sz w:val="20"/>
                <w:szCs w:val="20"/>
              </w:rPr>
              <w:t xml:space="preserve">given </w:t>
            </w:r>
            <w:r>
              <w:rPr>
                <w:rFonts w:ascii="Arial" w:hAnsi="Arial" w:cs="Arial"/>
                <w:sz w:val="20"/>
                <w:szCs w:val="20"/>
              </w:rPr>
              <w:t>day</w:t>
            </w:r>
          </w:p>
        </w:tc>
      </w:tr>
      <w:tr w:rsidR="006F02FD" w14:paraId="7D152356" w14:textId="77777777" w:rsidTr="00323D2C">
        <w:trPr>
          <w:trHeight w:val="331"/>
          <w:jc w:val="center"/>
        </w:trPr>
        <w:tc>
          <w:tcPr>
            <w:tcW w:w="1895" w:type="dxa"/>
            <w:shd w:val="clear" w:color="auto" w:fill="auto"/>
            <w:vAlign w:val="center"/>
          </w:tcPr>
          <w:p w14:paraId="5027BC5E" w14:textId="167FA1C2" w:rsidR="006B577B" w:rsidRPr="006F02FD" w:rsidRDefault="00C62AEB" w:rsidP="00C62AEB">
            <w:pPr>
              <w:keepNext/>
              <w:keepLines/>
              <w:jc w:val="center"/>
              <w:rPr>
                <w:rFonts w:ascii="Times New Roman" w:hAnsi="Times New Roman"/>
              </w:rPr>
            </w:pPr>
            <w:r>
              <w:rPr>
                <w:rFonts w:ascii="Times New Roman" w:hAnsi="Times New Roman"/>
                <w:i/>
              </w:rPr>
              <w:t>BIP</w:t>
            </w:r>
            <w:r>
              <w:rPr>
                <w:rFonts w:ascii="Times New Roman" w:hAnsi="Times New Roman"/>
                <w:i/>
                <w:sz w:val="22"/>
                <w:szCs w:val="22"/>
                <w:vertAlign w:val="subscript"/>
              </w:rPr>
              <w:t>t</w:t>
            </w:r>
          </w:p>
        </w:tc>
        <w:tc>
          <w:tcPr>
            <w:tcW w:w="6735" w:type="dxa"/>
            <w:shd w:val="clear" w:color="auto" w:fill="auto"/>
            <w:vAlign w:val="center"/>
          </w:tcPr>
          <w:p w14:paraId="1F724030" w14:textId="7AA3DA3E" w:rsidR="006B577B" w:rsidRPr="00AA745A" w:rsidRDefault="006B577B" w:rsidP="00AA745A">
            <w:pPr>
              <w:keepNext/>
              <w:keepLines/>
              <w:rPr>
                <w:rFonts w:ascii="Arial" w:hAnsi="Arial" w:cs="Arial"/>
                <w:sz w:val="20"/>
                <w:szCs w:val="20"/>
              </w:rPr>
            </w:pPr>
            <w:r w:rsidRPr="00AA745A">
              <w:rPr>
                <w:rFonts w:ascii="Arial" w:hAnsi="Arial" w:cs="Arial"/>
                <w:sz w:val="20"/>
                <w:szCs w:val="20"/>
              </w:rPr>
              <w:t>an indicator variable for program event day</w:t>
            </w:r>
            <w:r w:rsidR="00C62AEB">
              <w:rPr>
                <w:rFonts w:ascii="Arial" w:hAnsi="Arial" w:cs="Arial"/>
                <w:sz w:val="20"/>
                <w:szCs w:val="20"/>
              </w:rPr>
              <w:t>s</w:t>
            </w:r>
          </w:p>
        </w:tc>
      </w:tr>
      <w:tr w:rsidR="006F02FD" w14:paraId="7222DC45" w14:textId="77777777" w:rsidTr="00323D2C">
        <w:trPr>
          <w:trHeight w:val="331"/>
          <w:jc w:val="center"/>
        </w:trPr>
        <w:tc>
          <w:tcPr>
            <w:tcW w:w="1895" w:type="dxa"/>
            <w:shd w:val="clear" w:color="auto" w:fill="auto"/>
            <w:vAlign w:val="center"/>
          </w:tcPr>
          <w:p w14:paraId="6A924ED2" w14:textId="4AE9AECE" w:rsidR="006B577B" w:rsidRPr="006F02FD" w:rsidRDefault="006B577B" w:rsidP="006B577B">
            <w:pPr>
              <w:keepNext/>
              <w:keepLines/>
              <w:jc w:val="center"/>
              <w:rPr>
                <w:rFonts w:ascii="Times New Roman" w:hAnsi="Times New Roman"/>
                <w:i/>
              </w:rPr>
            </w:pPr>
            <w:r w:rsidRPr="006F02FD">
              <w:rPr>
                <w:rFonts w:ascii="Times New Roman" w:hAnsi="Times New Roman"/>
                <w:i/>
              </w:rPr>
              <w:t>E</w:t>
            </w:r>
          </w:p>
        </w:tc>
        <w:tc>
          <w:tcPr>
            <w:tcW w:w="6735" w:type="dxa"/>
            <w:shd w:val="clear" w:color="auto" w:fill="auto"/>
            <w:vAlign w:val="center"/>
          </w:tcPr>
          <w:p w14:paraId="09E6B10C" w14:textId="0BBFE3D4" w:rsidR="006B577B" w:rsidRPr="00AA745A" w:rsidRDefault="006B577B" w:rsidP="006F02FD">
            <w:pPr>
              <w:keepNext/>
              <w:keepLines/>
              <w:rPr>
                <w:rFonts w:ascii="Arial" w:hAnsi="Arial" w:cs="Arial"/>
                <w:sz w:val="20"/>
                <w:szCs w:val="20"/>
              </w:rPr>
            </w:pPr>
            <w:r w:rsidRPr="00AA745A">
              <w:rPr>
                <w:rFonts w:ascii="Arial" w:hAnsi="Arial" w:cs="Arial"/>
                <w:sz w:val="20"/>
                <w:szCs w:val="20"/>
              </w:rPr>
              <w:t xml:space="preserve">the number of </w:t>
            </w:r>
            <w:r w:rsidR="006F02FD">
              <w:rPr>
                <w:rFonts w:ascii="Arial" w:hAnsi="Arial" w:cs="Arial"/>
                <w:sz w:val="20"/>
                <w:szCs w:val="20"/>
              </w:rPr>
              <w:t>program</w:t>
            </w:r>
            <w:r>
              <w:rPr>
                <w:rFonts w:ascii="Arial" w:hAnsi="Arial" w:cs="Arial"/>
                <w:sz w:val="20"/>
                <w:szCs w:val="20"/>
              </w:rPr>
              <w:t xml:space="preserve"> </w:t>
            </w:r>
            <w:r w:rsidRPr="00AA745A">
              <w:rPr>
                <w:rFonts w:ascii="Arial" w:hAnsi="Arial" w:cs="Arial"/>
                <w:sz w:val="20"/>
                <w:szCs w:val="20"/>
              </w:rPr>
              <w:t xml:space="preserve">event days that occurred during the program year </w:t>
            </w:r>
          </w:p>
        </w:tc>
      </w:tr>
      <w:tr w:rsidR="006F02FD" w14:paraId="651DAC97" w14:textId="77777777" w:rsidTr="00323D2C">
        <w:trPr>
          <w:trHeight w:val="331"/>
          <w:jc w:val="center"/>
        </w:trPr>
        <w:tc>
          <w:tcPr>
            <w:tcW w:w="1895" w:type="dxa"/>
            <w:shd w:val="clear" w:color="auto" w:fill="auto"/>
            <w:vAlign w:val="center"/>
          </w:tcPr>
          <w:p w14:paraId="548CDEB4" w14:textId="7DEAC3C2" w:rsidR="006B577B" w:rsidRPr="006F02FD" w:rsidRDefault="00C62AEB" w:rsidP="006F02FD">
            <w:pPr>
              <w:keepNext/>
              <w:keepLines/>
              <w:jc w:val="center"/>
              <w:rPr>
                <w:rFonts w:ascii="Times New Roman" w:hAnsi="Times New Roman"/>
                <w:i/>
              </w:rPr>
            </w:pPr>
            <w:r w:rsidRPr="00C62AEB">
              <w:rPr>
                <w:rFonts w:ascii="Times New Roman" w:hAnsi="Times New Roman"/>
                <w:position w:val="-14"/>
              </w:rPr>
              <w:object w:dxaOrig="1180" w:dyaOrig="400" w14:anchorId="5677A327">
                <v:shape id="_x0000_i1026" type="#_x0000_t75" style="width:57.75pt;height:22.5pt" o:ole="">
                  <v:imagedata r:id="rId21" o:title=""/>
                </v:shape>
                <o:OLEObject Type="Embed" ProgID="Equation.3" ShapeID="_x0000_i1026" DrawAspect="Content" ObjectID="_1583832935" r:id="rId22"/>
              </w:object>
            </w:r>
          </w:p>
        </w:tc>
        <w:tc>
          <w:tcPr>
            <w:tcW w:w="6735" w:type="dxa"/>
            <w:shd w:val="clear" w:color="auto" w:fill="auto"/>
            <w:vAlign w:val="center"/>
          </w:tcPr>
          <w:p w14:paraId="3B4870D7" w14:textId="2708DB6E" w:rsidR="006B577B" w:rsidRPr="00AA745A" w:rsidRDefault="006F02FD" w:rsidP="006F02FD">
            <w:pPr>
              <w:keepNext/>
              <w:keepLines/>
              <w:rPr>
                <w:rFonts w:ascii="Arial" w:hAnsi="Arial" w:cs="Arial"/>
                <w:sz w:val="20"/>
                <w:szCs w:val="20"/>
              </w:rPr>
            </w:pPr>
            <w:r>
              <w:rPr>
                <w:rFonts w:ascii="Arial" w:hAnsi="Arial" w:cs="Arial"/>
                <w:sz w:val="20"/>
                <w:szCs w:val="20"/>
              </w:rPr>
              <w:t xml:space="preserve">an </w:t>
            </w:r>
            <w:r w:rsidR="006B577B">
              <w:rPr>
                <w:rFonts w:ascii="Arial" w:hAnsi="Arial" w:cs="Arial"/>
                <w:sz w:val="20"/>
                <w:szCs w:val="20"/>
              </w:rPr>
              <w:t>indicator variable</w:t>
            </w:r>
            <w:r w:rsidR="006B577B" w:rsidRPr="00AA745A">
              <w:rPr>
                <w:rFonts w:ascii="Arial" w:hAnsi="Arial" w:cs="Arial"/>
                <w:sz w:val="20"/>
                <w:szCs w:val="20"/>
              </w:rPr>
              <w:t xml:space="preserve"> </w:t>
            </w:r>
            <w:r w:rsidR="006B577B">
              <w:rPr>
                <w:rFonts w:ascii="Arial" w:hAnsi="Arial" w:cs="Arial"/>
                <w:sz w:val="20"/>
                <w:szCs w:val="20"/>
              </w:rPr>
              <w:t xml:space="preserve">for </w:t>
            </w:r>
            <w:r w:rsidR="006B577B" w:rsidRPr="00AA745A">
              <w:rPr>
                <w:rFonts w:ascii="Arial" w:hAnsi="Arial" w:cs="Arial"/>
                <w:sz w:val="20"/>
                <w:szCs w:val="20"/>
              </w:rPr>
              <w:t>event day</w:t>
            </w:r>
            <w:r>
              <w:rPr>
                <w:rFonts w:ascii="Arial" w:hAnsi="Arial" w:cs="Arial"/>
                <w:sz w:val="20"/>
                <w:szCs w:val="20"/>
              </w:rPr>
              <w:t xml:space="preserve"> </w:t>
            </w:r>
            <w:r w:rsidRPr="00573D41">
              <w:rPr>
                <w:rFonts w:ascii="Times New Roman" w:hAnsi="Times New Roman"/>
                <w:i/>
              </w:rPr>
              <w:t>DR</w:t>
            </w:r>
            <w:r w:rsidR="006B577B" w:rsidRPr="00AA745A">
              <w:rPr>
                <w:rFonts w:ascii="Arial" w:hAnsi="Arial" w:cs="Arial"/>
                <w:sz w:val="20"/>
                <w:szCs w:val="20"/>
              </w:rPr>
              <w:t xml:space="preserve"> of other demand response program</w:t>
            </w:r>
            <w:r>
              <w:rPr>
                <w:rFonts w:ascii="Arial" w:hAnsi="Arial" w:cs="Arial"/>
                <w:sz w:val="20"/>
                <w:szCs w:val="20"/>
              </w:rPr>
              <w:t>s</w:t>
            </w:r>
            <w:r w:rsidR="006B577B" w:rsidRPr="00AA745A">
              <w:rPr>
                <w:rFonts w:ascii="Arial" w:hAnsi="Arial" w:cs="Arial"/>
                <w:sz w:val="20"/>
                <w:szCs w:val="20"/>
              </w:rPr>
              <w:t xml:space="preserve"> in which the customer is enrolled </w:t>
            </w:r>
            <w:r w:rsidR="006B577B">
              <w:rPr>
                <w:rFonts w:ascii="Arial" w:hAnsi="Arial" w:cs="Arial"/>
                <w:sz w:val="20"/>
                <w:szCs w:val="20"/>
              </w:rPr>
              <w:t xml:space="preserve">(e.g. </w:t>
            </w:r>
            <w:r w:rsidR="006B577B" w:rsidRPr="00573D41">
              <w:rPr>
                <w:rFonts w:ascii="Times New Roman" w:hAnsi="Times New Roman"/>
                <w:i/>
              </w:rPr>
              <w:t>DR</w:t>
            </w:r>
            <w:r w:rsidR="006B577B">
              <w:rPr>
                <w:rFonts w:ascii="Arial" w:hAnsi="Arial" w:cs="Arial"/>
                <w:sz w:val="20"/>
                <w:szCs w:val="20"/>
              </w:rPr>
              <w:t xml:space="preserve"> </w:t>
            </w:r>
            <w:r>
              <w:rPr>
                <w:rFonts w:ascii="Arial" w:hAnsi="Arial" w:cs="Arial"/>
                <w:sz w:val="20"/>
                <w:szCs w:val="20"/>
              </w:rPr>
              <w:t>=</w:t>
            </w:r>
            <w:r w:rsidR="006B577B">
              <w:rPr>
                <w:rFonts w:ascii="Arial" w:hAnsi="Arial" w:cs="Arial"/>
                <w:sz w:val="20"/>
                <w:szCs w:val="20"/>
              </w:rPr>
              <w:t xml:space="preserve"> </w:t>
            </w:r>
            <w:r w:rsidR="008D7D23">
              <w:rPr>
                <w:rFonts w:ascii="Arial" w:hAnsi="Arial" w:cs="Arial"/>
                <w:sz w:val="20"/>
                <w:szCs w:val="20"/>
              </w:rPr>
              <w:t>CPP</w:t>
            </w:r>
            <w:r>
              <w:rPr>
                <w:rFonts w:ascii="Arial" w:hAnsi="Arial" w:cs="Arial"/>
                <w:sz w:val="20"/>
                <w:szCs w:val="20"/>
              </w:rPr>
              <w:t xml:space="preserve"> Event 1, </w:t>
            </w:r>
            <w:r w:rsidR="008D7D23">
              <w:rPr>
                <w:rFonts w:ascii="Arial" w:hAnsi="Arial" w:cs="Arial"/>
                <w:sz w:val="20"/>
                <w:szCs w:val="20"/>
              </w:rPr>
              <w:t>CPP</w:t>
            </w:r>
            <w:r>
              <w:rPr>
                <w:rFonts w:ascii="Arial" w:hAnsi="Arial" w:cs="Arial"/>
                <w:sz w:val="20"/>
                <w:szCs w:val="20"/>
              </w:rPr>
              <w:t xml:space="preserve"> Event 2, </w:t>
            </w:r>
            <w:r w:rsidRPr="006A7D43">
              <w:rPr>
                <w:rFonts w:ascii="Times New Roman" w:hAnsi="Times New Roman"/>
              </w:rPr>
              <w:t>.</w:t>
            </w:r>
            <w:r>
              <w:rPr>
                <w:rFonts w:ascii="Arial" w:hAnsi="Arial" w:cs="Arial"/>
                <w:sz w:val="20"/>
                <w:szCs w:val="20"/>
              </w:rPr>
              <w:t>.</w:t>
            </w:r>
            <w:r w:rsidR="006B577B">
              <w:rPr>
                <w:rFonts w:ascii="Arial" w:hAnsi="Arial" w:cs="Arial"/>
                <w:sz w:val="20"/>
                <w:szCs w:val="20"/>
              </w:rPr>
              <w:t>.)</w:t>
            </w:r>
          </w:p>
        </w:tc>
      </w:tr>
      <w:tr w:rsidR="00C62AEB" w14:paraId="3D5292A0" w14:textId="77777777" w:rsidTr="00323D2C">
        <w:trPr>
          <w:trHeight w:val="331"/>
          <w:jc w:val="center"/>
        </w:trPr>
        <w:tc>
          <w:tcPr>
            <w:tcW w:w="1895" w:type="dxa"/>
            <w:shd w:val="clear" w:color="auto" w:fill="auto"/>
            <w:vAlign w:val="center"/>
          </w:tcPr>
          <w:p w14:paraId="12DD5ECA" w14:textId="59D03337" w:rsidR="00C62AEB" w:rsidRPr="0076511F" w:rsidRDefault="00C62AEB" w:rsidP="00C62AEB">
            <w:pPr>
              <w:keepNext/>
              <w:keepLines/>
              <w:jc w:val="center"/>
              <w:rPr>
                <w:rFonts w:ascii="Times New Roman" w:hAnsi="Times New Roman"/>
              </w:rPr>
            </w:pPr>
            <w:r w:rsidRPr="006F02FD">
              <w:rPr>
                <w:rFonts w:ascii="Times New Roman" w:hAnsi="Times New Roman"/>
                <w:i/>
              </w:rPr>
              <w:t>Weather</w:t>
            </w:r>
            <w:r>
              <w:rPr>
                <w:rFonts w:ascii="Times New Roman" w:hAnsi="Times New Roman"/>
                <w:i/>
                <w:sz w:val="22"/>
                <w:szCs w:val="22"/>
                <w:vertAlign w:val="subscript"/>
              </w:rPr>
              <w:t>t</w:t>
            </w:r>
          </w:p>
        </w:tc>
        <w:tc>
          <w:tcPr>
            <w:tcW w:w="6735" w:type="dxa"/>
            <w:shd w:val="clear" w:color="auto" w:fill="auto"/>
            <w:vAlign w:val="center"/>
          </w:tcPr>
          <w:p w14:paraId="518A2FA4" w14:textId="0A2BB190" w:rsidR="00C62AEB" w:rsidRDefault="00C62AEB" w:rsidP="00C62AEB">
            <w:pPr>
              <w:keepNext/>
              <w:keepLines/>
              <w:rPr>
                <w:rFonts w:ascii="Arial" w:hAnsi="Arial" w:cs="Arial"/>
                <w:sz w:val="20"/>
                <w:szCs w:val="20"/>
              </w:rPr>
            </w:pPr>
            <w:r w:rsidRPr="00AA745A">
              <w:rPr>
                <w:rFonts w:ascii="Arial" w:hAnsi="Arial" w:cs="Arial"/>
                <w:sz w:val="20"/>
                <w:szCs w:val="20"/>
              </w:rPr>
              <w:t xml:space="preserve">the weather variables selected using our model screening process </w:t>
            </w:r>
          </w:p>
        </w:tc>
      </w:tr>
      <w:tr w:rsidR="00C62AEB" w14:paraId="0C389461" w14:textId="77777777" w:rsidTr="00323D2C">
        <w:trPr>
          <w:trHeight w:val="331"/>
          <w:jc w:val="center"/>
        </w:trPr>
        <w:tc>
          <w:tcPr>
            <w:tcW w:w="1895" w:type="dxa"/>
            <w:shd w:val="clear" w:color="auto" w:fill="auto"/>
            <w:vAlign w:val="center"/>
          </w:tcPr>
          <w:p w14:paraId="06CD230F" w14:textId="7E74FCA4" w:rsidR="00C62AEB" w:rsidRPr="006F02FD" w:rsidRDefault="00C62AEB" w:rsidP="00C62AEB">
            <w:pPr>
              <w:keepNext/>
              <w:keepLines/>
              <w:jc w:val="center"/>
              <w:rPr>
                <w:rFonts w:ascii="Times New Roman" w:hAnsi="Times New Roman"/>
                <w:i/>
              </w:rPr>
            </w:pPr>
            <w:r w:rsidRPr="006F02FD">
              <w:rPr>
                <w:rFonts w:ascii="Times New Roman" w:hAnsi="Times New Roman"/>
                <w:i/>
              </w:rPr>
              <w:t>MornLoad</w:t>
            </w:r>
            <w:r>
              <w:rPr>
                <w:rFonts w:ascii="Times New Roman" w:hAnsi="Times New Roman"/>
                <w:i/>
                <w:sz w:val="22"/>
                <w:szCs w:val="22"/>
                <w:vertAlign w:val="subscript"/>
              </w:rPr>
              <w:t>t</w:t>
            </w:r>
          </w:p>
        </w:tc>
        <w:tc>
          <w:tcPr>
            <w:tcW w:w="6735" w:type="dxa"/>
            <w:shd w:val="clear" w:color="auto" w:fill="auto"/>
            <w:vAlign w:val="center"/>
          </w:tcPr>
          <w:p w14:paraId="06C69B18" w14:textId="021E9395" w:rsidR="00C62AEB" w:rsidRPr="00AA745A" w:rsidRDefault="00C62AEB" w:rsidP="00C62AEB">
            <w:pPr>
              <w:keepNext/>
              <w:keepLines/>
              <w:rPr>
                <w:rFonts w:ascii="Arial" w:hAnsi="Arial" w:cs="Arial"/>
                <w:sz w:val="20"/>
                <w:szCs w:val="20"/>
              </w:rPr>
            </w:pPr>
            <w:r w:rsidRPr="00AA745A">
              <w:rPr>
                <w:rFonts w:ascii="Arial" w:hAnsi="Arial" w:cs="Arial"/>
                <w:sz w:val="20"/>
                <w:szCs w:val="20"/>
              </w:rPr>
              <w:t>a variable equal to the average of the day’s load in hours 1 through 10</w:t>
            </w:r>
            <w:r w:rsidR="00323D2C">
              <w:rPr>
                <w:rFonts w:ascii="Arial" w:hAnsi="Arial" w:cs="Arial"/>
                <w:sz w:val="20"/>
                <w:szCs w:val="20"/>
              </w:rPr>
              <w:t xml:space="preserve"> (may be excluded via model screening)</w:t>
            </w:r>
          </w:p>
        </w:tc>
      </w:tr>
      <w:tr w:rsidR="00C62AEB" w14:paraId="63C68F50" w14:textId="77777777" w:rsidTr="00323D2C">
        <w:trPr>
          <w:trHeight w:val="331"/>
          <w:jc w:val="center"/>
        </w:trPr>
        <w:tc>
          <w:tcPr>
            <w:tcW w:w="1895" w:type="dxa"/>
            <w:shd w:val="clear" w:color="auto" w:fill="auto"/>
            <w:vAlign w:val="center"/>
          </w:tcPr>
          <w:p w14:paraId="16D66864" w14:textId="1DA47230" w:rsidR="00C62AEB" w:rsidRPr="006F02FD" w:rsidRDefault="00C62AEB" w:rsidP="00C62AEB">
            <w:pPr>
              <w:keepNext/>
              <w:keepLines/>
              <w:jc w:val="center"/>
              <w:rPr>
                <w:rFonts w:ascii="Times New Roman" w:hAnsi="Times New Roman"/>
              </w:rPr>
            </w:pPr>
            <w:r>
              <w:rPr>
                <w:rFonts w:ascii="Times New Roman" w:hAnsi="Times New Roman"/>
                <w:i/>
              </w:rPr>
              <w:t>DTYPE</w:t>
            </w:r>
            <w:r w:rsidR="00573D41">
              <w:rPr>
                <w:rFonts w:ascii="Times New Roman" w:hAnsi="Times New Roman"/>
                <w:i/>
                <w:sz w:val="22"/>
                <w:szCs w:val="22"/>
                <w:vertAlign w:val="subscript"/>
              </w:rPr>
              <w:t>j</w:t>
            </w:r>
            <w:r>
              <w:rPr>
                <w:rFonts w:ascii="Times New Roman" w:hAnsi="Times New Roman"/>
                <w:i/>
                <w:sz w:val="22"/>
                <w:szCs w:val="22"/>
                <w:vertAlign w:val="subscript"/>
              </w:rPr>
              <w:t>,t</w:t>
            </w:r>
          </w:p>
        </w:tc>
        <w:tc>
          <w:tcPr>
            <w:tcW w:w="6735" w:type="dxa"/>
            <w:shd w:val="clear" w:color="auto" w:fill="auto"/>
            <w:vAlign w:val="center"/>
          </w:tcPr>
          <w:p w14:paraId="3A6F8824" w14:textId="0C8CA4D4" w:rsidR="00C62AEB" w:rsidRPr="00AA745A" w:rsidRDefault="00C62AEB" w:rsidP="00C62AEB">
            <w:pPr>
              <w:keepNext/>
              <w:keepLines/>
              <w:rPr>
                <w:rFonts w:ascii="Arial" w:hAnsi="Arial" w:cs="Arial"/>
                <w:sz w:val="20"/>
                <w:szCs w:val="20"/>
              </w:rPr>
            </w:pPr>
            <w:r>
              <w:rPr>
                <w:rFonts w:ascii="Arial" w:hAnsi="Arial" w:cs="Arial"/>
                <w:sz w:val="20"/>
                <w:szCs w:val="20"/>
              </w:rPr>
              <w:t>a series of indicator</w:t>
            </w:r>
            <w:r w:rsidRPr="00AA745A">
              <w:rPr>
                <w:rFonts w:ascii="Arial" w:hAnsi="Arial" w:cs="Arial"/>
                <w:sz w:val="20"/>
                <w:szCs w:val="20"/>
              </w:rPr>
              <w:t xml:space="preserve"> variables for each day of the week</w:t>
            </w:r>
          </w:p>
        </w:tc>
      </w:tr>
      <w:tr w:rsidR="00C810F3" w14:paraId="3FED23E3" w14:textId="77777777" w:rsidTr="00323D2C">
        <w:trPr>
          <w:trHeight w:val="331"/>
          <w:jc w:val="center"/>
        </w:trPr>
        <w:tc>
          <w:tcPr>
            <w:tcW w:w="1895" w:type="dxa"/>
            <w:shd w:val="clear" w:color="auto" w:fill="auto"/>
            <w:vAlign w:val="center"/>
          </w:tcPr>
          <w:p w14:paraId="516B462F" w14:textId="63708A55" w:rsidR="00C810F3" w:rsidRPr="006F02FD" w:rsidRDefault="00C810F3" w:rsidP="00C810F3">
            <w:pPr>
              <w:keepNext/>
              <w:keepLines/>
              <w:jc w:val="center"/>
              <w:rPr>
                <w:rFonts w:ascii="Times New Roman" w:hAnsi="Times New Roman"/>
                <w:i/>
              </w:rPr>
            </w:pPr>
            <w:r w:rsidRPr="006F02FD">
              <w:rPr>
                <w:rFonts w:ascii="Times New Roman" w:hAnsi="Times New Roman"/>
                <w:i/>
              </w:rPr>
              <w:t>MON</w:t>
            </w:r>
            <w:r>
              <w:rPr>
                <w:rFonts w:ascii="Times New Roman" w:hAnsi="Times New Roman"/>
                <w:i/>
                <w:sz w:val="22"/>
                <w:szCs w:val="22"/>
                <w:vertAlign w:val="subscript"/>
              </w:rPr>
              <w:t>t</w:t>
            </w:r>
            <w:r w:rsidRPr="0048227B">
              <w:rPr>
                <w:rFonts w:ascii="Arial" w:hAnsi="Arial" w:cs="Arial"/>
                <w:i/>
                <w:sz w:val="20"/>
                <w:szCs w:val="20"/>
              </w:rPr>
              <w:t>,</w:t>
            </w:r>
            <w:r>
              <w:rPr>
                <w:rFonts w:ascii="Times New Roman" w:hAnsi="Times New Roman"/>
                <w:i/>
              </w:rPr>
              <w:t xml:space="preserve"> FRI</w:t>
            </w:r>
            <w:r>
              <w:rPr>
                <w:rFonts w:ascii="Times New Roman" w:hAnsi="Times New Roman"/>
                <w:i/>
                <w:sz w:val="22"/>
                <w:szCs w:val="22"/>
                <w:vertAlign w:val="subscript"/>
              </w:rPr>
              <w:t>t</w:t>
            </w:r>
            <w:r w:rsidRPr="0048227B">
              <w:rPr>
                <w:rFonts w:ascii="Arial" w:hAnsi="Arial" w:cs="Arial"/>
                <w:sz w:val="20"/>
                <w:szCs w:val="20"/>
              </w:rPr>
              <w:t>,</w:t>
            </w:r>
          </w:p>
        </w:tc>
        <w:tc>
          <w:tcPr>
            <w:tcW w:w="6735" w:type="dxa"/>
            <w:shd w:val="clear" w:color="auto" w:fill="auto"/>
            <w:vAlign w:val="center"/>
          </w:tcPr>
          <w:p w14:paraId="1B705803" w14:textId="650D33D3" w:rsidR="00C810F3" w:rsidRPr="00AA745A" w:rsidRDefault="00C810F3" w:rsidP="00C810F3">
            <w:pPr>
              <w:keepNext/>
              <w:keepLines/>
              <w:rPr>
                <w:rFonts w:ascii="Arial" w:hAnsi="Arial" w:cs="Arial"/>
                <w:sz w:val="20"/>
                <w:szCs w:val="20"/>
              </w:rPr>
            </w:pPr>
            <w:r>
              <w:rPr>
                <w:rFonts w:ascii="Arial" w:hAnsi="Arial" w:cs="Arial"/>
                <w:sz w:val="20"/>
                <w:szCs w:val="20"/>
              </w:rPr>
              <w:t>indicator</w:t>
            </w:r>
            <w:r w:rsidRPr="00AA745A">
              <w:rPr>
                <w:rFonts w:ascii="Arial" w:hAnsi="Arial" w:cs="Arial"/>
                <w:sz w:val="20"/>
                <w:szCs w:val="20"/>
              </w:rPr>
              <w:t xml:space="preserve"> variable</w:t>
            </w:r>
            <w:r>
              <w:rPr>
                <w:rFonts w:ascii="Arial" w:hAnsi="Arial" w:cs="Arial"/>
                <w:sz w:val="20"/>
                <w:szCs w:val="20"/>
              </w:rPr>
              <w:t>s</w:t>
            </w:r>
            <w:r w:rsidRPr="00AA745A">
              <w:rPr>
                <w:rFonts w:ascii="Arial" w:hAnsi="Arial" w:cs="Arial"/>
                <w:sz w:val="20"/>
                <w:szCs w:val="20"/>
              </w:rPr>
              <w:t xml:space="preserve"> for Monday</w:t>
            </w:r>
            <w:r>
              <w:rPr>
                <w:rFonts w:ascii="Arial" w:hAnsi="Arial" w:cs="Arial"/>
                <w:sz w:val="20"/>
                <w:szCs w:val="20"/>
              </w:rPr>
              <w:t xml:space="preserve"> and Friday</w:t>
            </w:r>
          </w:p>
        </w:tc>
      </w:tr>
      <w:tr w:rsidR="00C810F3" w14:paraId="5B66D48A" w14:textId="77777777" w:rsidTr="00323D2C">
        <w:trPr>
          <w:trHeight w:val="331"/>
          <w:jc w:val="center"/>
        </w:trPr>
        <w:tc>
          <w:tcPr>
            <w:tcW w:w="1895" w:type="dxa"/>
            <w:shd w:val="clear" w:color="auto" w:fill="auto"/>
            <w:vAlign w:val="center"/>
          </w:tcPr>
          <w:p w14:paraId="35A22052" w14:textId="305A748A" w:rsidR="00C810F3" w:rsidRPr="006F02FD" w:rsidRDefault="00C810F3" w:rsidP="00C810F3">
            <w:pPr>
              <w:keepNext/>
              <w:keepLines/>
              <w:jc w:val="center"/>
              <w:rPr>
                <w:rFonts w:ascii="Times New Roman" w:hAnsi="Times New Roman"/>
              </w:rPr>
            </w:pPr>
            <w:r>
              <w:rPr>
                <w:rFonts w:ascii="Times New Roman" w:hAnsi="Times New Roman"/>
                <w:i/>
              </w:rPr>
              <w:t>MONTH</w:t>
            </w:r>
            <w:r>
              <w:rPr>
                <w:rFonts w:ascii="Times New Roman" w:hAnsi="Times New Roman"/>
                <w:i/>
                <w:sz w:val="22"/>
                <w:szCs w:val="22"/>
                <w:vertAlign w:val="subscript"/>
              </w:rPr>
              <w:t>j,t</w:t>
            </w:r>
          </w:p>
        </w:tc>
        <w:tc>
          <w:tcPr>
            <w:tcW w:w="6735" w:type="dxa"/>
            <w:shd w:val="clear" w:color="auto" w:fill="auto"/>
            <w:vAlign w:val="center"/>
          </w:tcPr>
          <w:p w14:paraId="27BEBD09" w14:textId="1E307A9F" w:rsidR="00C810F3" w:rsidRPr="00AA745A" w:rsidRDefault="00C810F3" w:rsidP="00C810F3">
            <w:pPr>
              <w:keepNext/>
              <w:keepLines/>
              <w:rPr>
                <w:rFonts w:ascii="Arial" w:hAnsi="Arial" w:cs="Arial"/>
                <w:sz w:val="20"/>
                <w:szCs w:val="20"/>
              </w:rPr>
            </w:pPr>
            <w:r w:rsidRPr="00AA745A">
              <w:rPr>
                <w:rFonts w:ascii="Arial" w:hAnsi="Arial" w:cs="Arial"/>
                <w:sz w:val="20"/>
                <w:szCs w:val="20"/>
              </w:rPr>
              <w:t xml:space="preserve">a series of </w:t>
            </w:r>
            <w:r>
              <w:rPr>
                <w:rFonts w:ascii="Arial" w:hAnsi="Arial" w:cs="Arial"/>
                <w:sz w:val="20"/>
                <w:szCs w:val="20"/>
              </w:rPr>
              <w:t>indicator</w:t>
            </w:r>
            <w:r w:rsidRPr="00AA745A">
              <w:rPr>
                <w:rFonts w:ascii="Arial" w:hAnsi="Arial" w:cs="Arial"/>
                <w:sz w:val="20"/>
                <w:szCs w:val="20"/>
              </w:rPr>
              <w:t xml:space="preserve"> variables for each month</w:t>
            </w:r>
            <w:r w:rsidR="00323D2C">
              <w:rPr>
                <w:rFonts w:ascii="Arial" w:hAnsi="Arial" w:cs="Arial"/>
                <w:sz w:val="20"/>
                <w:szCs w:val="20"/>
              </w:rPr>
              <w:t xml:space="preserve"> (model screening may include separate hourly profiles by month)</w:t>
            </w:r>
            <w:r w:rsidRPr="00AA745A">
              <w:rPr>
                <w:rFonts w:ascii="Arial" w:hAnsi="Arial" w:cs="Arial"/>
                <w:sz w:val="20"/>
                <w:szCs w:val="20"/>
              </w:rPr>
              <w:t xml:space="preserve"> </w:t>
            </w:r>
          </w:p>
        </w:tc>
      </w:tr>
      <w:tr w:rsidR="00C810F3" w14:paraId="7C5F7C64" w14:textId="77777777" w:rsidTr="00323D2C">
        <w:trPr>
          <w:trHeight w:val="331"/>
          <w:jc w:val="center"/>
        </w:trPr>
        <w:tc>
          <w:tcPr>
            <w:tcW w:w="1895" w:type="dxa"/>
            <w:shd w:val="clear" w:color="auto" w:fill="auto"/>
            <w:vAlign w:val="center"/>
          </w:tcPr>
          <w:p w14:paraId="2E348032" w14:textId="29ABF117" w:rsidR="00C810F3" w:rsidRDefault="00C810F3" w:rsidP="00C810F3">
            <w:pPr>
              <w:keepNext/>
              <w:keepLines/>
              <w:jc w:val="center"/>
              <w:rPr>
                <w:rFonts w:ascii="Times New Roman" w:hAnsi="Times New Roman"/>
                <w:i/>
              </w:rPr>
            </w:pPr>
            <w:r w:rsidRPr="006F02FD">
              <w:rPr>
                <w:rFonts w:ascii="Times New Roman" w:hAnsi="Times New Roman"/>
                <w:i/>
              </w:rPr>
              <w:t>SUMMER</w:t>
            </w:r>
            <w:r>
              <w:rPr>
                <w:rFonts w:ascii="Times New Roman" w:hAnsi="Times New Roman"/>
                <w:i/>
                <w:sz w:val="22"/>
                <w:szCs w:val="22"/>
                <w:vertAlign w:val="subscript"/>
              </w:rPr>
              <w:t>t</w:t>
            </w:r>
          </w:p>
        </w:tc>
        <w:tc>
          <w:tcPr>
            <w:tcW w:w="6735" w:type="dxa"/>
            <w:shd w:val="clear" w:color="auto" w:fill="auto"/>
            <w:vAlign w:val="center"/>
          </w:tcPr>
          <w:p w14:paraId="2F26BE4E" w14:textId="350DDE4B" w:rsidR="00C810F3" w:rsidRPr="00AA745A" w:rsidRDefault="00C810F3" w:rsidP="00C810F3">
            <w:pPr>
              <w:keepNext/>
              <w:keepLines/>
              <w:rPr>
                <w:rFonts w:ascii="Arial" w:hAnsi="Arial" w:cs="Arial"/>
                <w:sz w:val="20"/>
                <w:szCs w:val="20"/>
              </w:rPr>
            </w:pPr>
            <w:r w:rsidRPr="00AA745A">
              <w:rPr>
                <w:rFonts w:ascii="Arial" w:hAnsi="Arial" w:cs="Arial"/>
                <w:sz w:val="20"/>
                <w:szCs w:val="20"/>
              </w:rPr>
              <w:t>a</w:t>
            </w:r>
            <w:r>
              <w:rPr>
                <w:rFonts w:ascii="Arial" w:hAnsi="Arial" w:cs="Arial"/>
                <w:sz w:val="20"/>
                <w:szCs w:val="20"/>
              </w:rPr>
              <w:t>n</w:t>
            </w:r>
            <w:r w:rsidRPr="00AA745A">
              <w:rPr>
                <w:rFonts w:ascii="Arial" w:hAnsi="Arial" w:cs="Arial"/>
                <w:sz w:val="20"/>
                <w:szCs w:val="20"/>
              </w:rPr>
              <w:t xml:space="preserve"> </w:t>
            </w:r>
            <w:r>
              <w:rPr>
                <w:rFonts w:ascii="Arial" w:hAnsi="Arial" w:cs="Arial"/>
                <w:sz w:val="20"/>
                <w:szCs w:val="20"/>
              </w:rPr>
              <w:t>indicator</w:t>
            </w:r>
            <w:r w:rsidRPr="00AA745A">
              <w:rPr>
                <w:rFonts w:ascii="Arial" w:hAnsi="Arial" w:cs="Arial"/>
                <w:sz w:val="20"/>
                <w:szCs w:val="20"/>
              </w:rPr>
              <w:t xml:space="preserve"> variable for the summer pricing season</w:t>
            </w:r>
            <w:r w:rsidRPr="00AA745A">
              <w:rPr>
                <w:rStyle w:val="FootnoteReference"/>
                <w:rFonts w:ascii="Arial" w:hAnsi="Arial"/>
                <w:sz w:val="20"/>
                <w:szCs w:val="20"/>
              </w:rPr>
              <w:footnoteReference w:id="9"/>
            </w:r>
          </w:p>
        </w:tc>
      </w:tr>
      <w:tr w:rsidR="00C810F3" w14:paraId="5019B082" w14:textId="77777777" w:rsidTr="00323D2C">
        <w:trPr>
          <w:trHeight w:val="331"/>
          <w:jc w:val="center"/>
        </w:trPr>
        <w:tc>
          <w:tcPr>
            <w:tcW w:w="1895" w:type="dxa"/>
            <w:shd w:val="clear" w:color="auto" w:fill="auto"/>
            <w:vAlign w:val="center"/>
          </w:tcPr>
          <w:p w14:paraId="4AFB21E2" w14:textId="6F02C47B" w:rsidR="00C810F3" w:rsidRPr="006F02FD" w:rsidRDefault="00C810F3" w:rsidP="00C810F3">
            <w:pPr>
              <w:keepNext/>
              <w:keepLines/>
              <w:jc w:val="center"/>
              <w:rPr>
                <w:rFonts w:ascii="Times New Roman" w:hAnsi="Times New Roman"/>
                <w:i/>
              </w:rPr>
            </w:pPr>
            <w:r w:rsidRPr="006F02FD">
              <w:rPr>
                <w:rFonts w:ascii="Times New Roman" w:hAnsi="Times New Roman"/>
                <w:i/>
              </w:rPr>
              <w:t>e</w:t>
            </w:r>
            <w:r>
              <w:rPr>
                <w:rFonts w:ascii="Times New Roman" w:hAnsi="Times New Roman"/>
                <w:i/>
                <w:sz w:val="22"/>
                <w:szCs w:val="22"/>
                <w:vertAlign w:val="subscript"/>
              </w:rPr>
              <w:t>t</w:t>
            </w:r>
          </w:p>
        </w:tc>
        <w:tc>
          <w:tcPr>
            <w:tcW w:w="6735" w:type="dxa"/>
            <w:shd w:val="clear" w:color="auto" w:fill="auto"/>
            <w:vAlign w:val="center"/>
          </w:tcPr>
          <w:p w14:paraId="1F4FB684" w14:textId="34428F67" w:rsidR="00C810F3" w:rsidRPr="00AA745A" w:rsidRDefault="00C810F3" w:rsidP="00C810F3">
            <w:pPr>
              <w:keepNext/>
              <w:keepLines/>
              <w:rPr>
                <w:rFonts w:ascii="Arial" w:hAnsi="Arial" w:cs="Arial"/>
                <w:sz w:val="20"/>
                <w:szCs w:val="20"/>
              </w:rPr>
            </w:pPr>
            <w:r w:rsidRPr="00AA745A">
              <w:rPr>
                <w:rFonts w:ascii="Arial" w:hAnsi="Arial" w:cs="Arial"/>
                <w:sz w:val="20"/>
                <w:szCs w:val="20"/>
              </w:rPr>
              <w:t>the error term</w:t>
            </w:r>
          </w:p>
        </w:tc>
      </w:tr>
    </w:tbl>
    <w:p w14:paraId="41816D6F" w14:textId="77777777" w:rsidR="00E92D52" w:rsidRDefault="00E92D52" w:rsidP="00E92D52"/>
    <w:p w14:paraId="1D5001FC" w14:textId="155BCB3C" w:rsidR="00321E09" w:rsidRDefault="002459F5" w:rsidP="00B81672">
      <w:r>
        <w:t xml:space="preserve">The </w:t>
      </w:r>
      <w:r w:rsidRPr="00F7384B">
        <w:rPr>
          <w:rFonts w:ascii="Times New Roman" w:hAnsi="Times New Roman"/>
          <w:i/>
        </w:rPr>
        <w:t>OtherEvt</w:t>
      </w:r>
      <w:r>
        <w:t xml:space="preserve"> variables help the model explain load changes that occur on event days for programs in which the B</w:t>
      </w:r>
      <w:r w:rsidR="005713D3">
        <w:t>I</w:t>
      </w:r>
      <w:r>
        <w:t xml:space="preserve">P customers are dually enrolled. (In the absence of these variables, any load reductions that occur on such days may be falsely attributed to other included variables, such as weather condition or day type variables.) The </w:t>
      </w:r>
      <w:r w:rsidR="00E13FBC">
        <w:t xml:space="preserve">“morning load” </w:t>
      </w:r>
      <w:r>
        <w:t>variables are included in the same spirit as the day-of adjustment to the 10-in-10 baseline settlement method</w:t>
      </w:r>
      <w:r w:rsidR="005713D3">
        <w:t xml:space="preserve"> used in some DR programs</w:t>
      </w:r>
      <w:r>
        <w:t>. T</w:t>
      </w:r>
      <w:r w:rsidR="006D3A77">
        <w:t xml:space="preserve">hat is, those variables help adjust the reference loads (or the loads that would have been observed in the absence of an event) for factors that affect pre-event usage, but are not accounted for by the other included variables. </w:t>
      </w:r>
    </w:p>
    <w:p w14:paraId="2168DF0A" w14:textId="77777777" w:rsidR="00877B31" w:rsidRDefault="00877B31" w:rsidP="00B81672"/>
    <w:p w14:paraId="4F4148D7" w14:textId="16B43F74" w:rsidR="00877B31" w:rsidRDefault="00877B31" w:rsidP="00B81672">
      <w:r>
        <w:t>The model allows for the hourly load profile to differ by</w:t>
      </w:r>
      <w:r w:rsidR="00323D2C">
        <w:t xml:space="preserve"> time periods, which can vary across specifications selected for each customer group. The </w:t>
      </w:r>
      <w:r w:rsidR="00A40E8E">
        <w:t xml:space="preserve">time-based </w:t>
      </w:r>
      <w:r w:rsidR="00323D2C">
        <w:t xml:space="preserve">patterns reflect </w:t>
      </w:r>
      <w:r>
        <w:t xml:space="preserve">day of week, with separate profiles for Monday, Tuesday through Thursday, and Friday; </w:t>
      </w:r>
      <w:r w:rsidR="00323D2C">
        <w:t xml:space="preserve">month of year; </w:t>
      </w:r>
      <w:r>
        <w:t xml:space="preserve">and </w:t>
      </w:r>
      <w:r w:rsidR="002B0E14">
        <w:t>pricing season (</w:t>
      </w:r>
      <w:r w:rsidR="002B0E14" w:rsidRPr="00E26325">
        <w:rPr>
          <w:i/>
        </w:rPr>
        <w:t>i.e.</w:t>
      </w:r>
      <w:r w:rsidR="002B0E14">
        <w:t xml:space="preserve">, summer versus </w:t>
      </w:r>
      <w:r w:rsidR="001F1990">
        <w:t>winter</w:t>
      </w:r>
      <w:r w:rsidR="002B0E14">
        <w:t xml:space="preserve">), to account for </w:t>
      </w:r>
      <w:r w:rsidR="0020029B">
        <w:t xml:space="preserve">potential </w:t>
      </w:r>
      <w:r w:rsidR="002B0E14">
        <w:t>customer load changes in response to seasonal changes</w:t>
      </w:r>
      <w:r w:rsidR="0020029B">
        <w:t xml:space="preserve"> in rates</w:t>
      </w:r>
      <w:r>
        <w:t>.</w:t>
      </w:r>
    </w:p>
    <w:p w14:paraId="16944184" w14:textId="77777777" w:rsidR="00C11C07" w:rsidRDefault="00C11C07" w:rsidP="00B81672"/>
    <w:p w14:paraId="50A21D86" w14:textId="77777777" w:rsidR="00321E09" w:rsidRDefault="00321E09" w:rsidP="00C21781">
      <w:r>
        <w:t xml:space="preserve">Separate models were estimated for each customer. The load impacts were aggregated across customer accounts as appropriate to arrive at program-level load impacts, as well as load impacts by industry group and local capacity area (LCA). </w:t>
      </w:r>
    </w:p>
    <w:p w14:paraId="4F25DDAF" w14:textId="77777777" w:rsidR="005713D3" w:rsidRDefault="005713D3" w:rsidP="00C21781"/>
    <w:p w14:paraId="7AB65810" w14:textId="17B241D0" w:rsidR="005713D3" w:rsidRDefault="005713D3" w:rsidP="00C21781">
      <w:r>
        <w:lastRenderedPageBreak/>
        <w:t xml:space="preserve">A parallel set of </w:t>
      </w:r>
      <w:r w:rsidR="001F1990">
        <w:t>winter</w:t>
      </w:r>
      <w:r>
        <w:t xml:space="preserve"> models was estimated for each customer</w:t>
      </w:r>
      <w:r w:rsidR="00323D2C">
        <w:t xml:space="preserve">, which were used to simulate </w:t>
      </w:r>
      <w:r w:rsidR="00323D2C" w:rsidRPr="00323D2C">
        <w:rPr>
          <w:i/>
        </w:rPr>
        <w:t>ex-ante</w:t>
      </w:r>
      <w:r w:rsidR="00323D2C">
        <w:t xml:space="preserve"> reference loads for those months</w:t>
      </w:r>
      <w:r>
        <w:t xml:space="preserve">. The structure matches the model described above, with </w:t>
      </w:r>
      <w:r w:rsidR="00F7384B">
        <w:t xml:space="preserve">the </w:t>
      </w:r>
      <w:r>
        <w:t>appropriate month indicators</w:t>
      </w:r>
      <w:r w:rsidR="00F7384B">
        <w:t xml:space="preserve"> substituted in</w:t>
      </w:r>
      <w:r>
        <w:t>.</w:t>
      </w:r>
      <w:r w:rsidR="00323D2C">
        <w:t xml:space="preserve"> A separate model selection process was conducted for the winter models.</w:t>
      </w:r>
    </w:p>
    <w:p w14:paraId="76537CD6" w14:textId="77777777" w:rsidR="00321E09" w:rsidRPr="00146E50" w:rsidRDefault="00321E09" w:rsidP="00146E50">
      <w:pPr>
        <w:pStyle w:val="Heading3"/>
        <w:rPr>
          <w:sz w:val="22"/>
          <w:szCs w:val="22"/>
        </w:rPr>
      </w:pPr>
      <w:bookmarkStart w:id="68" w:name="OLE_LINK3"/>
      <w:bookmarkStart w:id="69" w:name="OLE_LINK4"/>
      <w:bookmarkStart w:id="70" w:name="_Toc510091108"/>
      <w:r w:rsidRPr="00C506FF">
        <w:rPr>
          <w:sz w:val="22"/>
          <w:szCs w:val="22"/>
        </w:rPr>
        <w:t>3.2.2 Development of Uncertainty-Adjusted Load Impacts</w:t>
      </w:r>
      <w:bookmarkEnd w:id="70"/>
    </w:p>
    <w:bookmarkEnd w:id="68"/>
    <w:bookmarkEnd w:id="69"/>
    <w:p w14:paraId="7BE911CE" w14:textId="03D7931A" w:rsidR="00321E09" w:rsidRDefault="00321E09" w:rsidP="00C40131">
      <w:r>
        <w:t xml:space="preserve">The Load Impact Protocols require the estimation of uncertainty-adjusted load impacts. In the case of </w:t>
      </w:r>
      <w:r w:rsidRPr="00E26325">
        <w:rPr>
          <w:i/>
        </w:rPr>
        <w:t>ex</w:t>
      </w:r>
      <w:r w:rsidR="00E26325" w:rsidRPr="00E26325">
        <w:rPr>
          <w:i/>
        </w:rPr>
        <w:t>-</w:t>
      </w:r>
      <w:r w:rsidRPr="00E26325">
        <w:rPr>
          <w:i/>
        </w:rPr>
        <w:t>post</w:t>
      </w:r>
      <w:r>
        <w:t xml:space="preserve"> load impacts, the parameters that constitute the load impact estimates are not estimated with certainty. We base the uncertainty-adjusted load impacts on the variances associated with the estimated load impact coefficients.  </w:t>
      </w:r>
    </w:p>
    <w:p w14:paraId="375CF39D" w14:textId="77777777" w:rsidR="00321E09" w:rsidRDefault="00321E09" w:rsidP="00C40131"/>
    <w:p w14:paraId="03FA978B" w14:textId="7355B544" w:rsidR="00321E09" w:rsidRDefault="00321E09" w:rsidP="008943AD">
      <w:r>
        <w:t xml:space="preserve">Specifically, we added the variances of the estimated load impacts across the customers who </w:t>
      </w:r>
      <w:r w:rsidR="005713D3">
        <w:t xml:space="preserve">are called during </w:t>
      </w:r>
      <w:r>
        <w:t>the event in question. These aggregations were performed at either the program level, by industry group, or by LCA, as appropriate. The uncertainty-adjusted scenarios were then simulated under the assumption that each hour’s load impact is normally distributed with the mean equal to the sum of the estimated load impacts and the standard deviation equal to the square root of the sum of the variances of the errors around the estimates of the load impacts. Results for the 10</w:t>
      </w:r>
      <w:r w:rsidRPr="00B81672">
        <w:rPr>
          <w:vertAlign w:val="superscript"/>
        </w:rPr>
        <w:t>th</w:t>
      </w:r>
      <w:r>
        <w:t>, 30</w:t>
      </w:r>
      <w:r w:rsidRPr="00B81672">
        <w:rPr>
          <w:vertAlign w:val="superscript"/>
        </w:rPr>
        <w:t>th</w:t>
      </w:r>
      <w:r>
        <w:t>, 70</w:t>
      </w:r>
      <w:r w:rsidRPr="00B81672">
        <w:rPr>
          <w:vertAlign w:val="superscript"/>
        </w:rPr>
        <w:t>th</w:t>
      </w:r>
      <w:r>
        <w:t>, and 90</w:t>
      </w:r>
      <w:r w:rsidRPr="00B81672">
        <w:rPr>
          <w:vertAlign w:val="superscript"/>
        </w:rPr>
        <w:t>th</w:t>
      </w:r>
      <w:r>
        <w:t xml:space="preserve"> percentile scenarios are generated from these distributions. </w:t>
      </w:r>
    </w:p>
    <w:p w14:paraId="0939FE52" w14:textId="77777777" w:rsidR="00B63101" w:rsidRDefault="00B63101" w:rsidP="008943AD"/>
    <w:p w14:paraId="10DE327C" w14:textId="73E33DDA" w:rsidR="00B63101" w:rsidRDefault="00B63101" w:rsidP="008943AD">
      <w:r>
        <w:t>In order to develop the uncertainty-adjusted load impacts associated with the average event hour</w:t>
      </w:r>
      <w:r w:rsidR="00BB46F8">
        <w:t xml:space="preserve"> (</w:t>
      </w:r>
      <w:r w:rsidR="00BB46F8" w:rsidRPr="00E26325">
        <w:rPr>
          <w:i/>
        </w:rPr>
        <w:t>i.e.</w:t>
      </w:r>
      <w:r w:rsidR="00BB46F8">
        <w:t xml:space="preserve">, the bottom rows in the tables produced by the </w:t>
      </w:r>
      <w:r w:rsidR="00BB46F8" w:rsidRPr="00E26325">
        <w:rPr>
          <w:i/>
        </w:rPr>
        <w:t>ex</w:t>
      </w:r>
      <w:r w:rsidR="00E26325">
        <w:rPr>
          <w:i/>
        </w:rPr>
        <w:t>-</w:t>
      </w:r>
      <w:r w:rsidR="00BB46F8" w:rsidRPr="00E26325">
        <w:rPr>
          <w:i/>
        </w:rPr>
        <w:t>post</w:t>
      </w:r>
      <w:r w:rsidR="00BB46F8">
        <w:t xml:space="preserve"> table generator)</w:t>
      </w:r>
      <w:r>
        <w:t xml:space="preserve">, we estimated an additional set of customer-specific regression models in which each event day’s average event-hour load impact is estimated using a single variable (rather than the hour-specific variables used in the primary model described above). The standard error associated with these event-specific coefficients serves as the basis of the average event-hour uncertainty-adjusted load impacts for each </w:t>
      </w:r>
      <w:r w:rsidRPr="00E26325">
        <w:rPr>
          <w:i/>
        </w:rPr>
        <w:t>ex</w:t>
      </w:r>
      <w:r w:rsidR="00E26325">
        <w:rPr>
          <w:i/>
        </w:rPr>
        <w:t>-</w:t>
      </w:r>
      <w:r w:rsidRPr="00E26325">
        <w:rPr>
          <w:i/>
        </w:rPr>
        <w:t>post</w:t>
      </w:r>
      <w:r>
        <w:t xml:space="preserve"> event day. The standard errors are used to develop the uncertainty-adjusted scenarios in the same manner as the hour-specific standard errors in the primary model.</w:t>
      </w:r>
      <w:r>
        <w:rPr>
          <w:rFonts w:ascii="Times New Roman" w:hAnsi="Times New Roman"/>
        </w:rPr>
        <w:t xml:space="preserve"> </w:t>
      </w:r>
    </w:p>
    <w:p w14:paraId="3F946A3D" w14:textId="69E3BB6B" w:rsidR="00321E09" w:rsidRDefault="00321E09" w:rsidP="008943AD">
      <w:pPr>
        <w:pStyle w:val="Heading1"/>
      </w:pPr>
      <w:bookmarkStart w:id="71" w:name="_Toc510091109"/>
      <w:r>
        <w:t>4</w:t>
      </w:r>
      <w:r w:rsidRPr="00146E50">
        <w:t>. Detailed Study Findings</w:t>
      </w:r>
      <w:bookmarkEnd w:id="71"/>
      <w:r w:rsidR="004F1AC8">
        <w:t xml:space="preserve"> </w:t>
      </w:r>
    </w:p>
    <w:p w14:paraId="3BBC8F96" w14:textId="1C15A206" w:rsidR="00321E09" w:rsidRDefault="00321E09" w:rsidP="00D27021">
      <w:r>
        <w:t xml:space="preserve">The primary objective of the </w:t>
      </w:r>
      <w:r w:rsidRPr="004F1AC8">
        <w:rPr>
          <w:i/>
        </w:rPr>
        <w:t>ex</w:t>
      </w:r>
      <w:r w:rsidR="004F1AC8" w:rsidRPr="004F1AC8">
        <w:rPr>
          <w:i/>
        </w:rPr>
        <w:t>-</w:t>
      </w:r>
      <w:r w:rsidRPr="004F1AC8">
        <w:rPr>
          <w:i/>
        </w:rPr>
        <w:t>post</w:t>
      </w:r>
      <w:r>
        <w:t xml:space="preserve"> evaluation is to estimate the aggregate </w:t>
      </w:r>
      <w:r w:rsidRPr="00747186">
        <w:t>and per-customer</w:t>
      </w:r>
      <w:r>
        <w:t xml:space="preserve"> B</w:t>
      </w:r>
      <w:r w:rsidR="008965E6">
        <w:t>I</w:t>
      </w:r>
      <w:r>
        <w:t>P event-day load impacts for each utility. In this section we first summarize the estimated B</w:t>
      </w:r>
      <w:r w:rsidR="008965E6">
        <w:t>I</w:t>
      </w:r>
      <w:r>
        <w:t xml:space="preserve">P load impacts for </w:t>
      </w:r>
      <w:r w:rsidR="00871568">
        <w:t xml:space="preserve">each of the </w:t>
      </w:r>
      <w:r>
        <w:t xml:space="preserve">utilities using a metric of estimated </w:t>
      </w:r>
      <w:r w:rsidRPr="00E405C5">
        <w:rPr>
          <w:i/>
        </w:rPr>
        <w:t>average hourly load impacts</w:t>
      </w:r>
      <w:r>
        <w:t xml:space="preserve"> by event and for the average event. We also report average hourly load impacts for the average event by industry type and local capacity area. We then present tables of </w:t>
      </w:r>
      <w:r w:rsidRPr="004E0BA4">
        <w:rPr>
          <w:i/>
        </w:rPr>
        <w:t>hourly</w:t>
      </w:r>
      <w:r>
        <w:t xml:space="preserve"> load impacts for an </w:t>
      </w:r>
      <w:r w:rsidRPr="00721C6B">
        <w:rPr>
          <w:i/>
        </w:rPr>
        <w:t>average event</w:t>
      </w:r>
      <w:r>
        <w:t xml:space="preserve"> </w:t>
      </w:r>
      <w:r w:rsidRPr="00553B68">
        <w:t>(also referred to as a “typical event day”)</w:t>
      </w:r>
      <w:r>
        <w:t xml:space="preserve"> in the format required by the Load Impact Protocols adopted by the California Public Utilities Commission (CPUC) in Decision (D.) 08-04-050 (“the Protocols”), including risk-adjusted load impacts at different probability levels, and figures that illustrate the reference loads, observed loads and estimated load impacts. </w:t>
      </w:r>
    </w:p>
    <w:p w14:paraId="4BDD36C6" w14:textId="77777777" w:rsidR="00321E09" w:rsidRDefault="00321E09" w:rsidP="00D27021"/>
    <w:p w14:paraId="008B1623" w14:textId="775151EB" w:rsidR="00321E09" w:rsidRPr="00840B85" w:rsidRDefault="00321E09" w:rsidP="00D27021">
      <w:bookmarkStart w:id="72" w:name="OLE_LINK16"/>
      <w:r w:rsidRPr="0097087F">
        <w:lastRenderedPageBreak/>
        <w:t xml:space="preserve">On a </w:t>
      </w:r>
      <w:r w:rsidRPr="00840B85">
        <w:t xml:space="preserve">summary level, the average event-hour load impact per enrolled customer was </w:t>
      </w:r>
      <w:r w:rsidR="00C02701" w:rsidRPr="00840B85">
        <w:t>590</w:t>
      </w:r>
      <w:r w:rsidRPr="00840B85">
        <w:t xml:space="preserve"> kW</w:t>
      </w:r>
      <w:r w:rsidR="00C02701" w:rsidRPr="00840B85">
        <w:t>h/h</w:t>
      </w:r>
      <w:r w:rsidRPr="00840B85">
        <w:t xml:space="preserve"> for PG&amp;E's </w:t>
      </w:r>
      <w:r w:rsidR="00684B19" w:rsidRPr="00840B85">
        <w:t>May 3</w:t>
      </w:r>
      <w:r w:rsidR="00684B19" w:rsidRPr="00840B85">
        <w:rPr>
          <w:vertAlign w:val="superscript"/>
        </w:rPr>
        <w:t>rd</w:t>
      </w:r>
      <w:r w:rsidR="00684B19" w:rsidRPr="00840B85">
        <w:t xml:space="preserve"> event</w:t>
      </w:r>
      <w:r w:rsidR="00AE04B6" w:rsidRPr="00840B85">
        <w:t xml:space="preserve">, </w:t>
      </w:r>
      <w:r w:rsidR="008D7D23">
        <w:t>1,077</w:t>
      </w:r>
      <w:r w:rsidRPr="00840B85">
        <w:t xml:space="preserve"> kW</w:t>
      </w:r>
      <w:r w:rsidR="00684B19" w:rsidRPr="00840B85">
        <w:t>h/h</w:t>
      </w:r>
      <w:r w:rsidRPr="00840B85">
        <w:t xml:space="preserve"> for </w:t>
      </w:r>
      <w:r w:rsidR="008D7D23">
        <w:t xml:space="preserve">the full hour of </w:t>
      </w:r>
      <w:r w:rsidRPr="00840B85">
        <w:t xml:space="preserve">SCE's </w:t>
      </w:r>
      <w:r w:rsidR="00684B19" w:rsidRPr="00840B85">
        <w:t>event</w:t>
      </w:r>
      <w:r w:rsidR="00AE04B6" w:rsidRPr="00840B85">
        <w:t xml:space="preserve">, </w:t>
      </w:r>
      <w:r w:rsidR="008965E6" w:rsidRPr="00840B85">
        <w:t xml:space="preserve">and </w:t>
      </w:r>
      <w:r w:rsidR="00684B19" w:rsidRPr="00840B85">
        <w:t>424</w:t>
      </w:r>
      <w:r w:rsidR="00120F3A" w:rsidRPr="00840B85">
        <w:t xml:space="preserve"> kW</w:t>
      </w:r>
      <w:r w:rsidR="00684B19" w:rsidRPr="00840B85">
        <w:t>h/h</w:t>
      </w:r>
      <w:r w:rsidR="00120F3A" w:rsidRPr="00840B85">
        <w:t xml:space="preserve"> </w:t>
      </w:r>
      <w:r w:rsidR="00AE04B6" w:rsidRPr="00840B85">
        <w:t>for SDG&amp;E’s</w:t>
      </w:r>
      <w:r w:rsidR="005520E6" w:rsidRPr="00840B85">
        <w:t xml:space="preserve"> </w:t>
      </w:r>
      <w:r w:rsidR="00840B85" w:rsidRPr="00840B85">
        <w:t>event</w:t>
      </w:r>
      <w:r w:rsidRPr="00840B85">
        <w:t>.</w:t>
      </w:r>
      <w:bookmarkEnd w:id="72"/>
    </w:p>
    <w:p w14:paraId="72DCE5C6" w14:textId="77777777" w:rsidR="00321E09" w:rsidRDefault="00321E09" w:rsidP="008943AD">
      <w:pPr>
        <w:pStyle w:val="Heading2"/>
      </w:pPr>
      <w:bookmarkStart w:id="73" w:name="_Toc510091110"/>
      <w:r w:rsidRPr="00840B85">
        <w:t>4.1 PG&amp;E Load Impacts</w:t>
      </w:r>
      <w:bookmarkEnd w:id="73"/>
    </w:p>
    <w:p w14:paraId="1F67CB74" w14:textId="43617703" w:rsidR="00321E09" w:rsidRPr="00146E50" w:rsidRDefault="00321E09" w:rsidP="00BB7A34">
      <w:pPr>
        <w:pStyle w:val="Heading3"/>
        <w:rPr>
          <w:sz w:val="22"/>
          <w:szCs w:val="22"/>
        </w:rPr>
      </w:pPr>
      <w:bookmarkStart w:id="74" w:name="_Toc510091111"/>
      <w:r>
        <w:rPr>
          <w:sz w:val="22"/>
          <w:szCs w:val="22"/>
        </w:rPr>
        <w:t xml:space="preserve">4.1.1 </w:t>
      </w:r>
      <w:r w:rsidRPr="00146E50">
        <w:rPr>
          <w:sz w:val="22"/>
          <w:szCs w:val="22"/>
        </w:rPr>
        <w:t xml:space="preserve">Average </w:t>
      </w:r>
      <w:r w:rsidR="00D47984">
        <w:rPr>
          <w:sz w:val="22"/>
          <w:szCs w:val="22"/>
        </w:rPr>
        <w:t>Event-h</w:t>
      </w:r>
      <w:r w:rsidR="00AF7CCD">
        <w:rPr>
          <w:sz w:val="22"/>
          <w:szCs w:val="22"/>
        </w:rPr>
        <w:t>our</w:t>
      </w:r>
      <w:r w:rsidR="00AF7CCD" w:rsidRPr="00146E50">
        <w:rPr>
          <w:sz w:val="22"/>
          <w:szCs w:val="22"/>
        </w:rPr>
        <w:t xml:space="preserve"> </w:t>
      </w:r>
      <w:r w:rsidRPr="00146E50">
        <w:rPr>
          <w:sz w:val="22"/>
          <w:szCs w:val="22"/>
        </w:rPr>
        <w:t>Load Impacts by Industry Group and LCA</w:t>
      </w:r>
      <w:bookmarkEnd w:id="74"/>
    </w:p>
    <w:p w14:paraId="6BF4DD28" w14:textId="5F0E0F20" w:rsidR="00F02657" w:rsidRPr="009F594B" w:rsidRDefault="00F02657" w:rsidP="00F02657">
      <w:r>
        <w:t xml:space="preserve">Table 4.1 summarizes average </w:t>
      </w:r>
      <w:r w:rsidR="00560472">
        <w:t xml:space="preserve">event-hour </w:t>
      </w:r>
      <w:r>
        <w:t>reference loads and load impacts at the program level for each of PG&amp;E’s B</w:t>
      </w:r>
      <w:r w:rsidR="00972362">
        <w:t>I</w:t>
      </w:r>
      <w:r>
        <w:t>P events.</w:t>
      </w:r>
      <w:r w:rsidR="00D575C8">
        <w:t xml:space="preserve"> </w:t>
      </w:r>
      <w:r w:rsidR="00A86A91">
        <w:t>Because the second</w:t>
      </w:r>
      <w:r w:rsidR="00EA2380">
        <w:t xml:space="preserve"> and third </w:t>
      </w:r>
      <w:r w:rsidR="0035504B">
        <w:t>events were re-tests</w:t>
      </w:r>
      <w:r w:rsidR="00A86A91">
        <w:t>, fewer service a</w:t>
      </w:r>
      <w:r w:rsidR="00536281">
        <w:t>greemen</w:t>
      </w:r>
      <w:r w:rsidR="00A86A91">
        <w:t>ts were called.</w:t>
      </w:r>
      <w:r w:rsidR="00972362">
        <w:t xml:space="preserve"> The highest load impa</w:t>
      </w:r>
      <w:r w:rsidR="0035504B">
        <w:t xml:space="preserve">ct therefore occurred during the </w:t>
      </w:r>
      <w:r w:rsidR="00EA2380">
        <w:t>May 3</w:t>
      </w:r>
      <w:r w:rsidR="00EA2380" w:rsidRPr="00EA2380">
        <w:rPr>
          <w:vertAlign w:val="superscript"/>
        </w:rPr>
        <w:t>rd</w:t>
      </w:r>
      <w:r w:rsidR="0035504B">
        <w:t xml:space="preserve"> event, with an average </w:t>
      </w:r>
      <w:r w:rsidR="00EA2380">
        <w:t>195</w:t>
      </w:r>
      <w:r w:rsidR="00972362">
        <w:t xml:space="preserve"> MW load impact across the two event hours.</w:t>
      </w:r>
      <w:r w:rsidR="00A40E8E">
        <w:rPr>
          <w:rStyle w:val="FootnoteReference"/>
        </w:rPr>
        <w:footnoteReference w:id="10"/>
      </w:r>
      <w:r w:rsidR="00972362">
        <w:t xml:space="preserve"> </w:t>
      </w:r>
    </w:p>
    <w:p w14:paraId="2BD53454" w14:textId="77777777" w:rsidR="00F02657" w:rsidRDefault="00F02657" w:rsidP="00F02657"/>
    <w:p w14:paraId="2D454A77" w14:textId="2F19F643" w:rsidR="00413FAA" w:rsidRPr="00852320" w:rsidRDefault="00413FAA" w:rsidP="00413FAA">
      <w:pPr>
        <w:pStyle w:val="TableCaption"/>
        <w:keepNext/>
        <w:keepLines/>
      </w:pPr>
      <w:bookmarkStart w:id="75" w:name="_Toc508800215"/>
      <w:r w:rsidRPr="00852320">
        <w:t>Table 4.</w:t>
      </w:r>
      <w:r w:rsidR="00F02657" w:rsidRPr="00852320">
        <w:t>1</w:t>
      </w:r>
      <w:r w:rsidRPr="00852320">
        <w:t xml:space="preserve">: Average </w:t>
      </w:r>
      <w:r w:rsidR="00D47984">
        <w:t>Event-h</w:t>
      </w:r>
      <w:r w:rsidR="00560472">
        <w:t>our</w:t>
      </w:r>
      <w:r w:rsidRPr="00852320">
        <w:t xml:space="preserve"> Load Impacts by Event, </w:t>
      </w:r>
      <w:r w:rsidRPr="00852320">
        <w:rPr>
          <w:i/>
        </w:rPr>
        <w:t>PG&amp;E</w:t>
      </w:r>
      <w:bookmarkEnd w:id="75"/>
    </w:p>
    <w:tbl>
      <w:tblPr>
        <w:tblW w:w="8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1217"/>
        <w:gridCol w:w="739"/>
        <w:gridCol w:w="1372"/>
        <w:gridCol w:w="1184"/>
        <w:gridCol w:w="1139"/>
        <w:gridCol w:w="1584"/>
        <w:gridCol w:w="784"/>
      </w:tblGrid>
      <w:tr w:rsidR="00524450" w14:paraId="2382F5BA" w14:textId="77777777" w:rsidTr="006B55F6">
        <w:trPr>
          <w:jc w:val="center"/>
        </w:trPr>
        <w:tc>
          <w:tcPr>
            <w:tcW w:w="761" w:type="dxa"/>
            <w:tcBorders>
              <w:bottom w:val="single" w:sz="4" w:space="0" w:color="auto"/>
              <w:right w:val="single" w:sz="4" w:space="0" w:color="FFFFFF" w:themeColor="background1"/>
            </w:tcBorders>
            <w:shd w:val="clear" w:color="auto" w:fill="0C2577"/>
            <w:vAlign w:val="center"/>
          </w:tcPr>
          <w:p w14:paraId="6B215DC1" w14:textId="77777777" w:rsidR="00524450" w:rsidRPr="007E0A27" w:rsidRDefault="00524450" w:rsidP="00524450">
            <w:pPr>
              <w:keepNext/>
              <w:keepLines/>
              <w:jc w:val="center"/>
              <w:rPr>
                <w:rFonts w:ascii="Arial" w:hAnsi="Arial" w:cs="Arial"/>
                <w:b/>
                <w:sz w:val="20"/>
                <w:szCs w:val="20"/>
              </w:rPr>
            </w:pPr>
            <w:r w:rsidRPr="007E0A27">
              <w:rPr>
                <w:rFonts w:ascii="Arial" w:hAnsi="Arial" w:cs="Arial"/>
                <w:b/>
                <w:sz w:val="20"/>
                <w:szCs w:val="20"/>
              </w:rPr>
              <w:t>Event</w:t>
            </w:r>
          </w:p>
        </w:tc>
        <w:tc>
          <w:tcPr>
            <w:tcW w:w="1217"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7A169E9C" w14:textId="77777777" w:rsidR="00524450" w:rsidRPr="007E0A27" w:rsidRDefault="00524450" w:rsidP="00524450">
            <w:pPr>
              <w:keepNext/>
              <w:keepLines/>
              <w:jc w:val="center"/>
              <w:rPr>
                <w:rFonts w:ascii="Arial" w:hAnsi="Arial" w:cs="Arial"/>
                <w:b/>
                <w:sz w:val="20"/>
                <w:szCs w:val="20"/>
              </w:rPr>
            </w:pPr>
            <w:r w:rsidRPr="007E0A27">
              <w:rPr>
                <w:rFonts w:ascii="Arial" w:hAnsi="Arial" w:cs="Arial"/>
                <w:b/>
                <w:sz w:val="20"/>
                <w:szCs w:val="20"/>
              </w:rPr>
              <w:t>Date</w:t>
            </w:r>
          </w:p>
        </w:tc>
        <w:tc>
          <w:tcPr>
            <w:tcW w:w="739"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50CFBD48" w14:textId="77777777" w:rsidR="00524450" w:rsidRPr="007E0A27" w:rsidRDefault="00524450" w:rsidP="00524450">
            <w:pPr>
              <w:keepNext/>
              <w:keepLines/>
              <w:jc w:val="center"/>
              <w:rPr>
                <w:rFonts w:ascii="Arial" w:hAnsi="Arial" w:cs="Arial"/>
                <w:b/>
                <w:sz w:val="20"/>
                <w:szCs w:val="20"/>
              </w:rPr>
            </w:pPr>
            <w:r w:rsidRPr="007E0A27">
              <w:rPr>
                <w:rFonts w:ascii="Arial" w:hAnsi="Arial" w:cs="Arial"/>
                <w:b/>
                <w:sz w:val="20"/>
                <w:szCs w:val="20"/>
              </w:rPr>
              <w:t>Day of Week</w:t>
            </w:r>
          </w:p>
        </w:tc>
        <w:tc>
          <w:tcPr>
            <w:tcW w:w="1372"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482A6594" w14:textId="389A5DFE" w:rsidR="00524450" w:rsidRPr="007E0A27" w:rsidRDefault="00524450" w:rsidP="00524450">
            <w:pPr>
              <w:keepNext/>
              <w:keepLines/>
              <w:jc w:val="center"/>
              <w:rPr>
                <w:rFonts w:ascii="Arial" w:hAnsi="Arial" w:cs="Arial"/>
                <w:b/>
                <w:sz w:val="20"/>
                <w:szCs w:val="20"/>
              </w:rPr>
            </w:pPr>
            <w:r>
              <w:rPr>
                <w:rFonts w:ascii="Arial" w:hAnsi="Arial" w:cs="Arial"/>
                <w:b/>
                <w:sz w:val="20"/>
                <w:szCs w:val="20"/>
              </w:rPr>
              <w:t># Service Agreements</w:t>
            </w:r>
          </w:p>
        </w:tc>
        <w:tc>
          <w:tcPr>
            <w:tcW w:w="1184"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4C9D61AD" w14:textId="237E87BF" w:rsidR="00524450" w:rsidRPr="007E0A27" w:rsidRDefault="00524450" w:rsidP="00524450">
            <w:pPr>
              <w:keepNext/>
              <w:keepLines/>
              <w:jc w:val="center"/>
              <w:rPr>
                <w:rFonts w:ascii="Arial" w:hAnsi="Arial" w:cs="Arial"/>
                <w:b/>
                <w:sz w:val="20"/>
                <w:szCs w:val="20"/>
              </w:rPr>
            </w:pPr>
            <w:r w:rsidRPr="007E0A27">
              <w:rPr>
                <w:rFonts w:ascii="Arial" w:hAnsi="Arial" w:cs="Arial"/>
                <w:b/>
                <w:sz w:val="20"/>
                <w:szCs w:val="20"/>
              </w:rPr>
              <w:t>Estimated Reference Load (MW)</w:t>
            </w:r>
          </w:p>
        </w:tc>
        <w:tc>
          <w:tcPr>
            <w:tcW w:w="1139"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4CB9009D" w14:textId="77777777" w:rsidR="00524450" w:rsidRPr="007E0A27" w:rsidRDefault="00524450" w:rsidP="00524450">
            <w:pPr>
              <w:keepNext/>
              <w:keepLines/>
              <w:jc w:val="center"/>
              <w:rPr>
                <w:rFonts w:ascii="Arial" w:hAnsi="Arial" w:cs="Arial"/>
                <w:b/>
                <w:sz w:val="20"/>
                <w:szCs w:val="20"/>
              </w:rPr>
            </w:pPr>
            <w:r w:rsidRPr="007E0A27">
              <w:rPr>
                <w:rFonts w:ascii="Arial" w:hAnsi="Arial" w:cs="Arial"/>
                <w:b/>
                <w:sz w:val="20"/>
                <w:szCs w:val="20"/>
              </w:rPr>
              <w:t>Observed Load (MW)</w:t>
            </w:r>
          </w:p>
        </w:tc>
        <w:tc>
          <w:tcPr>
            <w:tcW w:w="1584"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70596DE9" w14:textId="77777777" w:rsidR="00524450" w:rsidRPr="007E0A27" w:rsidRDefault="00524450" w:rsidP="00524450">
            <w:pPr>
              <w:keepNext/>
              <w:keepLines/>
              <w:jc w:val="center"/>
              <w:rPr>
                <w:rFonts w:ascii="Arial" w:hAnsi="Arial" w:cs="Arial"/>
                <w:b/>
                <w:sz w:val="20"/>
                <w:szCs w:val="20"/>
              </w:rPr>
            </w:pPr>
            <w:r w:rsidRPr="007E0A27">
              <w:rPr>
                <w:rFonts w:ascii="Arial" w:hAnsi="Arial" w:cs="Arial"/>
                <w:b/>
                <w:sz w:val="20"/>
                <w:szCs w:val="20"/>
              </w:rPr>
              <w:t>Estimated Load Impact (MW)</w:t>
            </w:r>
          </w:p>
        </w:tc>
        <w:tc>
          <w:tcPr>
            <w:tcW w:w="784" w:type="dxa"/>
            <w:tcBorders>
              <w:left w:val="single" w:sz="4" w:space="0" w:color="FFFFFF" w:themeColor="background1"/>
              <w:bottom w:val="single" w:sz="4" w:space="0" w:color="auto"/>
            </w:tcBorders>
            <w:shd w:val="clear" w:color="auto" w:fill="0C2577"/>
            <w:vAlign w:val="center"/>
          </w:tcPr>
          <w:p w14:paraId="31DA6C8C" w14:textId="7FE07FCD" w:rsidR="00524450" w:rsidRPr="007E0A27" w:rsidRDefault="00524450" w:rsidP="00524450">
            <w:pPr>
              <w:keepNext/>
              <w:keepLines/>
              <w:jc w:val="center"/>
              <w:rPr>
                <w:rFonts w:ascii="Arial" w:hAnsi="Arial" w:cs="Arial"/>
                <w:b/>
                <w:sz w:val="20"/>
                <w:szCs w:val="20"/>
              </w:rPr>
            </w:pPr>
            <w:r w:rsidRPr="007E0A27">
              <w:rPr>
                <w:rFonts w:ascii="Arial" w:hAnsi="Arial" w:cs="Arial"/>
                <w:b/>
                <w:sz w:val="20"/>
                <w:szCs w:val="20"/>
              </w:rPr>
              <w:t>% LI</w:t>
            </w:r>
          </w:p>
        </w:tc>
      </w:tr>
      <w:tr w:rsidR="00524450" w14:paraId="7DF5F915" w14:textId="77777777" w:rsidTr="008D7D23">
        <w:trPr>
          <w:jc w:val="center"/>
        </w:trPr>
        <w:tc>
          <w:tcPr>
            <w:tcW w:w="761" w:type="dxa"/>
            <w:tcBorders>
              <w:top w:val="single" w:sz="4" w:space="0" w:color="auto"/>
              <w:left w:val="single" w:sz="4" w:space="0" w:color="auto"/>
              <w:bottom w:val="nil"/>
              <w:right w:val="single" w:sz="4" w:space="0" w:color="auto"/>
            </w:tcBorders>
          </w:tcPr>
          <w:p w14:paraId="5C98E7C7" w14:textId="327870EA" w:rsidR="00524450" w:rsidRPr="00B719EA" w:rsidRDefault="00524450" w:rsidP="00524450">
            <w:pPr>
              <w:keepNext/>
              <w:keepLines/>
              <w:jc w:val="center"/>
              <w:rPr>
                <w:rFonts w:ascii="Arial" w:hAnsi="Arial" w:cs="Arial"/>
                <w:sz w:val="20"/>
                <w:szCs w:val="20"/>
              </w:rPr>
            </w:pPr>
            <w:r w:rsidRPr="00B719EA">
              <w:rPr>
                <w:rFonts w:ascii="Arial" w:hAnsi="Arial" w:cs="Arial"/>
                <w:sz w:val="20"/>
                <w:szCs w:val="20"/>
              </w:rPr>
              <w:t>1</w:t>
            </w:r>
          </w:p>
        </w:tc>
        <w:tc>
          <w:tcPr>
            <w:tcW w:w="1217" w:type="dxa"/>
            <w:tcBorders>
              <w:top w:val="single" w:sz="4" w:space="0" w:color="auto"/>
              <w:left w:val="single" w:sz="4" w:space="0" w:color="auto"/>
              <w:bottom w:val="nil"/>
              <w:right w:val="single" w:sz="4" w:space="0" w:color="auto"/>
            </w:tcBorders>
          </w:tcPr>
          <w:p w14:paraId="71009E2C" w14:textId="07574C4F" w:rsidR="00524450" w:rsidRPr="00B719EA" w:rsidRDefault="00524450" w:rsidP="00524450">
            <w:pPr>
              <w:rPr>
                <w:rFonts w:ascii="Arial" w:hAnsi="Arial" w:cs="Arial"/>
                <w:color w:val="000000"/>
                <w:sz w:val="20"/>
                <w:szCs w:val="20"/>
              </w:rPr>
            </w:pPr>
            <w:r>
              <w:rPr>
                <w:rFonts w:ascii="Arial" w:hAnsi="Arial" w:cs="Arial"/>
                <w:sz w:val="20"/>
                <w:szCs w:val="20"/>
              </w:rPr>
              <w:t>5</w:t>
            </w:r>
            <w:r w:rsidRPr="00B719EA">
              <w:rPr>
                <w:rFonts w:ascii="Arial" w:hAnsi="Arial" w:cs="Arial"/>
                <w:sz w:val="20"/>
                <w:szCs w:val="20"/>
              </w:rPr>
              <w:t>/</w:t>
            </w:r>
            <w:r>
              <w:rPr>
                <w:rFonts w:ascii="Arial" w:hAnsi="Arial" w:cs="Arial"/>
                <w:sz w:val="20"/>
                <w:szCs w:val="20"/>
              </w:rPr>
              <w:t>3</w:t>
            </w:r>
            <w:r w:rsidRPr="00B719EA">
              <w:rPr>
                <w:rFonts w:ascii="Arial" w:hAnsi="Arial" w:cs="Arial"/>
                <w:sz w:val="20"/>
                <w:szCs w:val="20"/>
              </w:rPr>
              <w:t>/201</w:t>
            </w:r>
            <w:r>
              <w:rPr>
                <w:rFonts w:ascii="Arial" w:hAnsi="Arial" w:cs="Arial"/>
                <w:sz w:val="20"/>
                <w:szCs w:val="20"/>
              </w:rPr>
              <w:t>7</w:t>
            </w:r>
          </w:p>
        </w:tc>
        <w:tc>
          <w:tcPr>
            <w:tcW w:w="739" w:type="dxa"/>
            <w:tcBorders>
              <w:top w:val="single" w:sz="4" w:space="0" w:color="auto"/>
              <w:left w:val="single" w:sz="4" w:space="0" w:color="auto"/>
              <w:bottom w:val="nil"/>
              <w:right w:val="single" w:sz="4" w:space="0" w:color="auto"/>
            </w:tcBorders>
          </w:tcPr>
          <w:p w14:paraId="3FC0F8DE" w14:textId="67C2B288" w:rsidR="00524450" w:rsidRPr="00B719EA" w:rsidRDefault="00524450" w:rsidP="00524450">
            <w:pPr>
              <w:keepNext/>
              <w:keepLines/>
              <w:rPr>
                <w:rFonts w:ascii="Arial" w:hAnsi="Arial" w:cs="Arial"/>
                <w:sz w:val="20"/>
                <w:szCs w:val="20"/>
              </w:rPr>
            </w:pPr>
            <w:r>
              <w:rPr>
                <w:rFonts w:ascii="Arial" w:hAnsi="Arial" w:cs="Arial"/>
                <w:sz w:val="20"/>
                <w:szCs w:val="20"/>
              </w:rPr>
              <w:t>Wed.</w:t>
            </w:r>
          </w:p>
        </w:tc>
        <w:tc>
          <w:tcPr>
            <w:tcW w:w="1372" w:type="dxa"/>
            <w:tcBorders>
              <w:top w:val="single" w:sz="4" w:space="0" w:color="auto"/>
              <w:left w:val="single" w:sz="4" w:space="0" w:color="auto"/>
              <w:bottom w:val="nil"/>
              <w:right w:val="single" w:sz="4" w:space="0" w:color="auto"/>
            </w:tcBorders>
            <w:shd w:val="clear" w:color="auto" w:fill="auto"/>
          </w:tcPr>
          <w:p w14:paraId="7D9C0321" w14:textId="3B850D00" w:rsidR="00524450" w:rsidRPr="004536E0" w:rsidRDefault="00524450" w:rsidP="00524450">
            <w:pPr>
              <w:jc w:val="right"/>
              <w:rPr>
                <w:rFonts w:ascii="Arial" w:hAnsi="Arial" w:cs="Arial"/>
                <w:sz w:val="20"/>
                <w:szCs w:val="20"/>
              </w:rPr>
            </w:pPr>
            <w:r>
              <w:rPr>
                <w:rFonts w:ascii="Arial" w:hAnsi="Arial" w:cs="Arial"/>
                <w:sz w:val="20"/>
                <w:szCs w:val="20"/>
              </w:rPr>
              <w:t>331</w:t>
            </w:r>
          </w:p>
        </w:tc>
        <w:tc>
          <w:tcPr>
            <w:tcW w:w="1184" w:type="dxa"/>
            <w:tcBorders>
              <w:top w:val="single" w:sz="4" w:space="0" w:color="auto"/>
              <w:left w:val="single" w:sz="4" w:space="0" w:color="auto"/>
              <w:bottom w:val="nil"/>
              <w:right w:val="single" w:sz="4" w:space="0" w:color="auto"/>
            </w:tcBorders>
            <w:shd w:val="clear" w:color="auto" w:fill="auto"/>
          </w:tcPr>
          <w:p w14:paraId="6918324A" w14:textId="172A2711" w:rsidR="00524450" w:rsidRPr="004536E0" w:rsidRDefault="00524450" w:rsidP="00524450">
            <w:pPr>
              <w:jc w:val="right"/>
              <w:rPr>
                <w:rFonts w:ascii="Arial" w:hAnsi="Arial" w:cs="Arial"/>
                <w:sz w:val="20"/>
                <w:szCs w:val="20"/>
              </w:rPr>
            </w:pPr>
            <w:r>
              <w:rPr>
                <w:rFonts w:ascii="Arial" w:hAnsi="Arial" w:cs="Arial"/>
                <w:sz w:val="20"/>
                <w:szCs w:val="20"/>
              </w:rPr>
              <w:t>343.6</w:t>
            </w:r>
          </w:p>
        </w:tc>
        <w:tc>
          <w:tcPr>
            <w:tcW w:w="1139" w:type="dxa"/>
            <w:tcBorders>
              <w:top w:val="single" w:sz="4" w:space="0" w:color="auto"/>
              <w:left w:val="single" w:sz="4" w:space="0" w:color="auto"/>
              <w:bottom w:val="nil"/>
              <w:right w:val="single" w:sz="4" w:space="0" w:color="auto"/>
            </w:tcBorders>
            <w:shd w:val="clear" w:color="auto" w:fill="auto"/>
          </w:tcPr>
          <w:p w14:paraId="604E3253" w14:textId="5BBA96CB" w:rsidR="00524450" w:rsidRPr="004536E0" w:rsidRDefault="00524450" w:rsidP="00524450">
            <w:pPr>
              <w:jc w:val="right"/>
              <w:rPr>
                <w:rFonts w:ascii="Arial" w:hAnsi="Arial" w:cs="Arial"/>
                <w:sz w:val="20"/>
                <w:szCs w:val="20"/>
              </w:rPr>
            </w:pPr>
            <w:r>
              <w:rPr>
                <w:rFonts w:ascii="Arial" w:hAnsi="Arial" w:cs="Arial"/>
                <w:sz w:val="20"/>
                <w:szCs w:val="20"/>
              </w:rPr>
              <w:t>148.2</w:t>
            </w:r>
          </w:p>
        </w:tc>
        <w:tc>
          <w:tcPr>
            <w:tcW w:w="1584" w:type="dxa"/>
            <w:tcBorders>
              <w:top w:val="single" w:sz="4" w:space="0" w:color="auto"/>
              <w:left w:val="single" w:sz="4" w:space="0" w:color="auto"/>
              <w:bottom w:val="nil"/>
              <w:right w:val="single" w:sz="4" w:space="0" w:color="auto"/>
            </w:tcBorders>
            <w:shd w:val="clear" w:color="auto" w:fill="auto"/>
            <w:vAlign w:val="center"/>
          </w:tcPr>
          <w:p w14:paraId="32ED7424" w14:textId="6DDE2DAD" w:rsidR="00524450" w:rsidRPr="004536E0" w:rsidRDefault="00524450" w:rsidP="00524450">
            <w:pPr>
              <w:ind w:left="720"/>
              <w:jc w:val="right"/>
              <w:rPr>
                <w:rFonts w:ascii="Arial" w:hAnsi="Arial" w:cs="Arial"/>
                <w:sz w:val="20"/>
                <w:szCs w:val="20"/>
              </w:rPr>
            </w:pPr>
            <w:r>
              <w:rPr>
                <w:rFonts w:ascii="Arial" w:hAnsi="Arial" w:cs="Arial"/>
                <w:sz w:val="20"/>
                <w:szCs w:val="20"/>
              </w:rPr>
              <w:t>195.4</w:t>
            </w:r>
          </w:p>
        </w:tc>
        <w:tc>
          <w:tcPr>
            <w:tcW w:w="784" w:type="dxa"/>
            <w:tcBorders>
              <w:top w:val="single" w:sz="4" w:space="0" w:color="auto"/>
              <w:left w:val="single" w:sz="4" w:space="0" w:color="auto"/>
              <w:bottom w:val="nil"/>
              <w:right w:val="single" w:sz="4" w:space="0" w:color="auto"/>
            </w:tcBorders>
            <w:shd w:val="clear" w:color="auto" w:fill="auto"/>
          </w:tcPr>
          <w:p w14:paraId="5A8D68AF" w14:textId="5B09687E" w:rsidR="00524450" w:rsidRPr="004536E0" w:rsidRDefault="00524450" w:rsidP="00524450">
            <w:pPr>
              <w:jc w:val="right"/>
              <w:rPr>
                <w:rFonts w:ascii="Arial" w:hAnsi="Arial" w:cs="Arial"/>
                <w:sz w:val="20"/>
                <w:szCs w:val="20"/>
              </w:rPr>
            </w:pPr>
            <w:r>
              <w:rPr>
                <w:rFonts w:ascii="Arial" w:hAnsi="Arial" w:cs="Arial"/>
                <w:sz w:val="20"/>
                <w:szCs w:val="20"/>
              </w:rPr>
              <w:t>56.9%</w:t>
            </w:r>
          </w:p>
        </w:tc>
      </w:tr>
      <w:tr w:rsidR="00524450" w14:paraId="4E9F0D8B" w14:textId="77777777" w:rsidTr="007357E6">
        <w:trPr>
          <w:jc w:val="center"/>
        </w:trPr>
        <w:tc>
          <w:tcPr>
            <w:tcW w:w="761" w:type="dxa"/>
            <w:tcBorders>
              <w:top w:val="nil"/>
              <w:left w:val="single" w:sz="4" w:space="0" w:color="auto"/>
              <w:bottom w:val="nil"/>
              <w:right w:val="single" w:sz="4" w:space="0" w:color="auto"/>
            </w:tcBorders>
          </w:tcPr>
          <w:p w14:paraId="19DCE1F5" w14:textId="71BD2663" w:rsidR="00524450" w:rsidRPr="00B719EA" w:rsidRDefault="00524450" w:rsidP="00524450">
            <w:pPr>
              <w:keepNext/>
              <w:keepLines/>
              <w:jc w:val="center"/>
              <w:rPr>
                <w:rFonts w:ascii="Arial" w:hAnsi="Arial" w:cs="Arial"/>
                <w:sz w:val="20"/>
                <w:szCs w:val="20"/>
              </w:rPr>
            </w:pPr>
            <w:r w:rsidRPr="00B719EA">
              <w:rPr>
                <w:rFonts w:ascii="Arial" w:hAnsi="Arial" w:cs="Arial"/>
                <w:sz w:val="20"/>
                <w:szCs w:val="20"/>
              </w:rPr>
              <w:t>2</w:t>
            </w:r>
          </w:p>
        </w:tc>
        <w:tc>
          <w:tcPr>
            <w:tcW w:w="1217" w:type="dxa"/>
            <w:tcBorders>
              <w:top w:val="nil"/>
              <w:left w:val="single" w:sz="4" w:space="0" w:color="auto"/>
              <w:bottom w:val="nil"/>
              <w:right w:val="single" w:sz="4" w:space="0" w:color="auto"/>
            </w:tcBorders>
          </w:tcPr>
          <w:p w14:paraId="49D524B5" w14:textId="582D4F74" w:rsidR="00524450" w:rsidRPr="00B719EA" w:rsidRDefault="00524450" w:rsidP="00524450">
            <w:pPr>
              <w:rPr>
                <w:rFonts w:ascii="Arial" w:hAnsi="Arial" w:cs="Arial"/>
                <w:color w:val="000000"/>
                <w:sz w:val="20"/>
                <w:szCs w:val="20"/>
              </w:rPr>
            </w:pPr>
            <w:r>
              <w:rPr>
                <w:rFonts w:ascii="Arial" w:hAnsi="Arial" w:cs="Arial"/>
                <w:sz w:val="20"/>
                <w:szCs w:val="20"/>
              </w:rPr>
              <w:t>7</w:t>
            </w:r>
            <w:r w:rsidRPr="00B719EA">
              <w:rPr>
                <w:rFonts w:ascii="Arial" w:hAnsi="Arial" w:cs="Arial"/>
                <w:sz w:val="20"/>
                <w:szCs w:val="20"/>
              </w:rPr>
              <w:t>/</w:t>
            </w:r>
            <w:r>
              <w:rPr>
                <w:rFonts w:ascii="Arial" w:hAnsi="Arial" w:cs="Arial"/>
                <w:sz w:val="20"/>
                <w:szCs w:val="20"/>
              </w:rPr>
              <w:t>11</w:t>
            </w:r>
            <w:r w:rsidRPr="00B719EA">
              <w:rPr>
                <w:rFonts w:ascii="Arial" w:hAnsi="Arial" w:cs="Arial"/>
                <w:sz w:val="20"/>
                <w:szCs w:val="20"/>
              </w:rPr>
              <w:t>/201</w:t>
            </w:r>
            <w:r>
              <w:rPr>
                <w:rFonts w:ascii="Arial" w:hAnsi="Arial" w:cs="Arial"/>
                <w:sz w:val="20"/>
                <w:szCs w:val="20"/>
              </w:rPr>
              <w:t>7</w:t>
            </w:r>
          </w:p>
        </w:tc>
        <w:tc>
          <w:tcPr>
            <w:tcW w:w="739" w:type="dxa"/>
            <w:tcBorders>
              <w:top w:val="nil"/>
              <w:left w:val="single" w:sz="4" w:space="0" w:color="auto"/>
              <w:bottom w:val="nil"/>
              <w:right w:val="single" w:sz="4" w:space="0" w:color="auto"/>
            </w:tcBorders>
          </w:tcPr>
          <w:p w14:paraId="10EE1025" w14:textId="6B696FF8" w:rsidR="00524450" w:rsidRPr="00B719EA" w:rsidRDefault="00524450" w:rsidP="00524450">
            <w:pPr>
              <w:keepNext/>
              <w:keepLines/>
              <w:rPr>
                <w:rFonts w:ascii="Arial" w:hAnsi="Arial" w:cs="Arial"/>
                <w:sz w:val="20"/>
                <w:szCs w:val="20"/>
              </w:rPr>
            </w:pPr>
            <w:r>
              <w:rPr>
                <w:rFonts w:ascii="Arial" w:hAnsi="Arial" w:cs="Arial"/>
                <w:sz w:val="20"/>
                <w:szCs w:val="20"/>
              </w:rPr>
              <w:t>Tues.</w:t>
            </w:r>
          </w:p>
        </w:tc>
        <w:tc>
          <w:tcPr>
            <w:tcW w:w="1372" w:type="dxa"/>
            <w:tcBorders>
              <w:top w:val="nil"/>
              <w:left w:val="single" w:sz="4" w:space="0" w:color="auto"/>
              <w:bottom w:val="nil"/>
              <w:right w:val="single" w:sz="4" w:space="0" w:color="auto"/>
            </w:tcBorders>
            <w:shd w:val="clear" w:color="auto" w:fill="000000" w:themeFill="text1"/>
          </w:tcPr>
          <w:p w14:paraId="23858235" w14:textId="4C459943" w:rsidR="00524450" w:rsidRPr="004536E0" w:rsidRDefault="00524450" w:rsidP="00524450">
            <w:pPr>
              <w:jc w:val="right"/>
              <w:rPr>
                <w:rFonts w:ascii="Arial" w:hAnsi="Arial" w:cs="Arial"/>
                <w:sz w:val="20"/>
                <w:szCs w:val="20"/>
              </w:rPr>
            </w:pPr>
          </w:p>
        </w:tc>
        <w:tc>
          <w:tcPr>
            <w:tcW w:w="1184" w:type="dxa"/>
            <w:tcBorders>
              <w:top w:val="nil"/>
              <w:left w:val="single" w:sz="4" w:space="0" w:color="auto"/>
              <w:bottom w:val="nil"/>
              <w:right w:val="single" w:sz="4" w:space="0" w:color="auto"/>
            </w:tcBorders>
            <w:shd w:val="clear" w:color="auto" w:fill="000000" w:themeFill="text1"/>
          </w:tcPr>
          <w:p w14:paraId="17EE0D7F" w14:textId="346CC81C" w:rsidR="00524450" w:rsidRPr="004536E0" w:rsidRDefault="00524450" w:rsidP="00524450">
            <w:pPr>
              <w:jc w:val="right"/>
              <w:rPr>
                <w:rFonts w:ascii="Arial" w:hAnsi="Arial" w:cs="Arial"/>
                <w:sz w:val="20"/>
                <w:szCs w:val="20"/>
              </w:rPr>
            </w:pPr>
          </w:p>
        </w:tc>
        <w:tc>
          <w:tcPr>
            <w:tcW w:w="1139" w:type="dxa"/>
            <w:tcBorders>
              <w:top w:val="nil"/>
              <w:left w:val="single" w:sz="4" w:space="0" w:color="auto"/>
              <w:bottom w:val="nil"/>
              <w:right w:val="single" w:sz="4" w:space="0" w:color="auto"/>
            </w:tcBorders>
            <w:shd w:val="clear" w:color="auto" w:fill="000000" w:themeFill="text1"/>
          </w:tcPr>
          <w:p w14:paraId="22888181" w14:textId="52843186" w:rsidR="00524450" w:rsidRPr="004536E0" w:rsidRDefault="00524450" w:rsidP="00524450">
            <w:pPr>
              <w:jc w:val="right"/>
              <w:rPr>
                <w:rFonts w:ascii="Arial" w:hAnsi="Arial" w:cs="Arial"/>
                <w:sz w:val="20"/>
                <w:szCs w:val="20"/>
              </w:rPr>
            </w:pPr>
          </w:p>
        </w:tc>
        <w:tc>
          <w:tcPr>
            <w:tcW w:w="1584" w:type="dxa"/>
            <w:tcBorders>
              <w:top w:val="nil"/>
              <w:left w:val="single" w:sz="4" w:space="0" w:color="auto"/>
              <w:bottom w:val="nil"/>
              <w:right w:val="single" w:sz="4" w:space="0" w:color="auto"/>
            </w:tcBorders>
            <w:shd w:val="clear" w:color="auto" w:fill="000000" w:themeFill="text1"/>
          </w:tcPr>
          <w:p w14:paraId="69DCE676" w14:textId="7619B00F" w:rsidR="00524450" w:rsidRPr="004536E0" w:rsidRDefault="00524450" w:rsidP="00524450">
            <w:pPr>
              <w:jc w:val="right"/>
              <w:rPr>
                <w:rFonts w:ascii="Arial" w:hAnsi="Arial" w:cs="Arial"/>
                <w:sz w:val="20"/>
                <w:szCs w:val="20"/>
              </w:rPr>
            </w:pPr>
          </w:p>
        </w:tc>
        <w:tc>
          <w:tcPr>
            <w:tcW w:w="784" w:type="dxa"/>
            <w:tcBorders>
              <w:top w:val="nil"/>
              <w:left w:val="single" w:sz="4" w:space="0" w:color="auto"/>
              <w:bottom w:val="nil"/>
              <w:right w:val="single" w:sz="4" w:space="0" w:color="auto"/>
            </w:tcBorders>
            <w:shd w:val="clear" w:color="auto" w:fill="000000" w:themeFill="text1"/>
          </w:tcPr>
          <w:p w14:paraId="5A822A56" w14:textId="634556A4" w:rsidR="00524450" w:rsidRPr="004536E0" w:rsidRDefault="00524450" w:rsidP="00524450">
            <w:pPr>
              <w:jc w:val="right"/>
              <w:rPr>
                <w:rFonts w:ascii="Arial" w:hAnsi="Arial" w:cs="Arial"/>
                <w:sz w:val="20"/>
                <w:szCs w:val="20"/>
              </w:rPr>
            </w:pPr>
          </w:p>
        </w:tc>
      </w:tr>
      <w:tr w:rsidR="00524450" w14:paraId="749181AE" w14:textId="77777777" w:rsidTr="007357E6">
        <w:trPr>
          <w:jc w:val="center"/>
        </w:trPr>
        <w:tc>
          <w:tcPr>
            <w:tcW w:w="761" w:type="dxa"/>
            <w:tcBorders>
              <w:top w:val="nil"/>
              <w:left w:val="single" w:sz="4" w:space="0" w:color="auto"/>
              <w:bottom w:val="single" w:sz="4" w:space="0" w:color="auto"/>
              <w:right w:val="single" w:sz="4" w:space="0" w:color="auto"/>
            </w:tcBorders>
          </w:tcPr>
          <w:p w14:paraId="4FBE2A42" w14:textId="0E1050B2" w:rsidR="00524450" w:rsidRPr="00B719EA" w:rsidRDefault="00524450" w:rsidP="00524450">
            <w:pPr>
              <w:keepNext/>
              <w:keepLines/>
              <w:jc w:val="center"/>
              <w:rPr>
                <w:rFonts w:ascii="Arial" w:hAnsi="Arial" w:cs="Arial"/>
                <w:sz w:val="20"/>
                <w:szCs w:val="20"/>
              </w:rPr>
            </w:pPr>
            <w:r w:rsidRPr="00B719EA">
              <w:rPr>
                <w:rFonts w:ascii="Arial" w:hAnsi="Arial" w:cs="Arial"/>
                <w:sz w:val="20"/>
                <w:szCs w:val="20"/>
              </w:rPr>
              <w:t>3</w:t>
            </w:r>
          </w:p>
        </w:tc>
        <w:tc>
          <w:tcPr>
            <w:tcW w:w="1217" w:type="dxa"/>
            <w:tcBorders>
              <w:top w:val="nil"/>
              <w:left w:val="single" w:sz="4" w:space="0" w:color="auto"/>
              <w:bottom w:val="single" w:sz="4" w:space="0" w:color="auto"/>
              <w:right w:val="single" w:sz="4" w:space="0" w:color="auto"/>
            </w:tcBorders>
          </w:tcPr>
          <w:p w14:paraId="4D681625" w14:textId="40B24C81" w:rsidR="00524450" w:rsidRPr="00B719EA" w:rsidRDefault="00524450" w:rsidP="00524450">
            <w:pPr>
              <w:rPr>
                <w:rFonts w:ascii="Arial" w:hAnsi="Arial" w:cs="Arial"/>
                <w:color w:val="000000"/>
                <w:sz w:val="20"/>
                <w:szCs w:val="20"/>
              </w:rPr>
            </w:pPr>
            <w:r>
              <w:rPr>
                <w:rFonts w:ascii="Arial" w:hAnsi="Arial" w:cs="Arial"/>
                <w:sz w:val="20"/>
                <w:szCs w:val="20"/>
              </w:rPr>
              <w:t>10</w:t>
            </w:r>
            <w:r w:rsidRPr="00B719EA">
              <w:rPr>
                <w:rFonts w:ascii="Arial" w:hAnsi="Arial" w:cs="Arial"/>
                <w:sz w:val="20"/>
                <w:szCs w:val="20"/>
              </w:rPr>
              <w:t>/</w:t>
            </w:r>
            <w:r>
              <w:rPr>
                <w:rFonts w:ascii="Arial" w:hAnsi="Arial" w:cs="Arial"/>
                <w:sz w:val="20"/>
                <w:szCs w:val="20"/>
              </w:rPr>
              <w:t>17</w:t>
            </w:r>
            <w:r w:rsidRPr="00B719EA">
              <w:rPr>
                <w:rFonts w:ascii="Arial" w:hAnsi="Arial" w:cs="Arial"/>
                <w:sz w:val="20"/>
                <w:szCs w:val="20"/>
              </w:rPr>
              <w:t>/201</w:t>
            </w:r>
            <w:r>
              <w:rPr>
                <w:rFonts w:ascii="Arial" w:hAnsi="Arial" w:cs="Arial"/>
                <w:sz w:val="20"/>
                <w:szCs w:val="20"/>
              </w:rPr>
              <w:t>7</w:t>
            </w:r>
          </w:p>
        </w:tc>
        <w:tc>
          <w:tcPr>
            <w:tcW w:w="739" w:type="dxa"/>
            <w:tcBorders>
              <w:top w:val="nil"/>
              <w:left w:val="single" w:sz="4" w:space="0" w:color="auto"/>
              <w:bottom w:val="single" w:sz="4" w:space="0" w:color="auto"/>
              <w:right w:val="single" w:sz="4" w:space="0" w:color="auto"/>
            </w:tcBorders>
          </w:tcPr>
          <w:p w14:paraId="2D26600F" w14:textId="0C7AD775" w:rsidR="00524450" w:rsidRPr="00B719EA" w:rsidRDefault="00524450" w:rsidP="00524450">
            <w:pPr>
              <w:keepNext/>
              <w:keepLines/>
              <w:rPr>
                <w:rFonts w:ascii="Arial" w:hAnsi="Arial" w:cs="Arial"/>
                <w:sz w:val="20"/>
                <w:szCs w:val="20"/>
              </w:rPr>
            </w:pPr>
            <w:r>
              <w:rPr>
                <w:rFonts w:ascii="Arial" w:hAnsi="Arial" w:cs="Arial"/>
                <w:sz w:val="20"/>
                <w:szCs w:val="20"/>
              </w:rPr>
              <w:t>Tues.</w:t>
            </w:r>
          </w:p>
        </w:tc>
        <w:tc>
          <w:tcPr>
            <w:tcW w:w="1372" w:type="dxa"/>
            <w:tcBorders>
              <w:top w:val="nil"/>
              <w:left w:val="single" w:sz="4" w:space="0" w:color="auto"/>
              <w:bottom w:val="single" w:sz="4" w:space="0" w:color="auto"/>
              <w:right w:val="single" w:sz="4" w:space="0" w:color="auto"/>
            </w:tcBorders>
            <w:shd w:val="clear" w:color="auto" w:fill="000000" w:themeFill="text1"/>
          </w:tcPr>
          <w:p w14:paraId="77AA7CA0" w14:textId="5084822F" w:rsidR="00524450" w:rsidRPr="004536E0" w:rsidRDefault="00524450" w:rsidP="00524450">
            <w:pPr>
              <w:jc w:val="right"/>
              <w:rPr>
                <w:rFonts w:ascii="Arial" w:hAnsi="Arial" w:cs="Arial"/>
                <w:sz w:val="20"/>
                <w:szCs w:val="20"/>
              </w:rPr>
            </w:pPr>
          </w:p>
        </w:tc>
        <w:tc>
          <w:tcPr>
            <w:tcW w:w="1184" w:type="dxa"/>
            <w:tcBorders>
              <w:top w:val="nil"/>
              <w:left w:val="single" w:sz="4" w:space="0" w:color="auto"/>
              <w:bottom w:val="single" w:sz="4" w:space="0" w:color="auto"/>
              <w:right w:val="single" w:sz="4" w:space="0" w:color="auto"/>
            </w:tcBorders>
            <w:shd w:val="clear" w:color="auto" w:fill="000000" w:themeFill="text1"/>
          </w:tcPr>
          <w:p w14:paraId="343FF864" w14:textId="7C3D236A" w:rsidR="00524450" w:rsidRPr="004536E0" w:rsidRDefault="00524450" w:rsidP="00524450">
            <w:pPr>
              <w:jc w:val="right"/>
              <w:rPr>
                <w:rFonts w:ascii="Arial" w:hAnsi="Arial" w:cs="Arial"/>
                <w:sz w:val="20"/>
                <w:szCs w:val="20"/>
              </w:rPr>
            </w:pPr>
          </w:p>
        </w:tc>
        <w:tc>
          <w:tcPr>
            <w:tcW w:w="1139" w:type="dxa"/>
            <w:tcBorders>
              <w:top w:val="nil"/>
              <w:left w:val="single" w:sz="4" w:space="0" w:color="auto"/>
              <w:bottom w:val="single" w:sz="4" w:space="0" w:color="auto"/>
              <w:right w:val="single" w:sz="4" w:space="0" w:color="auto"/>
            </w:tcBorders>
            <w:shd w:val="clear" w:color="auto" w:fill="000000" w:themeFill="text1"/>
          </w:tcPr>
          <w:p w14:paraId="1528DF1C" w14:textId="31393F46" w:rsidR="00524450" w:rsidRPr="004536E0" w:rsidRDefault="00524450" w:rsidP="00524450">
            <w:pPr>
              <w:jc w:val="right"/>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000000" w:themeFill="text1"/>
          </w:tcPr>
          <w:p w14:paraId="5C03F349" w14:textId="43806F43" w:rsidR="00524450" w:rsidRPr="004536E0" w:rsidRDefault="00524450" w:rsidP="00524450">
            <w:pPr>
              <w:jc w:val="right"/>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000000" w:themeFill="text1"/>
          </w:tcPr>
          <w:p w14:paraId="1E99279D" w14:textId="251576EF" w:rsidR="00524450" w:rsidRPr="004536E0" w:rsidRDefault="00524450" w:rsidP="00524450">
            <w:pPr>
              <w:jc w:val="right"/>
              <w:rPr>
                <w:rFonts w:ascii="Arial" w:hAnsi="Arial" w:cs="Arial"/>
                <w:sz w:val="20"/>
                <w:szCs w:val="20"/>
              </w:rPr>
            </w:pPr>
          </w:p>
        </w:tc>
      </w:tr>
    </w:tbl>
    <w:p w14:paraId="4BCDE1FC" w14:textId="77777777" w:rsidR="00413FAA" w:rsidRDefault="00413FAA" w:rsidP="00146E50"/>
    <w:p w14:paraId="346368C6" w14:textId="0137FE4A" w:rsidR="00262D55" w:rsidRDefault="007D5F7C" w:rsidP="00146E50">
      <w:r w:rsidRPr="00CE21AB">
        <w:t xml:space="preserve">Table 4.2 compares the </w:t>
      </w:r>
      <w:r w:rsidR="00972362">
        <w:t xml:space="preserve">observed loads and FSLs by event day. During the </w:t>
      </w:r>
      <w:r w:rsidR="00EA2380">
        <w:t>May 3</w:t>
      </w:r>
      <w:r w:rsidR="00EA2380" w:rsidRPr="00EA2380">
        <w:rPr>
          <w:vertAlign w:val="superscript"/>
        </w:rPr>
        <w:t>rd</w:t>
      </w:r>
      <w:r w:rsidR="00EA2380">
        <w:t xml:space="preserve"> </w:t>
      </w:r>
      <w:r w:rsidR="00972362">
        <w:t>event in which all service a</w:t>
      </w:r>
      <w:r w:rsidR="00536281">
        <w:t>greemen</w:t>
      </w:r>
      <w:r w:rsidR="00ED16EC">
        <w:t xml:space="preserve">ts were called, </w:t>
      </w:r>
      <w:r w:rsidR="00EA2380">
        <w:t xml:space="preserve">the </w:t>
      </w:r>
      <w:r w:rsidR="008D7D23">
        <w:t xml:space="preserve">observed </w:t>
      </w:r>
      <w:r w:rsidR="00EA2380">
        <w:t xml:space="preserve">program load was above </w:t>
      </w:r>
      <w:r w:rsidR="00972362">
        <w:t>the aggregate FSL. This</w:t>
      </w:r>
      <w:r w:rsidR="00ED16EC">
        <w:t xml:space="preserve"> was </w:t>
      </w:r>
      <w:r w:rsidR="00EA2380">
        <w:t xml:space="preserve">also true for the two </w:t>
      </w:r>
      <w:r w:rsidR="00972362">
        <w:t>re-test events</w:t>
      </w:r>
      <w:r w:rsidR="00EA2380">
        <w:t>, though the aggregate performance on those dates was significantly better than on the May 3</w:t>
      </w:r>
      <w:r w:rsidR="00EA2380" w:rsidRPr="00EA2380">
        <w:rPr>
          <w:vertAlign w:val="superscript"/>
        </w:rPr>
        <w:t>rd</w:t>
      </w:r>
      <w:r w:rsidR="00EA2380">
        <w:t xml:space="preserve"> event day</w:t>
      </w:r>
      <w:r w:rsidR="00972362">
        <w:t>.</w:t>
      </w:r>
      <w:r w:rsidR="00EA2380">
        <w:t xml:space="preserve"> </w:t>
      </w:r>
      <w:r w:rsidR="00972362">
        <w:t xml:space="preserve">The ratio of the estimated load impact (shown in Table 4.1) to the load impact that would have occurred if customers had (in aggregate) exactly attained their FSL is shown in the rightmost column. </w:t>
      </w:r>
      <w:r w:rsidR="00D77BD3">
        <w:t xml:space="preserve">That is, </w:t>
      </w:r>
      <w:r w:rsidR="007647E5">
        <w:t xml:space="preserve">a </w:t>
      </w:r>
      <w:r w:rsidR="00D77BD3">
        <w:t xml:space="preserve">100% </w:t>
      </w:r>
      <w:r w:rsidR="007647E5">
        <w:t xml:space="preserve">value in that column would </w:t>
      </w:r>
      <w:r w:rsidR="00D77BD3">
        <w:t>indicate that observed loads exactly match</w:t>
      </w:r>
      <w:r w:rsidR="007647E5">
        <w:t>ed</w:t>
      </w:r>
      <w:r w:rsidR="00D77BD3">
        <w:t xml:space="preserve"> the FSL (in aggregate, when averaged across event hours).</w:t>
      </w:r>
      <w:r w:rsidR="007647E5">
        <w:t xml:space="preserve"> A value less than 100% indicates aggregate under-performance (an observed load above the FSL).</w:t>
      </w:r>
    </w:p>
    <w:p w14:paraId="56F90788" w14:textId="34F15D08" w:rsidR="008975C3" w:rsidRDefault="008975C3" w:rsidP="00146E50"/>
    <w:p w14:paraId="3A629895" w14:textId="14D98992" w:rsidR="008975C3" w:rsidRPr="00CE21AB" w:rsidRDefault="008975C3" w:rsidP="00146E50">
      <w:r>
        <w:t>It is possible that the relatively poor performance during the May 3</w:t>
      </w:r>
      <w:r w:rsidRPr="008975C3">
        <w:rPr>
          <w:vertAlign w:val="superscript"/>
        </w:rPr>
        <w:t>rd</w:t>
      </w:r>
      <w:r>
        <w:t xml:space="preserve"> event is due to the late event hours, perhaps because the energy manager for the customer’s facility was not present at the time. The FSL underachievement is largely due to lack of response from relatively few customers. </w:t>
      </w:r>
      <w:r w:rsidR="007357E6" w:rsidRPr="007357E6">
        <w:rPr>
          <w:highlight w:val="black"/>
        </w:rPr>
        <w:t>---------------------------------------------------------------------------------------------------------------</w:t>
      </w:r>
      <w:r w:rsidRPr="008D7D23">
        <w:rPr>
          <w:rStyle w:val="FootnoteReference"/>
          <w:highlight w:val="lightGray"/>
        </w:rPr>
        <w:footnoteReference w:id="11"/>
      </w:r>
      <w:r w:rsidRPr="008D7D23">
        <w:rPr>
          <w:highlight w:val="lightGray"/>
        </w:rPr>
        <w:t xml:space="preserve"> </w:t>
      </w:r>
      <w:r w:rsidR="007357E6" w:rsidRPr="007357E6">
        <w:rPr>
          <w:highlight w:val="black"/>
        </w:rPr>
        <w:t>------------------------------------------------------------------------------------------------------------------------------------------------------------------------------------------------------------------------------------------------------</w:t>
      </w:r>
    </w:p>
    <w:p w14:paraId="64B740CE" w14:textId="77777777" w:rsidR="007D5F7C" w:rsidRDefault="007D5F7C" w:rsidP="00146E50"/>
    <w:p w14:paraId="653E069C" w14:textId="1EE58C78" w:rsidR="00EF7726" w:rsidRPr="00852320" w:rsidRDefault="00EF7726" w:rsidP="00EF7726">
      <w:pPr>
        <w:pStyle w:val="TableCaption"/>
        <w:keepNext/>
        <w:keepLines/>
      </w:pPr>
      <w:bookmarkStart w:id="76" w:name="_Toc508800216"/>
      <w:r w:rsidRPr="00852320">
        <w:t xml:space="preserve">Table </w:t>
      </w:r>
      <w:r w:rsidR="00F02657" w:rsidRPr="00852320">
        <w:t>4.2</w:t>
      </w:r>
      <w:r w:rsidRPr="00852320">
        <w:t xml:space="preserve">: Average </w:t>
      </w:r>
      <w:r w:rsidR="00560472">
        <w:t>Event-</w:t>
      </w:r>
      <w:r w:rsidR="00D47984">
        <w:t>h</w:t>
      </w:r>
      <w:r w:rsidR="00560472">
        <w:t>our</w:t>
      </w:r>
      <w:r w:rsidR="00560472" w:rsidRPr="00852320">
        <w:t xml:space="preserve"> </w:t>
      </w:r>
      <w:r w:rsidR="006A7B0D">
        <w:t xml:space="preserve">Observed Loads and FSLs </w:t>
      </w:r>
      <w:r w:rsidRPr="00852320">
        <w:t>by Event</w:t>
      </w:r>
      <w:r w:rsidRPr="00852320">
        <w:rPr>
          <w:i/>
        </w:rPr>
        <w:t>, PG&amp;E</w:t>
      </w:r>
      <w:bookmarkEnd w:id="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1217"/>
        <w:gridCol w:w="850"/>
        <w:gridCol w:w="1425"/>
        <w:gridCol w:w="1440"/>
        <w:gridCol w:w="1530"/>
      </w:tblGrid>
      <w:tr w:rsidR="00972362" w14:paraId="7E7A179E" w14:textId="02AC61CC" w:rsidTr="006B55F6">
        <w:trPr>
          <w:jc w:val="center"/>
        </w:trPr>
        <w:tc>
          <w:tcPr>
            <w:tcW w:w="0" w:type="auto"/>
            <w:tcBorders>
              <w:bottom w:val="single" w:sz="4" w:space="0" w:color="auto"/>
              <w:right w:val="single" w:sz="4" w:space="0" w:color="FFFFFF" w:themeColor="background1"/>
            </w:tcBorders>
            <w:shd w:val="clear" w:color="auto" w:fill="0C2577"/>
            <w:vAlign w:val="center"/>
          </w:tcPr>
          <w:p w14:paraId="1D50755F" w14:textId="77777777" w:rsidR="00972362" w:rsidRPr="007E0A27" w:rsidRDefault="00972362" w:rsidP="001753F1">
            <w:pPr>
              <w:keepNext/>
              <w:keepLines/>
              <w:jc w:val="center"/>
              <w:rPr>
                <w:rFonts w:ascii="Arial" w:hAnsi="Arial" w:cs="Arial"/>
                <w:b/>
                <w:sz w:val="20"/>
                <w:szCs w:val="20"/>
              </w:rPr>
            </w:pPr>
            <w:r w:rsidRPr="007E0A27">
              <w:rPr>
                <w:rFonts w:ascii="Arial" w:hAnsi="Arial" w:cs="Arial"/>
                <w:b/>
                <w:sz w:val="20"/>
                <w:szCs w:val="20"/>
              </w:rPr>
              <w:t>Event</w:t>
            </w:r>
          </w:p>
        </w:tc>
        <w:tc>
          <w:tcPr>
            <w:tcW w:w="0" w:type="auto"/>
            <w:tcBorders>
              <w:left w:val="single" w:sz="4" w:space="0" w:color="FFFFFF" w:themeColor="background1"/>
              <w:bottom w:val="single" w:sz="4" w:space="0" w:color="auto"/>
              <w:right w:val="single" w:sz="4" w:space="0" w:color="FFFFFF" w:themeColor="background1"/>
            </w:tcBorders>
            <w:shd w:val="clear" w:color="auto" w:fill="0C2577"/>
            <w:vAlign w:val="center"/>
          </w:tcPr>
          <w:p w14:paraId="32B384B2" w14:textId="77777777" w:rsidR="00972362" w:rsidRPr="007E0A27" w:rsidRDefault="00972362" w:rsidP="001753F1">
            <w:pPr>
              <w:keepNext/>
              <w:keepLines/>
              <w:jc w:val="center"/>
              <w:rPr>
                <w:rFonts w:ascii="Arial" w:hAnsi="Arial" w:cs="Arial"/>
                <w:b/>
                <w:sz w:val="20"/>
                <w:szCs w:val="20"/>
              </w:rPr>
            </w:pPr>
            <w:r w:rsidRPr="007E0A27">
              <w:rPr>
                <w:rFonts w:ascii="Arial" w:hAnsi="Arial" w:cs="Arial"/>
                <w:b/>
                <w:sz w:val="20"/>
                <w:szCs w:val="20"/>
              </w:rPr>
              <w:t>Date</w:t>
            </w:r>
          </w:p>
        </w:tc>
        <w:tc>
          <w:tcPr>
            <w:tcW w:w="850"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2BF66992" w14:textId="77777777" w:rsidR="00972362" w:rsidRPr="007E0A27" w:rsidRDefault="00972362" w:rsidP="001753F1">
            <w:pPr>
              <w:keepNext/>
              <w:keepLines/>
              <w:jc w:val="center"/>
              <w:rPr>
                <w:rFonts w:ascii="Arial" w:hAnsi="Arial" w:cs="Arial"/>
                <w:b/>
                <w:sz w:val="20"/>
                <w:szCs w:val="20"/>
              </w:rPr>
            </w:pPr>
            <w:r w:rsidRPr="007E0A27">
              <w:rPr>
                <w:rFonts w:ascii="Arial" w:hAnsi="Arial" w:cs="Arial"/>
                <w:b/>
                <w:sz w:val="20"/>
                <w:szCs w:val="20"/>
              </w:rPr>
              <w:t>Day of Week</w:t>
            </w:r>
          </w:p>
        </w:tc>
        <w:tc>
          <w:tcPr>
            <w:tcW w:w="1425" w:type="dxa"/>
            <w:tcBorders>
              <w:left w:val="single" w:sz="4" w:space="0" w:color="FFFFFF" w:themeColor="background1"/>
              <w:bottom w:val="single" w:sz="4" w:space="0" w:color="auto"/>
              <w:right w:val="single" w:sz="4" w:space="0" w:color="FFFFFF" w:themeColor="background1"/>
            </w:tcBorders>
            <w:shd w:val="clear" w:color="auto" w:fill="0C2577"/>
          </w:tcPr>
          <w:p w14:paraId="5A464C8E" w14:textId="1A5C2E9E" w:rsidR="00972362" w:rsidRDefault="00972362" w:rsidP="004536E0">
            <w:pPr>
              <w:keepNext/>
              <w:keepLines/>
              <w:jc w:val="center"/>
              <w:rPr>
                <w:rFonts w:ascii="Arial" w:hAnsi="Arial" w:cs="Arial"/>
                <w:b/>
                <w:sz w:val="20"/>
                <w:szCs w:val="20"/>
              </w:rPr>
            </w:pPr>
            <w:r>
              <w:rPr>
                <w:rFonts w:ascii="Arial" w:hAnsi="Arial" w:cs="Arial"/>
                <w:b/>
                <w:sz w:val="20"/>
                <w:szCs w:val="20"/>
              </w:rPr>
              <w:t xml:space="preserve">Observed </w:t>
            </w:r>
          </w:p>
          <w:p w14:paraId="273CD5C4" w14:textId="55F3D5B3" w:rsidR="00972362" w:rsidRPr="007E0A27" w:rsidRDefault="00972362" w:rsidP="004536E0">
            <w:pPr>
              <w:keepNext/>
              <w:keepLines/>
              <w:jc w:val="center"/>
              <w:rPr>
                <w:rFonts w:ascii="Arial" w:hAnsi="Arial" w:cs="Arial"/>
                <w:b/>
                <w:sz w:val="20"/>
                <w:szCs w:val="20"/>
              </w:rPr>
            </w:pPr>
            <w:r>
              <w:rPr>
                <w:rFonts w:ascii="Arial" w:hAnsi="Arial" w:cs="Arial"/>
                <w:b/>
                <w:sz w:val="20"/>
                <w:szCs w:val="20"/>
              </w:rPr>
              <w:t>Load</w:t>
            </w:r>
            <w:r w:rsidRPr="007E0A27">
              <w:rPr>
                <w:rFonts w:ascii="Arial" w:hAnsi="Arial" w:cs="Arial"/>
                <w:b/>
                <w:sz w:val="20"/>
                <w:szCs w:val="20"/>
              </w:rPr>
              <w:t xml:space="preserve"> (MW)</w:t>
            </w:r>
          </w:p>
        </w:tc>
        <w:tc>
          <w:tcPr>
            <w:tcW w:w="1440"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065A265F" w14:textId="70955B20" w:rsidR="00972362" w:rsidRDefault="00972362" w:rsidP="004536E0">
            <w:pPr>
              <w:keepNext/>
              <w:keepLines/>
              <w:jc w:val="center"/>
              <w:rPr>
                <w:rFonts w:ascii="Arial" w:hAnsi="Arial" w:cs="Arial"/>
                <w:b/>
                <w:sz w:val="20"/>
                <w:szCs w:val="20"/>
              </w:rPr>
            </w:pPr>
            <w:r>
              <w:rPr>
                <w:rFonts w:ascii="Arial" w:hAnsi="Arial" w:cs="Arial"/>
                <w:b/>
                <w:sz w:val="20"/>
                <w:szCs w:val="20"/>
              </w:rPr>
              <w:t xml:space="preserve">Firm Service </w:t>
            </w:r>
          </w:p>
          <w:p w14:paraId="63E17DDE" w14:textId="4B7EC508" w:rsidR="00972362" w:rsidRPr="007E0A27" w:rsidRDefault="00972362" w:rsidP="004536E0">
            <w:pPr>
              <w:keepNext/>
              <w:keepLines/>
              <w:jc w:val="center"/>
              <w:rPr>
                <w:rFonts w:ascii="Arial" w:hAnsi="Arial" w:cs="Arial"/>
                <w:b/>
                <w:sz w:val="20"/>
                <w:szCs w:val="20"/>
              </w:rPr>
            </w:pPr>
            <w:r>
              <w:rPr>
                <w:rFonts w:ascii="Arial" w:hAnsi="Arial" w:cs="Arial"/>
                <w:b/>
                <w:sz w:val="20"/>
                <w:szCs w:val="20"/>
              </w:rPr>
              <w:t>Level</w:t>
            </w:r>
            <w:r w:rsidRPr="007E0A27">
              <w:rPr>
                <w:rFonts w:ascii="Arial" w:hAnsi="Arial" w:cs="Arial"/>
                <w:b/>
                <w:sz w:val="20"/>
                <w:szCs w:val="20"/>
              </w:rPr>
              <w:t xml:space="preserve"> (MW)</w:t>
            </w:r>
          </w:p>
        </w:tc>
        <w:tc>
          <w:tcPr>
            <w:tcW w:w="1530" w:type="dxa"/>
            <w:tcBorders>
              <w:left w:val="single" w:sz="4" w:space="0" w:color="FFFFFF" w:themeColor="background1"/>
              <w:bottom w:val="single" w:sz="4" w:space="0" w:color="auto"/>
            </w:tcBorders>
            <w:shd w:val="clear" w:color="auto" w:fill="0C2577"/>
          </w:tcPr>
          <w:p w14:paraId="64C5853F" w14:textId="77777777" w:rsidR="00972362" w:rsidRDefault="00972362" w:rsidP="004536E0">
            <w:pPr>
              <w:keepNext/>
              <w:keepLines/>
              <w:jc w:val="center"/>
              <w:rPr>
                <w:rFonts w:ascii="Arial" w:hAnsi="Arial" w:cs="Arial"/>
                <w:b/>
                <w:sz w:val="20"/>
                <w:szCs w:val="20"/>
              </w:rPr>
            </w:pPr>
            <w:r>
              <w:rPr>
                <w:rFonts w:ascii="Arial" w:hAnsi="Arial" w:cs="Arial"/>
                <w:b/>
                <w:sz w:val="20"/>
                <w:szCs w:val="20"/>
              </w:rPr>
              <w:t xml:space="preserve">Estimated LI / </w:t>
            </w:r>
          </w:p>
          <w:p w14:paraId="2A307ACB" w14:textId="0895A9AB" w:rsidR="00972362" w:rsidRDefault="00972362" w:rsidP="004536E0">
            <w:pPr>
              <w:keepNext/>
              <w:keepLines/>
              <w:jc w:val="center"/>
              <w:rPr>
                <w:rFonts w:ascii="Arial" w:hAnsi="Arial" w:cs="Arial"/>
                <w:b/>
                <w:sz w:val="20"/>
                <w:szCs w:val="20"/>
              </w:rPr>
            </w:pPr>
            <w:r>
              <w:rPr>
                <w:rFonts w:ascii="Arial" w:hAnsi="Arial" w:cs="Arial"/>
                <w:b/>
                <w:sz w:val="20"/>
                <w:szCs w:val="20"/>
              </w:rPr>
              <w:t>LI at FSL</w:t>
            </w:r>
          </w:p>
        </w:tc>
      </w:tr>
      <w:tr w:rsidR="00524450" w14:paraId="2E055E4A" w14:textId="20E3939E" w:rsidTr="008D7D23">
        <w:trPr>
          <w:jc w:val="center"/>
        </w:trPr>
        <w:tc>
          <w:tcPr>
            <w:tcW w:w="0" w:type="auto"/>
            <w:tcBorders>
              <w:top w:val="single" w:sz="4" w:space="0" w:color="auto"/>
              <w:left w:val="single" w:sz="4" w:space="0" w:color="auto"/>
              <w:bottom w:val="nil"/>
              <w:right w:val="single" w:sz="4" w:space="0" w:color="auto"/>
            </w:tcBorders>
          </w:tcPr>
          <w:p w14:paraId="03212BF1" w14:textId="7659CD7C" w:rsidR="00524450" w:rsidRPr="007E0A27" w:rsidRDefault="00524450" w:rsidP="00524450">
            <w:pPr>
              <w:keepNext/>
              <w:keepLines/>
              <w:jc w:val="center"/>
              <w:rPr>
                <w:rFonts w:ascii="Arial" w:hAnsi="Arial" w:cs="Arial"/>
                <w:sz w:val="20"/>
                <w:szCs w:val="20"/>
              </w:rPr>
            </w:pPr>
            <w:r w:rsidRPr="00B719EA">
              <w:rPr>
                <w:rFonts w:ascii="Arial" w:hAnsi="Arial" w:cs="Arial"/>
                <w:sz w:val="20"/>
                <w:szCs w:val="20"/>
              </w:rPr>
              <w:t>1</w:t>
            </w:r>
          </w:p>
        </w:tc>
        <w:tc>
          <w:tcPr>
            <w:tcW w:w="0" w:type="auto"/>
            <w:tcBorders>
              <w:top w:val="single" w:sz="4" w:space="0" w:color="auto"/>
              <w:left w:val="single" w:sz="4" w:space="0" w:color="auto"/>
              <w:bottom w:val="nil"/>
              <w:right w:val="single" w:sz="4" w:space="0" w:color="auto"/>
            </w:tcBorders>
          </w:tcPr>
          <w:p w14:paraId="2A9F605E" w14:textId="29C28919" w:rsidR="00524450" w:rsidRPr="00D71AD7" w:rsidRDefault="00524450" w:rsidP="00524450">
            <w:pPr>
              <w:rPr>
                <w:rFonts w:ascii="Arial" w:hAnsi="Arial" w:cs="Arial"/>
                <w:color w:val="000000"/>
                <w:sz w:val="20"/>
                <w:szCs w:val="20"/>
              </w:rPr>
            </w:pPr>
            <w:r>
              <w:rPr>
                <w:rFonts w:ascii="Arial" w:hAnsi="Arial" w:cs="Arial"/>
                <w:sz w:val="20"/>
                <w:szCs w:val="20"/>
              </w:rPr>
              <w:t>5</w:t>
            </w:r>
            <w:r w:rsidRPr="00B719EA">
              <w:rPr>
                <w:rFonts w:ascii="Arial" w:hAnsi="Arial" w:cs="Arial"/>
                <w:sz w:val="20"/>
                <w:szCs w:val="20"/>
              </w:rPr>
              <w:t>/</w:t>
            </w:r>
            <w:r>
              <w:rPr>
                <w:rFonts w:ascii="Arial" w:hAnsi="Arial" w:cs="Arial"/>
                <w:sz w:val="20"/>
                <w:szCs w:val="20"/>
              </w:rPr>
              <w:t>3</w:t>
            </w:r>
            <w:r w:rsidRPr="00B719EA">
              <w:rPr>
                <w:rFonts w:ascii="Arial" w:hAnsi="Arial" w:cs="Arial"/>
                <w:sz w:val="20"/>
                <w:szCs w:val="20"/>
              </w:rPr>
              <w:t>/201</w:t>
            </w:r>
            <w:r>
              <w:rPr>
                <w:rFonts w:ascii="Arial" w:hAnsi="Arial" w:cs="Arial"/>
                <w:sz w:val="20"/>
                <w:szCs w:val="20"/>
              </w:rPr>
              <w:t>7</w:t>
            </w:r>
          </w:p>
        </w:tc>
        <w:tc>
          <w:tcPr>
            <w:tcW w:w="850" w:type="dxa"/>
            <w:tcBorders>
              <w:top w:val="single" w:sz="4" w:space="0" w:color="auto"/>
              <w:left w:val="single" w:sz="4" w:space="0" w:color="auto"/>
              <w:bottom w:val="nil"/>
              <w:right w:val="single" w:sz="4" w:space="0" w:color="auto"/>
            </w:tcBorders>
          </w:tcPr>
          <w:p w14:paraId="3F40C93F" w14:textId="027CA885" w:rsidR="00524450" w:rsidRPr="007E0A27" w:rsidRDefault="00524450" w:rsidP="00524450">
            <w:pPr>
              <w:keepNext/>
              <w:keepLines/>
              <w:rPr>
                <w:rFonts w:ascii="Arial" w:hAnsi="Arial" w:cs="Arial"/>
                <w:sz w:val="20"/>
                <w:szCs w:val="20"/>
              </w:rPr>
            </w:pPr>
            <w:r>
              <w:rPr>
                <w:rFonts w:ascii="Arial" w:hAnsi="Arial" w:cs="Arial"/>
                <w:sz w:val="20"/>
                <w:szCs w:val="20"/>
              </w:rPr>
              <w:t>Wed.</w:t>
            </w:r>
          </w:p>
        </w:tc>
        <w:tc>
          <w:tcPr>
            <w:tcW w:w="1425" w:type="dxa"/>
            <w:tcBorders>
              <w:top w:val="single" w:sz="4" w:space="0" w:color="auto"/>
              <w:left w:val="single" w:sz="4" w:space="0" w:color="auto"/>
              <w:bottom w:val="nil"/>
              <w:right w:val="single" w:sz="4" w:space="0" w:color="auto"/>
            </w:tcBorders>
            <w:shd w:val="clear" w:color="auto" w:fill="auto"/>
          </w:tcPr>
          <w:p w14:paraId="3375513A" w14:textId="7001F115" w:rsidR="00524450" w:rsidRPr="002A7556" w:rsidRDefault="00524450" w:rsidP="00524450">
            <w:pPr>
              <w:jc w:val="right"/>
              <w:rPr>
                <w:rFonts w:ascii="Arial" w:hAnsi="Arial" w:cs="Arial"/>
                <w:sz w:val="20"/>
                <w:szCs w:val="20"/>
              </w:rPr>
            </w:pPr>
            <w:r>
              <w:rPr>
                <w:rFonts w:ascii="Arial" w:hAnsi="Arial" w:cs="Arial"/>
                <w:sz w:val="20"/>
                <w:szCs w:val="20"/>
              </w:rPr>
              <w:t>148.2</w:t>
            </w:r>
          </w:p>
        </w:tc>
        <w:tc>
          <w:tcPr>
            <w:tcW w:w="1440" w:type="dxa"/>
            <w:tcBorders>
              <w:top w:val="single" w:sz="4" w:space="0" w:color="auto"/>
              <w:left w:val="single" w:sz="4" w:space="0" w:color="auto"/>
              <w:bottom w:val="nil"/>
              <w:right w:val="single" w:sz="4" w:space="0" w:color="auto"/>
            </w:tcBorders>
            <w:shd w:val="clear" w:color="auto" w:fill="auto"/>
            <w:vAlign w:val="center"/>
          </w:tcPr>
          <w:p w14:paraId="36B9E1A8" w14:textId="66F34AA6" w:rsidR="00524450" w:rsidRPr="002A7556" w:rsidRDefault="00524450" w:rsidP="00524450">
            <w:pPr>
              <w:jc w:val="right"/>
              <w:rPr>
                <w:rFonts w:ascii="Arial" w:hAnsi="Arial" w:cs="Arial"/>
                <w:sz w:val="20"/>
                <w:szCs w:val="20"/>
              </w:rPr>
            </w:pPr>
            <w:r>
              <w:rPr>
                <w:rFonts w:ascii="Arial" w:hAnsi="Arial" w:cs="Arial"/>
                <w:sz w:val="20"/>
                <w:szCs w:val="20"/>
              </w:rPr>
              <w:t>84.5</w:t>
            </w:r>
          </w:p>
        </w:tc>
        <w:tc>
          <w:tcPr>
            <w:tcW w:w="1530" w:type="dxa"/>
            <w:tcBorders>
              <w:top w:val="single" w:sz="4" w:space="0" w:color="auto"/>
              <w:left w:val="single" w:sz="4" w:space="0" w:color="auto"/>
              <w:bottom w:val="nil"/>
              <w:right w:val="single" w:sz="4" w:space="0" w:color="auto"/>
            </w:tcBorders>
            <w:shd w:val="clear" w:color="auto" w:fill="auto"/>
          </w:tcPr>
          <w:p w14:paraId="55A2E505" w14:textId="03B8999C" w:rsidR="00524450" w:rsidRDefault="003634CB" w:rsidP="00524450">
            <w:pPr>
              <w:jc w:val="right"/>
              <w:rPr>
                <w:rFonts w:ascii="Arial" w:hAnsi="Arial" w:cs="Arial"/>
                <w:sz w:val="20"/>
                <w:szCs w:val="20"/>
              </w:rPr>
            </w:pPr>
            <w:r>
              <w:rPr>
                <w:rFonts w:ascii="Arial" w:hAnsi="Arial" w:cs="Arial"/>
                <w:sz w:val="20"/>
                <w:szCs w:val="20"/>
              </w:rPr>
              <w:t>75</w:t>
            </w:r>
            <w:r w:rsidR="00524450">
              <w:rPr>
                <w:rFonts w:ascii="Arial" w:hAnsi="Arial" w:cs="Arial"/>
                <w:sz w:val="20"/>
                <w:szCs w:val="20"/>
              </w:rPr>
              <w:t>%</w:t>
            </w:r>
          </w:p>
        </w:tc>
      </w:tr>
      <w:tr w:rsidR="00524450" w14:paraId="1C07A153" w14:textId="6538DBBD" w:rsidTr="007357E6">
        <w:trPr>
          <w:jc w:val="center"/>
        </w:trPr>
        <w:tc>
          <w:tcPr>
            <w:tcW w:w="0" w:type="auto"/>
            <w:tcBorders>
              <w:top w:val="nil"/>
              <w:left w:val="single" w:sz="4" w:space="0" w:color="auto"/>
              <w:bottom w:val="nil"/>
              <w:right w:val="single" w:sz="4" w:space="0" w:color="auto"/>
            </w:tcBorders>
          </w:tcPr>
          <w:p w14:paraId="39EC9654" w14:textId="544DD46A" w:rsidR="00524450" w:rsidRPr="007E0A27" w:rsidRDefault="00524450" w:rsidP="00524450">
            <w:pPr>
              <w:keepNext/>
              <w:keepLines/>
              <w:jc w:val="center"/>
              <w:rPr>
                <w:rFonts w:ascii="Arial" w:hAnsi="Arial" w:cs="Arial"/>
                <w:sz w:val="20"/>
                <w:szCs w:val="20"/>
              </w:rPr>
            </w:pPr>
            <w:r w:rsidRPr="00B719EA">
              <w:rPr>
                <w:rFonts w:ascii="Arial" w:hAnsi="Arial" w:cs="Arial"/>
                <w:sz w:val="20"/>
                <w:szCs w:val="20"/>
              </w:rPr>
              <w:t>2</w:t>
            </w:r>
          </w:p>
        </w:tc>
        <w:tc>
          <w:tcPr>
            <w:tcW w:w="0" w:type="auto"/>
            <w:tcBorders>
              <w:top w:val="nil"/>
              <w:left w:val="single" w:sz="4" w:space="0" w:color="auto"/>
              <w:bottom w:val="nil"/>
              <w:right w:val="single" w:sz="4" w:space="0" w:color="auto"/>
            </w:tcBorders>
          </w:tcPr>
          <w:p w14:paraId="444FF480" w14:textId="2188E5C9" w:rsidR="00524450" w:rsidRPr="00D71AD7" w:rsidRDefault="00524450" w:rsidP="00524450">
            <w:pPr>
              <w:rPr>
                <w:rFonts w:ascii="Arial" w:hAnsi="Arial" w:cs="Arial"/>
                <w:color w:val="000000"/>
                <w:sz w:val="20"/>
                <w:szCs w:val="20"/>
              </w:rPr>
            </w:pPr>
            <w:r>
              <w:rPr>
                <w:rFonts w:ascii="Arial" w:hAnsi="Arial" w:cs="Arial"/>
                <w:sz w:val="20"/>
                <w:szCs w:val="20"/>
              </w:rPr>
              <w:t>7</w:t>
            </w:r>
            <w:r w:rsidRPr="00B719EA">
              <w:rPr>
                <w:rFonts w:ascii="Arial" w:hAnsi="Arial" w:cs="Arial"/>
                <w:sz w:val="20"/>
                <w:szCs w:val="20"/>
              </w:rPr>
              <w:t>/</w:t>
            </w:r>
            <w:r>
              <w:rPr>
                <w:rFonts w:ascii="Arial" w:hAnsi="Arial" w:cs="Arial"/>
                <w:sz w:val="20"/>
                <w:szCs w:val="20"/>
              </w:rPr>
              <w:t>11</w:t>
            </w:r>
            <w:r w:rsidRPr="00B719EA">
              <w:rPr>
                <w:rFonts w:ascii="Arial" w:hAnsi="Arial" w:cs="Arial"/>
                <w:sz w:val="20"/>
                <w:szCs w:val="20"/>
              </w:rPr>
              <w:t>/201</w:t>
            </w:r>
            <w:r>
              <w:rPr>
                <w:rFonts w:ascii="Arial" w:hAnsi="Arial" w:cs="Arial"/>
                <w:sz w:val="20"/>
                <w:szCs w:val="20"/>
              </w:rPr>
              <w:t>7</w:t>
            </w:r>
          </w:p>
        </w:tc>
        <w:tc>
          <w:tcPr>
            <w:tcW w:w="850" w:type="dxa"/>
            <w:tcBorders>
              <w:top w:val="nil"/>
              <w:left w:val="single" w:sz="4" w:space="0" w:color="auto"/>
              <w:bottom w:val="nil"/>
              <w:right w:val="single" w:sz="4" w:space="0" w:color="auto"/>
            </w:tcBorders>
          </w:tcPr>
          <w:p w14:paraId="4A63A020" w14:textId="17971B9E" w:rsidR="00524450" w:rsidRPr="007E0A27" w:rsidRDefault="00524450" w:rsidP="00524450">
            <w:pPr>
              <w:keepNext/>
              <w:keepLines/>
              <w:rPr>
                <w:rFonts w:ascii="Arial" w:hAnsi="Arial" w:cs="Arial"/>
                <w:sz w:val="20"/>
                <w:szCs w:val="20"/>
              </w:rPr>
            </w:pPr>
            <w:r>
              <w:rPr>
                <w:rFonts w:ascii="Arial" w:hAnsi="Arial" w:cs="Arial"/>
                <w:sz w:val="20"/>
                <w:szCs w:val="20"/>
              </w:rPr>
              <w:t>Tues.</w:t>
            </w:r>
          </w:p>
        </w:tc>
        <w:tc>
          <w:tcPr>
            <w:tcW w:w="1425" w:type="dxa"/>
            <w:tcBorders>
              <w:top w:val="nil"/>
              <w:left w:val="single" w:sz="4" w:space="0" w:color="auto"/>
              <w:bottom w:val="nil"/>
              <w:right w:val="single" w:sz="4" w:space="0" w:color="auto"/>
            </w:tcBorders>
            <w:shd w:val="clear" w:color="auto" w:fill="000000" w:themeFill="text1"/>
          </w:tcPr>
          <w:p w14:paraId="6B02CC5B" w14:textId="7C7A60FB" w:rsidR="00524450" w:rsidRPr="002A7556" w:rsidRDefault="00524450" w:rsidP="00524450">
            <w:pPr>
              <w:jc w:val="right"/>
              <w:rPr>
                <w:rFonts w:ascii="Arial" w:hAnsi="Arial" w:cs="Arial"/>
                <w:sz w:val="20"/>
                <w:szCs w:val="20"/>
              </w:rPr>
            </w:pPr>
          </w:p>
        </w:tc>
        <w:tc>
          <w:tcPr>
            <w:tcW w:w="1440" w:type="dxa"/>
            <w:tcBorders>
              <w:top w:val="nil"/>
              <w:left w:val="single" w:sz="4" w:space="0" w:color="auto"/>
              <w:bottom w:val="nil"/>
              <w:right w:val="single" w:sz="4" w:space="0" w:color="auto"/>
            </w:tcBorders>
            <w:shd w:val="clear" w:color="auto" w:fill="000000" w:themeFill="text1"/>
          </w:tcPr>
          <w:p w14:paraId="6566AC01" w14:textId="33D138BC" w:rsidR="00524450" w:rsidRPr="002A7556" w:rsidRDefault="00524450" w:rsidP="00524450">
            <w:pPr>
              <w:jc w:val="right"/>
              <w:rPr>
                <w:rFonts w:ascii="Arial" w:hAnsi="Arial" w:cs="Arial"/>
                <w:sz w:val="20"/>
                <w:szCs w:val="20"/>
              </w:rPr>
            </w:pPr>
          </w:p>
        </w:tc>
        <w:tc>
          <w:tcPr>
            <w:tcW w:w="1530" w:type="dxa"/>
            <w:tcBorders>
              <w:top w:val="nil"/>
              <w:left w:val="single" w:sz="4" w:space="0" w:color="auto"/>
              <w:bottom w:val="nil"/>
              <w:right w:val="single" w:sz="4" w:space="0" w:color="auto"/>
            </w:tcBorders>
            <w:shd w:val="clear" w:color="auto" w:fill="000000" w:themeFill="text1"/>
          </w:tcPr>
          <w:p w14:paraId="5152C337" w14:textId="1134DB64" w:rsidR="00524450" w:rsidRDefault="00524450" w:rsidP="00524450">
            <w:pPr>
              <w:jc w:val="right"/>
              <w:rPr>
                <w:rFonts w:ascii="Arial" w:hAnsi="Arial" w:cs="Arial"/>
                <w:sz w:val="20"/>
                <w:szCs w:val="20"/>
              </w:rPr>
            </w:pPr>
          </w:p>
        </w:tc>
      </w:tr>
      <w:tr w:rsidR="00524450" w14:paraId="63E86C0E" w14:textId="6F1801D9" w:rsidTr="007357E6">
        <w:trPr>
          <w:jc w:val="center"/>
        </w:trPr>
        <w:tc>
          <w:tcPr>
            <w:tcW w:w="0" w:type="auto"/>
            <w:tcBorders>
              <w:top w:val="nil"/>
              <w:left w:val="single" w:sz="4" w:space="0" w:color="auto"/>
              <w:bottom w:val="single" w:sz="4" w:space="0" w:color="auto"/>
              <w:right w:val="single" w:sz="4" w:space="0" w:color="auto"/>
            </w:tcBorders>
          </w:tcPr>
          <w:p w14:paraId="712AD3F8" w14:textId="1709CF44" w:rsidR="00524450" w:rsidRPr="007E0A27" w:rsidRDefault="00524450" w:rsidP="00524450">
            <w:pPr>
              <w:keepNext/>
              <w:keepLines/>
              <w:jc w:val="center"/>
              <w:rPr>
                <w:rFonts w:ascii="Arial" w:hAnsi="Arial" w:cs="Arial"/>
                <w:sz w:val="20"/>
                <w:szCs w:val="20"/>
              </w:rPr>
            </w:pPr>
            <w:r w:rsidRPr="00B719EA">
              <w:rPr>
                <w:rFonts w:ascii="Arial" w:hAnsi="Arial" w:cs="Arial"/>
                <w:sz w:val="20"/>
                <w:szCs w:val="20"/>
              </w:rPr>
              <w:t>3</w:t>
            </w:r>
          </w:p>
        </w:tc>
        <w:tc>
          <w:tcPr>
            <w:tcW w:w="0" w:type="auto"/>
            <w:tcBorders>
              <w:top w:val="nil"/>
              <w:left w:val="single" w:sz="4" w:space="0" w:color="auto"/>
              <w:bottom w:val="single" w:sz="4" w:space="0" w:color="auto"/>
              <w:right w:val="single" w:sz="4" w:space="0" w:color="auto"/>
            </w:tcBorders>
          </w:tcPr>
          <w:p w14:paraId="1312BDD1" w14:textId="1A89DFD5" w:rsidR="00524450" w:rsidRPr="00D71AD7" w:rsidRDefault="00524450" w:rsidP="00524450">
            <w:pPr>
              <w:rPr>
                <w:rFonts w:ascii="Arial" w:hAnsi="Arial" w:cs="Arial"/>
                <w:color w:val="000000"/>
                <w:sz w:val="20"/>
                <w:szCs w:val="20"/>
              </w:rPr>
            </w:pPr>
            <w:r>
              <w:rPr>
                <w:rFonts w:ascii="Arial" w:hAnsi="Arial" w:cs="Arial"/>
                <w:sz w:val="20"/>
                <w:szCs w:val="20"/>
              </w:rPr>
              <w:t>10</w:t>
            </w:r>
            <w:r w:rsidRPr="00B719EA">
              <w:rPr>
                <w:rFonts w:ascii="Arial" w:hAnsi="Arial" w:cs="Arial"/>
                <w:sz w:val="20"/>
                <w:szCs w:val="20"/>
              </w:rPr>
              <w:t>/</w:t>
            </w:r>
            <w:r>
              <w:rPr>
                <w:rFonts w:ascii="Arial" w:hAnsi="Arial" w:cs="Arial"/>
                <w:sz w:val="20"/>
                <w:szCs w:val="20"/>
              </w:rPr>
              <w:t>17</w:t>
            </w:r>
            <w:r w:rsidRPr="00B719EA">
              <w:rPr>
                <w:rFonts w:ascii="Arial" w:hAnsi="Arial" w:cs="Arial"/>
                <w:sz w:val="20"/>
                <w:szCs w:val="20"/>
              </w:rPr>
              <w:t>/201</w:t>
            </w:r>
            <w:r>
              <w:rPr>
                <w:rFonts w:ascii="Arial" w:hAnsi="Arial" w:cs="Arial"/>
                <w:sz w:val="20"/>
                <w:szCs w:val="20"/>
              </w:rPr>
              <w:t>7</w:t>
            </w:r>
          </w:p>
        </w:tc>
        <w:tc>
          <w:tcPr>
            <w:tcW w:w="850" w:type="dxa"/>
            <w:tcBorders>
              <w:top w:val="nil"/>
              <w:left w:val="single" w:sz="4" w:space="0" w:color="auto"/>
              <w:bottom w:val="single" w:sz="4" w:space="0" w:color="auto"/>
              <w:right w:val="single" w:sz="4" w:space="0" w:color="auto"/>
            </w:tcBorders>
          </w:tcPr>
          <w:p w14:paraId="5108C3FB" w14:textId="1F02BEE5" w:rsidR="00524450" w:rsidRPr="007E0A27" w:rsidRDefault="00524450" w:rsidP="00524450">
            <w:pPr>
              <w:keepNext/>
              <w:keepLines/>
              <w:rPr>
                <w:rFonts w:ascii="Arial" w:hAnsi="Arial" w:cs="Arial"/>
                <w:sz w:val="20"/>
                <w:szCs w:val="20"/>
              </w:rPr>
            </w:pPr>
            <w:r>
              <w:rPr>
                <w:rFonts w:ascii="Arial" w:hAnsi="Arial" w:cs="Arial"/>
                <w:sz w:val="20"/>
                <w:szCs w:val="20"/>
              </w:rPr>
              <w:t>Tues.</w:t>
            </w:r>
          </w:p>
        </w:tc>
        <w:tc>
          <w:tcPr>
            <w:tcW w:w="1425" w:type="dxa"/>
            <w:tcBorders>
              <w:top w:val="nil"/>
              <w:left w:val="single" w:sz="4" w:space="0" w:color="auto"/>
              <w:bottom w:val="single" w:sz="4" w:space="0" w:color="auto"/>
              <w:right w:val="single" w:sz="4" w:space="0" w:color="auto"/>
            </w:tcBorders>
            <w:shd w:val="clear" w:color="auto" w:fill="000000" w:themeFill="text1"/>
          </w:tcPr>
          <w:p w14:paraId="585351D8" w14:textId="16495211" w:rsidR="00524450" w:rsidRPr="002A7556" w:rsidRDefault="00524450" w:rsidP="00524450">
            <w:pPr>
              <w:jc w:val="right"/>
              <w:rPr>
                <w:rFonts w:ascii="Arial" w:hAnsi="Arial" w:cs="Arial"/>
                <w:sz w:val="20"/>
                <w:szCs w:val="20"/>
              </w:rPr>
            </w:pPr>
          </w:p>
        </w:tc>
        <w:tc>
          <w:tcPr>
            <w:tcW w:w="1440" w:type="dxa"/>
            <w:tcBorders>
              <w:top w:val="nil"/>
              <w:left w:val="single" w:sz="4" w:space="0" w:color="auto"/>
              <w:bottom w:val="single" w:sz="4" w:space="0" w:color="auto"/>
              <w:right w:val="single" w:sz="4" w:space="0" w:color="auto"/>
            </w:tcBorders>
            <w:shd w:val="clear" w:color="auto" w:fill="000000" w:themeFill="text1"/>
          </w:tcPr>
          <w:p w14:paraId="0F77A742" w14:textId="32F90533" w:rsidR="00524450" w:rsidRPr="002A7556" w:rsidRDefault="00524450" w:rsidP="00524450">
            <w:pPr>
              <w:jc w:val="right"/>
              <w:rPr>
                <w:rFonts w:ascii="Arial" w:hAnsi="Arial" w:cs="Arial"/>
                <w:sz w:val="20"/>
                <w:szCs w:val="20"/>
              </w:rPr>
            </w:pPr>
          </w:p>
        </w:tc>
        <w:tc>
          <w:tcPr>
            <w:tcW w:w="1530" w:type="dxa"/>
            <w:tcBorders>
              <w:top w:val="nil"/>
              <w:left w:val="single" w:sz="4" w:space="0" w:color="auto"/>
              <w:bottom w:val="single" w:sz="4" w:space="0" w:color="auto"/>
              <w:right w:val="single" w:sz="4" w:space="0" w:color="auto"/>
            </w:tcBorders>
            <w:shd w:val="clear" w:color="auto" w:fill="000000" w:themeFill="text1"/>
          </w:tcPr>
          <w:p w14:paraId="070BDF1E" w14:textId="7DE77178" w:rsidR="00524450" w:rsidRDefault="00524450" w:rsidP="00524450">
            <w:pPr>
              <w:jc w:val="right"/>
              <w:rPr>
                <w:rFonts w:ascii="Arial" w:hAnsi="Arial" w:cs="Arial"/>
                <w:sz w:val="20"/>
                <w:szCs w:val="20"/>
              </w:rPr>
            </w:pPr>
          </w:p>
        </w:tc>
      </w:tr>
    </w:tbl>
    <w:p w14:paraId="68FBFE4D" w14:textId="77777777" w:rsidR="00EF7726" w:rsidRDefault="00EF7726" w:rsidP="00146E50"/>
    <w:p w14:paraId="2657CE3B" w14:textId="67451FC0" w:rsidR="00321E09" w:rsidRDefault="00321E09" w:rsidP="00146E50">
      <w:r>
        <w:t>Table 4.</w:t>
      </w:r>
      <w:r w:rsidR="00F02657">
        <w:t>3</w:t>
      </w:r>
      <w:r>
        <w:t xml:space="preserve"> summarizes average </w:t>
      </w:r>
      <w:r w:rsidR="00560472">
        <w:t xml:space="preserve">event-hour </w:t>
      </w:r>
      <w:r>
        <w:t>B</w:t>
      </w:r>
      <w:r w:rsidR="00972362">
        <w:t>I</w:t>
      </w:r>
      <w:r>
        <w:t xml:space="preserve">P load impacts by industry group for </w:t>
      </w:r>
      <w:r w:rsidR="00972362">
        <w:t xml:space="preserve">the </w:t>
      </w:r>
      <w:r w:rsidR="007647E5">
        <w:t>May 3</w:t>
      </w:r>
      <w:r w:rsidR="007647E5" w:rsidRPr="007647E5">
        <w:rPr>
          <w:vertAlign w:val="superscript"/>
        </w:rPr>
        <w:t>rd</w:t>
      </w:r>
      <w:r w:rsidR="007647E5">
        <w:t xml:space="preserve"> </w:t>
      </w:r>
      <w:r>
        <w:t>event</w:t>
      </w:r>
      <w:r w:rsidR="00F02657">
        <w:t xml:space="preserve"> day</w:t>
      </w:r>
      <w:r>
        <w:t>.</w:t>
      </w:r>
      <w:r w:rsidR="001C090F">
        <w:t xml:space="preserve"> </w:t>
      </w:r>
      <w:r w:rsidRPr="00CF11D1">
        <w:t>The Manufacturing industry group accounted for the largest share of the load impacts</w:t>
      </w:r>
      <w:r w:rsidR="0092092B">
        <w:t xml:space="preserve">, with a </w:t>
      </w:r>
      <w:r w:rsidR="0000204E">
        <w:t>1</w:t>
      </w:r>
      <w:r w:rsidR="00C455D3">
        <w:t>17</w:t>
      </w:r>
      <w:r w:rsidR="0092092B">
        <w:t xml:space="preserve"> MW average event-hour load reduction</w:t>
      </w:r>
      <w:r w:rsidRPr="00CF11D1">
        <w:t>.</w:t>
      </w:r>
      <w:r>
        <w:t xml:space="preserve">  </w:t>
      </w:r>
    </w:p>
    <w:p w14:paraId="118F6363" w14:textId="77777777" w:rsidR="00321E09" w:rsidRDefault="00321E09" w:rsidP="00082E39"/>
    <w:p w14:paraId="44E4780C" w14:textId="158CE698" w:rsidR="00321E09" w:rsidRPr="00852320" w:rsidRDefault="00321E09" w:rsidP="004F6FF9">
      <w:pPr>
        <w:pStyle w:val="TableCaption"/>
        <w:keepNext/>
        <w:keepLines/>
        <w:rPr>
          <w:i/>
        </w:rPr>
      </w:pPr>
      <w:bookmarkStart w:id="77" w:name="_Toc508800217"/>
      <w:r w:rsidRPr="00852320">
        <w:t>Table 4.</w:t>
      </w:r>
      <w:r w:rsidR="00F02657" w:rsidRPr="00852320">
        <w:t>3</w:t>
      </w:r>
      <w:r w:rsidRPr="00852320">
        <w:t xml:space="preserve">: </w:t>
      </w:r>
      <w:r w:rsidR="00E94A98">
        <w:t>May</w:t>
      </w:r>
      <w:r w:rsidR="0000204E">
        <w:t xml:space="preserve"> 3</w:t>
      </w:r>
      <w:r w:rsidR="00972362">
        <w:t>, 201</w:t>
      </w:r>
      <w:r w:rsidR="00E94A98">
        <w:t>7</w:t>
      </w:r>
      <w:r w:rsidR="00972362">
        <w:t xml:space="preserve"> </w:t>
      </w:r>
      <w:r w:rsidRPr="00852320">
        <w:t>Load Impacts</w:t>
      </w:r>
      <w:r w:rsidR="00972362">
        <w:t xml:space="preserve"> – PG&amp;E BI</w:t>
      </w:r>
      <w:r w:rsidRPr="00852320">
        <w:t xml:space="preserve">P, </w:t>
      </w:r>
      <w:r w:rsidRPr="00852320">
        <w:rPr>
          <w:i/>
        </w:rPr>
        <w:t>by Industry Group</w:t>
      </w:r>
      <w:bookmarkEnd w:id="77"/>
    </w:p>
    <w:tbl>
      <w:tblPr>
        <w:tblW w:w="9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5"/>
        <w:gridCol w:w="1170"/>
        <w:gridCol w:w="1260"/>
        <w:gridCol w:w="1170"/>
        <w:gridCol w:w="1260"/>
        <w:gridCol w:w="823"/>
      </w:tblGrid>
      <w:tr w:rsidR="008B2846" w14:paraId="7EF5EE49" w14:textId="77777777" w:rsidTr="006B55F6">
        <w:trPr>
          <w:trHeight w:val="487"/>
          <w:jc w:val="center"/>
        </w:trPr>
        <w:tc>
          <w:tcPr>
            <w:tcW w:w="4135" w:type="dxa"/>
            <w:tcBorders>
              <w:bottom w:val="single" w:sz="4" w:space="0" w:color="auto"/>
              <w:right w:val="single" w:sz="4" w:space="0" w:color="FFFFFF" w:themeColor="background1"/>
            </w:tcBorders>
            <w:shd w:val="clear" w:color="auto" w:fill="0C2577"/>
            <w:vAlign w:val="center"/>
          </w:tcPr>
          <w:p w14:paraId="0BDE4F36" w14:textId="77777777" w:rsidR="00321E09" w:rsidRPr="007E0A27" w:rsidRDefault="00321E09" w:rsidP="00F02657">
            <w:pPr>
              <w:keepNext/>
              <w:keepLines/>
              <w:jc w:val="center"/>
              <w:rPr>
                <w:rFonts w:ascii="Arial" w:hAnsi="Arial" w:cs="Arial"/>
                <w:b/>
                <w:sz w:val="20"/>
                <w:szCs w:val="20"/>
              </w:rPr>
            </w:pPr>
            <w:r w:rsidRPr="007E0A27">
              <w:rPr>
                <w:rFonts w:ascii="Arial" w:hAnsi="Arial" w:cs="Arial"/>
                <w:b/>
                <w:sz w:val="20"/>
                <w:szCs w:val="20"/>
              </w:rPr>
              <w:t>Industry Group</w:t>
            </w:r>
          </w:p>
        </w:tc>
        <w:tc>
          <w:tcPr>
            <w:tcW w:w="1170"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6A917ED7" w14:textId="276A5DE8" w:rsidR="00321E09" w:rsidRPr="007E0A27" w:rsidRDefault="002F29FA" w:rsidP="00536281">
            <w:pPr>
              <w:keepNext/>
              <w:keepLines/>
              <w:jc w:val="center"/>
              <w:rPr>
                <w:rFonts w:ascii="Arial" w:hAnsi="Arial" w:cs="Arial"/>
                <w:b/>
                <w:sz w:val="20"/>
                <w:szCs w:val="20"/>
              </w:rPr>
            </w:pPr>
            <w:r>
              <w:rPr>
                <w:rFonts w:ascii="Arial" w:hAnsi="Arial" w:cs="Arial"/>
                <w:b/>
                <w:sz w:val="20"/>
                <w:szCs w:val="20"/>
              </w:rPr>
              <w:t># of Service A</w:t>
            </w:r>
            <w:r w:rsidR="00536281">
              <w:rPr>
                <w:rFonts w:ascii="Arial" w:hAnsi="Arial" w:cs="Arial"/>
                <w:b/>
                <w:sz w:val="20"/>
                <w:szCs w:val="20"/>
              </w:rPr>
              <w:t>greemen</w:t>
            </w:r>
            <w:r>
              <w:rPr>
                <w:rFonts w:ascii="Arial" w:hAnsi="Arial" w:cs="Arial"/>
                <w:b/>
                <w:sz w:val="20"/>
                <w:szCs w:val="20"/>
              </w:rPr>
              <w:t>ts</w:t>
            </w:r>
          </w:p>
        </w:tc>
        <w:tc>
          <w:tcPr>
            <w:tcW w:w="1260"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6ABBEF18" w14:textId="77777777" w:rsidR="00321E09" w:rsidRPr="007E0A27" w:rsidRDefault="00321E09" w:rsidP="00F02657">
            <w:pPr>
              <w:keepNext/>
              <w:keepLines/>
              <w:jc w:val="center"/>
              <w:rPr>
                <w:rFonts w:ascii="Arial" w:hAnsi="Arial" w:cs="Arial"/>
                <w:b/>
                <w:sz w:val="20"/>
                <w:szCs w:val="20"/>
              </w:rPr>
            </w:pPr>
            <w:r w:rsidRPr="007E0A27">
              <w:rPr>
                <w:rFonts w:ascii="Arial" w:hAnsi="Arial" w:cs="Arial"/>
                <w:b/>
                <w:sz w:val="20"/>
                <w:szCs w:val="20"/>
              </w:rPr>
              <w:t>Estimated Reference Load (MW)</w:t>
            </w:r>
          </w:p>
        </w:tc>
        <w:tc>
          <w:tcPr>
            <w:tcW w:w="1170"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46D068A0" w14:textId="288AC3D1" w:rsidR="00321E09" w:rsidRPr="007E0A27" w:rsidRDefault="00321E09" w:rsidP="00F02657">
            <w:pPr>
              <w:keepNext/>
              <w:keepLines/>
              <w:jc w:val="center"/>
              <w:rPr>
                <w:rFonts w:ascii="Arial" w:hAnsi="Arial" w:cs="Arial"/>
                <w:b/>
                <w:sz w:val="20"/>
                <w:szCs w:val="20"/>
              </w:rPr>
            </w:pPr>
            <w:r w:rsidRPr="007E0A27">
              <w:rPr>
                <w:rFonts w:ascii="Arial" w:hAnsi="Arial" w:cs="Arial"/>
                <w:b/>
                <w:sz w:val="20"/>
                <w:szCs w:val="20"/>
              </w:rPr>
              <w:t>Observed Load (MW)</w:t>
            </w:r>
          </w:p>
        </w:tc>
        <w:tc>
          <w:tcPr>
            <w:tcW w:w="1260"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444A9419" w14:textId="77777777" w:rsidR="00321E09" w:rsidRPr="007E0A27" w:rsidRDefault="00321E09" w:rsidP="00F02657">
            <w:pPr>
              <w:keepNext/>
              <w:keepLines/>
              <w:jc w:val="center"/>
              <w:rPr>
                <w:rFonts w:ascii="Arial" w:hAnsi="Arial" w:cs="Arial"/>
                <w:b/>
                <w:sz w:val="20"/>
                <w:szCs w:val="20"/>
              </w:rPr>
            </w:pPr>
            <w:r w:rsidRPr="007E0A27">
              <w:rPr>
                <w:rFonts w:ascii="Arial" w:hAnsi="Arial" w:cs="Arial"/>
                <w:b/>
                <w:sz w:val="20"/>
                <w:szCs w:val="20"/>
              </w:rPr>
              <w:t>Estimated Load Impact (MW)</w:t>
            </w:r>
          </w:p>
        </w:tc>
        <w:tc>
          <w:tcPr>
            <w:tcW w:w="823" w:type="dxa"/>
            <w:tcBorders>
              <w:left w:val="single" w:sz="4" w:space="0" w:color="FFFFFF" w:themeColor="background1"/>
              <w:bottom w:val="single" w:sz="4" w:space="0" w:color="auto"/>
            </w:tcBorders>
            <w:shd w:val="clear" w:color="auto" w:fill="0C2577"/>
            <w:vAlign w:val="center"/>
          </w:tcPr>
          <w:p w14:paraId="7C2051FA" w14:textId="77777777" w:rsidR="00321E09" w:rsidRPr="007E0A27" w:rsidRDefault="00321E09" w:rsidP="00F02657">
            <w:pPr>
              <w:keepNext/>
              <w:keepLines/>
              <w:jc w:val="center"/>
              <w:rPr>
                <w:rFonts w:ascii="Arial" w:hAnsi="Arial" w:cs="Arial"/>
                <w:b/>
                <w:sz w:val="20"/>
                <w:szCs w:val="20"/>
              </w:rPr>
            </w:pPr>
            <w:r w:rsidRPr="007E0A27">
              <w:rPr>
                <w:rFonts w:ascii="Arial" w:hAnsi="Arial" w:cs="Arial"/>
                <w:b/>
                <w:sz w:val="20"/>
                <w:szCs w:val="20"/>
              </w:rPr>
              <w:t>% LI</w:t>
            </w:r>
          </w:p>
        </w:tc>
      </w:tr>
      <w:tr w:rsidR="008B2846" w14:paraId="12438946" w14:textId="77777777" w:rsidTr="007357E6">
        <w:trPr>
          <w:trHeight w:val="144"/>
          <w:jc w:val="center"/>
        </w:trPr>
        <w:tc>
          <w:tcPr>
            <w:tcW w:w="4135" w:type="dxa"/>
            <w:tcBorders>
              <w:top w:val="single" w:sz="4" w:space="0" w:color="auto"/>
              <w:left w:val="single" w:sz="4" w:space="0" w:color="auto"/>
              <w:bottom w:val="nil"/>
              <w:right w:val="single" w:sz="4" w:space="0" w:color="auto"/>
            </w:tcBorders>
            <w:vAlign w:val="center"/>
          </w:tcPr>
          <w:p w14:paraId="3BC35A22" w14:textId="77777777" w:rsidR="00E94A98" w:rsidRPr="007E0A27" w:rsidRDefault="00E94A98" w:rsidP="00E94A98">
            <w:pPr>
              <w:keepNext/>
              <w:keepLines/>
              <w:rPr>
                <w:rFonts w:ascii="Arial" w:hAnsi="Arial" w:cs="Arial"/>
                <w:sz w:val="20"/>
                <w:szCs w:val="20"/>
              </w:rPr>
            </w:pPr>
            <w:r w:rsidRPr="007E0A27">
              <w:rPr>
                <w:rFonts w:ascii="Arial" w:hAnsi="Arial" w:cs="Arial"/>
                <w:sz w:val="20"/>
                <w:szCs w:val="20"/>
              </w:rPr>
              <w:t>Agriculture, Mining, &amp; Construction</w:t>
            </w:r>
          </w:p>
        </w:tc>
        <w:tc>
          <w:tcPr>
            <w:tcW w:w="1170" w:type="dxa"/>
            <w:tcBorders>
              <w:top w:val="single" w:sz="4" w:space="0" w:color="auto"/>
              <w:left w:val="single" w:sz="4" w:space="0" w:color="auto"/>
              <w:bottom w:val="nil"/>
              <w:right w:val="single" w:sz="4" w:space="0" w:color="auto"/>
            </w:tcBorders>
            <w:shd w:val="clear" w:color="auto" w:fill="000000" w:themeFill="text1"/>
            <w:vAlign w:val="center"/>
          </w:tcPr>
          <w:p w14:paraId="5065AEAE" w14:textId="1967D39E" w:rsidR="00E94A98" w:rsidRPr="00E94A98" w:rsidRDefault="00E94A98" w:rsidP="00E94A98">
            <w:pPr>
              <w:jc w:val="right"/>
              <w:rPr>
                <w:rFonts w:ascii="Arial" w:hAnsi="Arial" w:cs="Arial"/>
                <w:sz w:val="20"/>
                <w:szCs w:val="20"/>
              </w:rPr>
            </w:pPr>
          </w:p>
        </w:tc>
        <w:tc>
          <w:tcPr>
            <w:tcW w:w="1260" w:type="dxa"/>
            <w:tcBorders>
              <w:top w:val="single" w:sz="4" w:space="0" w:color="auto"/>
              <w:left w:val="single" w:sz="4" w:space="0" w:color="auto"/>
              <w:bottom w:val="nil"/>
              <w:right w:val="single" w:sz="4" w:space="0" w:color="auto"/>
            </w:tcBorders>
            <w:shd w:val="clear" w:color="auto" w:fill="000000" w:themeFill="text1"/>
            <w:vAlign w:val="center"/>
          </w:tcPr>
          <w:p w14:paraId="67EB2B5D" w14:textId="4B766E07" w:rsidR="00E94A98" w:rsidRPr="00E94A98" w:rsidRDefault="00E94A98" w:rsidP="00E94A98">
            <w:pPr>
              <w:jc w:val="right"/>
              <w:rPr>
                <w:rFonts w:ascii="Arial" w:hAnsi="Arial" w:cs="Arial"/>
                <w:sz w:val="20"/>
                <w:szCs w:val="20"/>
              </w:rPr>
            </w:pPr>
          </w:p>
        </w:tc>
        <w:tc>
          <w:tcPr>
            <w:tcW w:w="1170" w:type="dxa"/>
            <w:tcBorders>
              <w:top w:val="single" w:sz="4" w:space="0" w:color="auto"/>
              <w:left w:val="single" w:sz="4" w:space="0" w:color="auto"/>
              <w:bottom w:val="nil"/>
              <w:right w:val="single" w:sz="4" w:space="0" w:color="auto"/>
            </w:tcBorders>
            <w:shd w:val="clear" w:color="auto" w:fill="000000" w:themeFill="text1"/>
            <w:vAlign w:val="center"/>
          </w:tcPr>
          <w:p w14:paraId="43EB8D0A" w14:textId="2ED8BA79" w:rsidR="00E94A98" w:rsidRPr="00E94A98" w:rsidRDefault="00E94A98" w:rsidP="00E94A98">
            <w:pPr>
              <w:jc w:val="right"/>
              <w:rPr>
                <w:rFonts w:ascii="Arial" w:hAnsi="Arial" w:cs="Arial"/>
                <w:sz w:val="20"/>
                <w:szCs w:val="20"/>
              </w:rPr>
            </w:pPr>
          </w:p>
        </w:tc>
        <w:tc>
          <w:tcPr>
            <w:tcW w:w="1260" w:type="dxa"/>
            <w:tcBorders>
              <w:top w:val="single" w:sz="4" w:space="0" w:color="auto"/>
              <w:left w:val="single" w:sz="4" w:space="0" w:color="auto"/>
              <w:bottom w:val="nil"/>
              <w:right w:val="single" w:sz="4" w:space="0" w:color="auto"/>
            </w:tcBorders>
            <w:shd w:val="clear" w:color="auto" w:fill="000000" w:themeFill="text1"/>
            <w:vAlign w:val="center"/>
          </w:tcPr>
          <w:p w14:paraId="3E8E94F2" w14:textId="22D05EFC" w:rsidR="00E94A98" w:rsidRPr="00E94A98" w:rsidRDefault="00E94A98" w:rsidP="00E94A98">
            <w:pPr>
              <w:jc w:val="right"/>
              <w:rPr>
                <w:rFonts w:ascii="Arial" w:hAnsi="Arial" w:cs="Arial"/>
                <w:sz w:val="20"/>
                <w:szCs w:val="20"/>
              </w:rPr>
            </w:pPr>
          </w:p>
        </w:tc>
        <w:tc>
          <w:tcPr>
            <w:tcW w:w="823" w:type="dxa"/>
            <w:tcBorders>
              <w:top w:val="single" w:sz="4" w:space="0" w:color="auto"/>
              <w:left w:val="single" w:sz="4" w:space="0" w:color="auto"/>
              <w:bottom w:val="nil"/>
              <w:right w:val="single" w:sz="4" w:space="0" w:color="auto"/>
            </w:tcBorders>
            <w:shd w:val="clear" w:color="auto" w:fill="000000" w:themeFill="text1"/>
            <w:vAlign w:val="center"/>
          </w:tcPr>
          <w:p w14:paraId="7EF4D95C" w14:textId="5CF0F413" w:rsidR="00E94A98" w:rsidRPr="00E94A98" w:rsidRDefault="00E94A98" w:rsidP="00E94A98">
            <w:pPr>
              <w:jc w:val="right"/>
              <w:rPr>
                <w:rFonts w:ascii="Arial" w:hAnsi="Arial" w:cs="Arial"/>
                <w:sz w:val="20"/>
                <w:szCs w:val="20"/>
              </w:rPr>
            </w:pPr>
          </w:p>
        </w:tc>
      </w:tr>
      <w:tr w:rsidR="008B2846" w14:paraId="0D258DC2" w14:textId="77777777" w:rsidTr="008B2846">
        <w:trPr>
          <w:trHeight w:val="144"/>
          <w:jc w:val="center"/>
        </w:trPr>
        <w:tc>
          <w:tcPr>
            <w:tcW w:w="4135" w:type="dxa"/>
            <w:tcBorders>
              <w:top w:val="nil"/>
              <w:left w:val="single" w:sz="4" w:space="0" w:color="auto"/>
              <w:bottom w:val="nil"/>
              <w:right w:val="single" w:sz="4" w:space="0" w:color="auto"/>
            </w:tcBorders>
            <w:vAlign w:val="center"/>
          </w:tcPr>
          <w:p w14:paraId="43F5F6CE" w14:textId="77777777" w:rsidR="00E94A98" w:rsidRPr="007E0A27" w:rsidRDefault="00E94A98" w:rsidP="00E94A98">
            <w:pPr>
              <w:keepNext/>
              <w:keepLines/>
              <w:rPr>
                <w:rFonts w:ascii="Arial" w:hAnsi="Arial" w:cs="Arial"/>
                <w:sz w:val="20"/>
                <w:szCs w:val="20"/>
              </w:rPr>
            </w:pPr>
            <w:r w:rsidRPr="007E0A27">
              <w:rPr>
                <w:rFonts w:ascii="Arial" w:hAnsi="Arial" w:cs="Arial"/>
                <w:sz w:val="20"/>
                <w:szCs w:val="20"/>
              </w:rPr>
              <w:t>Manufacturing</w:t>
            </w:r>
          </w:p>
        </w:tc>
        <w:tc>
          <w:tcPr>
            <w:tcW w:w="1170" w:type="dxa"/>
            <w:tcBorders>
              <w:top w:val="nil"/>
              <w:left w:val="single" w:sz="4" w:space="0" w:color="auto"/>
              <w:bottom w:val="nil"/>
              <w:right w:val="single" w:sz="4" w:space="0" w:color="auto"/>
            </w:tcBorders>
            <w:vAlign w:val="center"/>
          </w:tcPr>
          <w:p w14:paraId="4E0A1567" w14:textId="58CF6270" w:rsidR="00E94A98" w:rsidRPr="00E94A98" w:rsidRDefault="00E94A98" w:rsidP="00E94A98">
            <w:pPr>
              <w:jc w:val="right"/>
              <w:rPr>
                <w:rFonts w:ascii="Arial" w:hAnsi="Arial" w:cs="Arial"/>
                <w:sz w:val="20"/>
                <w:szCs w:val="20"/>
              </w:rPr>
            </w:pPr>
            <w:r w:rsidRPr="00E94A98">
              <w:rPr>
                <w:rFonts w:ascii="Arial" w:hAnsi="Arial" w:cs="Arial"/>
                <w:sz w:val="20"/>
                <w:szCs w:val="20"/>
              </w:rPr>
              <w:t>95</w:t>
            </w:r>
          </w:p>
        </w:tc>
        <w:tc>
          <w:tcPr>
            <w:tcW w:w="1260" w:type="dxa"/>
            <w:tcBorders>
              <w:top w:val="nil"/>
              <w:left w:val="single" w:sz="4" w:space="0" w:color="auto"/>
              <w:bottom w:val="nil"/>
              <w:right w:val="single" w:sz="4" w:space="0" w:color="auto"/>
            </w:tcBorders>
            <w:vAlign w:val="center"/>
          </w:tcPr>
          <w:p w14:paraId="73E3DEB7" w14:textId="4EF69A86" w:rsidR="00E94A98" w:rsidRPr="00E94A98" w:rsidRDefault="00E94A98" w:rsidP="00E94A98">
            <w:pPr>
              <w:jc w:val="right"/>
              <w:rPr>
                <w:rFonts w:ascii="Arial" w:hAnsi="Arial" w:cs="Arial"/>
                <w:sz w:val="20"/>
                <w:szCs w:val="20"/>
              </w:rPr>
            </w:pPr>
            <w:r w:rsidRPr="00E94A98">
              <w:rPr>
                <w:rFonts w:ascii="Arial" w:hAnsi="Arial" w:cs="Arial"/>
                <w:sz w:val="20"/>
                <w:szCs w:val="20"/>
              </w:rPr>
              <w:t>209.4</w:t>
            </w:r>
          </w:p>
        </w:tc>
        <w:tc>
          <w:tcPr>
            <w:tcW w:w="1170" w:type="dxa"/>
            <w:tcBorders>
              <w:top w:val="nil"/>
              <w:left w:val="single" w:sz="4" w:space="0" w:color="auto"/>
              <w:bottom w:val="nil"/>
              <w:right w:val="single" w:sz="4" w:space="0" w:color="auto"/>
            </w:tcBorders>
            <w:vAlign w:val="center"/>
          </w:tcPr>
          <w:p w14:paraId="07E40B91" w14:textId="3EAEAA74" w:rsidR="00E94A98" w:rsidRPr="00E94A98" w:rsidRDefault="00E94A98" w:rsidP="00E94A98">
            <w:pPr>
              <w:jc w:val="right"/>
              <w:rPr>
                <w:rFonts w:ascii="Arial" w:hAnsi="Arial" w:cs="Arial"/>
                <w:sz w:val="20"/>
                <w:szCs w:val="20"/>
              </w:rPr>
            </w:pPr>
            <w:r w:rsidRPr="00E94A98">
              <w:rPr>
                <w:rFonts w:ascii="Arial" w:hAnsi="Arial" w:cs="Arial"/>
                <w:sz w:val="20"/>
                <w:szCs w:val="20"/>
              </w:rPr>
              <w:t>92.7</w:t>
            </w:r>
          </w:p>
        </w:tc>
        <w:tc>
          <w:tcPr>
            <w:tcW w:w="1260" w:type="dxa"/>
            <w:tcBorders>
              <w:top w:val="nil"/>
              <w:left w:val="single" w:sz="4" w:space="0" w:color="auto"/>
              <w:bottom w:val="nil"/>
              <w:right w:val="single" w:sz="4" w:space="0" w:color="auto"/>
            </w:tcBorders>
            <w:vAlign w:val="center"/>
          </w:tcPr>
          <w:p w14:paraId="529C8188" w14:textId="1A31794C" w:rsidR="00E94A98" w:rsidRPr="00E94A98" w:rsidRDefault="00E94A98" w:rsidP="00E94A98">
            <w:pPr>
              <w:jc w:val="right"/>
              <w:rPr>
                <w:rFonts w:ascii="Arial" w:hAnsi="Arial" w:cs="Arial"/>
                <w:sz w:val="20"/>
                <w:szCs w:val="20"/>
              </w:rPr>
            </w:pPr>
            <w:r w:rsidRPr="00E94A98">
              <w:rPr>
                <w:rFonts w:ascii="Arial" w:hAnsi="Arial" w:cs="Arial"/>
                <w:sz w:val="20"/>
                <w:szCs w:val="20"/>
              </w:rPr>
              <w:t>116.8</w:t>
            </w:r>
          </w:p>
        </w:tc>
        <w:tc>
          <w:tcPr>
            <w:tcW w:w="823" w:type="dxa"/>
            <w:tcBorders>
              <w:top w:val="nil"/>
              <w:left w:val="single" w:sz="4" w:space="0" w:color="auto"/>
              <w:bottom w:val="nil"/>
              <w:right w:val="single" w:sz="4" w:space="0" w:color="auto"/>
            </w:tcBorders>
            <w:vAlign w:val="center"/>
          </w:tcPr>
          <w:p w14:paraId="59221FA9" w14:textId="6747588E" w:rsidR="00E94A98" w:rsidRPr="00E94A98" w:rsidRDefault="00E94A98" w:rsidP="00E94A98">
            <w:pPr>
              <w:jc w:val="right"/>
              <w:rPr>
                <w:rFonts w:ascii="Arial" w:hAnsi="Arial" w:cs="Arial"/>
                <w:sz w:val="20"/>
                <w:szCs w:val="20"/>
              </w:rPr>
            </w:pPr>
            <w:r w:rsidRPr="00E94A98">
              <w:rPr>
                <w:rFonts w:ascii="Arial" w:hAnsi="Arial" w:cs="Arial"/>
                <w:sz w:val="20"/>
                <w:szCs w:val="20"/>
              </w:rPr>
              <w:t>55.8%</w:t>
            </w:r>
          </w:p>
        </w:tc>
      </w:tr>
      <w:tr w:rsidR="008B2846" w14:paraId="45B2319A" w14:textId="77777777" w:rsidTr="007357E6">
        <w:trPr>
          <w:trHeight w:val="144"/>
          <w:jc w:val="center"/>
        </w:trPr>
        <w:tc>
          <w:tcPr>
            <w:tcW w:w="4135" w:type="dxa"/>
            <w:tcBorders>
              <w:top w:val="nil"/>
              <w:left w:val="single" w:sz="4" w:space="0" w:color="auto"/>
              <w:bottom w:val="nil"/>
              <w:right w:val="single" w:sz="4" w:space="0" w:color="auto"/>
            </w:tcBorders>
            <w:vAlign w:val="center"/>
          </w:tcPr>
          <w:p w14:paraId="74BC0C83" w14:textId="77777777" w:rsidR="00E94A98" w:rsidRPr="007E0A27" w:rsidRDefault="00E94A98" w:rsidP="00E94A98">
            <w:pPr>
              <w:keepNext/>
              <w:keepLines/>
              <w:rPr>
                <w:rFonts w:ascii="Arial" w:hAnsi="Arial" w:cs="Arial"/>
                <w:sz w:val="20"/>
                <w:szCs w:val="20"/>
              </w:rPr>
            </w:pPr>
            <w:r w:rsidRPr="007E0A27">
              <w:rPr>
                <w:rFonts w:ascii="Arial" w:hAnsi="Arial" w:cs="Arial"/>
                <w:sz w:val="20"/>
                <w:szCs w:val="20"/>
              </w:rPr>
              <w:t>Wholesale, Transportation, &amp; Other Utilities</w:t>
            </w:r>
          </w:p>
        </w:tc>
        <w:tc>
          <w:tcPr>
            <w:tcW w:w="1170" w:type="dxa"/>
            <w:tcBorders>
              <w:top w:val="nil"/>
              <w:left w:val="single" w:sz="4" w:space="0" w:color="auto"/>
              <w:bottom w:val="nil"/>
              <w:right w:val="single" w:sz="4" w:space="0" w:color="auto"/>
            </w:tcBorders>
            <w:shd w:val="clear" w:color="auto" w:fill="000000" w:themeFill="text1"/>
            <w:vAlign w:val="center"/>
          </w:tcPr>
          <w:p w14:paraId="6D38F0E7" w14:textId="143F3827" w:rsidR="00E94A98" w:rsidRPr="00E94A98" w:rsidRDefault="00E94A98" w:rsidP="00E94A98">
            <w:pPr>
              <w:jc w:val="right"/>
              <w:rPr>
                <w:rFonts w:ascii="Arial" w:hAnsi="Arial" w:cs="Arial"/>
                <w:sz w:val="20"/>
                <w:szCs w:val="20"/>
              </w:rPr>
            </w:pPr>
          </w:p>
        </w:tc>
        <w:tc>
          <w:tcPr>
            <w:tcW w:w="1260" w:type="dxa"/>
            <w:tcBorders>
              <w:top w:val="nil"/>
              <w:left w:val="single" w:sz="4" w:space="0" w:color="auto"/>
              <w:bottom w:val="nil"/>
              <w:right w:val="single" w:sz="4" w:space="0" w:color="auto"/>
            </w:tcBorders>
            <w:shd w:val="clear" w:color="auto" w:fill="000000" w:themeFill="text1"/>
            <w:vAlign w:val="center"/>
          </w:tcPr>
          <w:p w14:paraId="3C7EBCBD" w14:textId="75CB5315" w:rsidR="00E94A98" w:rsidRPr="00E94A98" w:rsidRDefault="00E94A98" w:rsidP="00E94A98">
            <w:pPr>
              <w:jc w:val="right"/>
              <w:rPr>
                <w:rFonts w:ascii="Arial" w:hAnsi="Arial" w:cs="Arial"/>
                <w:sz w:val="20"/>
                <w:szCs w:val="20"/>
              </w:rPr>
            </w:pPr>
          </w:p>
        </w:tc>
        <w:tc>
          <w:tcPr>
            <w:tcW w:w="1170" w:type="dxa"/>
            <w:tcBorders>
              <w:top w:val="nil"/>
              <w:left w:val="single" w:sz="4" w:space="0" w:color="auto"/>
              <w:bottom w:val="nil"/>
              <w:right w:val="single" w:sz="4" w:space="0" w:color="auto"/>
            </w:tcBorders>
            <w:shd w:val="clear" w:color="auto" w:fill="000000" w:themeFill="text1"/>
            <w:vAlign w:val="center"/>
          </w:tcPr>
          <w:p w14:paraId="651B6B03" w14:textId="53F84065" w:rsidR="00E94A98" w:rsidRPr="00E94A98" w:rsidRDefault="00E94A98" w:rsidP="00E94A98">
            <w:pPr>
              <w:jc w:val="right"/>
              <w:rPr>
                <w:rFonts w:ascii="Arial" w:hAnsi="Arial" w:cs="Arial"/>
                <w:sz w:val="20"/>
                <w:szCs w:val="20"/>
              </w:rPr>
            </w:pPr>
          </w:p>
        </w:tc>
        <w:tc>
          <w:tcPr>
            <w:tcW w:w="1260" w:type="dxa"/>
            <w:tcBorders>
              <w:top w:val="nil"/>
              <w:left w:val="single" w:sz="4" w:space="0" w:color="auto"/>
              <w:bottom w:val="nil"/>
              <w:right w:val="single" w:sz="4" w:space="0" w:color="auto"/>
            </w:tcBorders>
            <w:shd w:val="clear" w:color="auto" w:fill="000000" w:themeFill="text1"/>
            <w:vAlign w:val="center"/>
          </w:tcPr>
          <w:p w14:paraId="67E52F73" w14:textId="2ECB9AA4" w:rsidR="00E94A98" w:rsidRPr="00E94A98" w:rsidRDefault="00E94A98" w:rsidP="00E94A98">
            <w:pPr>
              <w:jc w:val="right"/>
              <w:rPr>
                <w:rFonts w:ascii="Arial" w:hAnsi="Arial" w:cs="Arial"/>
                <w:sz w:val="20"/>
                <w:szCs w:val="20"/>
              </w:rPr>
            </w:pPr>
          </w:p>
        </w:tc>
        <w:tc>
          <w:tcPr>
            <w:tcW w:w="823" w:type="dxa"/>
            <w:tcBorders>
              <w:top w:val="nil"/>
              <w:left w:val="single" w:sz="4" w:space="0" w:color="auto"/>
              <w:bottom w:val="nil"/>
              <w:right w:val="single" w:sz="4" w:space="0" w:color="auto"/>
            </w:tcBorders>
            <w:shd w:val="clear" w:color="auto" w:fill="000000" w:themeFill="text1"/>
            <w:vAlign w:val="center"/>
          </w:tcPr>
          <w:p w14:paraId="5E5A350E" w14:textId="18347079" w:rsidR="00E94A98" w:rsidRPr="00E94A98" w:rsidRDefault="00E94A98" w:rsidP="00E94A98">
            <w:pPr>
              <w:jc w:val="right"/>
              <w:rPr>
                <w:rFonts w:ascii="Arial" w:hAnsi="Arial" w:cs="Arial"/>
                <w:sz w:val="20"/>
                <w:szCs w:val="20"/>
              </w:rPr>
            </w:pPr>
          </w:p>
        </w:tc>
      </w:tr>
      <w:tr w:rsidR="008B2846" w14:paraId="642EA261" w14:textId="77777777" w:rsidTr="007357E6">
        <w:trPr>
          <w:trHeight w:val="144"/>
          <w:jc w:val="center"/>
        </w:trPr>
        <w:tc>
          <w:tcPr>
            <w:tcW w:w="4135" w:type="dxa"/>
            <w:tcBorders>
              <w:top w:val="nil"/>
              <w:left w:val="single" w:sz="4" w:space="0" w:color="auto"/>
              <w:bottom w:val="nil"/>
              <w:right w:val="single" w:sz="4" w:space="0" w:color="auto"/>
            </w:tcBorders>
            <w:vAlign w:val="center"/>
          </w:tcPr>
          <w:p w14:paraId="6025C0C7" w14:textId="77777777" w:rsidR="00E94A98" w:rsidRPr="007E0A27" w:rsidRDefault="00E94A98" w:rsidP="00E94A98">
            <w:pPr>
              <w:keepNext/>
              <w:keepLines/>
              <w:rPr>
                <w:rFonts w:ascii="Arial" w:hAnsi="Arial" w:cs="Arial"/>
                <w:sz w:val="20"/>
                <w:szCs w:val="20"/>
              </w:rPr>
            </w:pPr>
            <w:r w:rsidRPr="007E0A27">
              <w:rPr>
                <w:rFonts w:ascii="Arial" w:hAnsi="Arial" w:cs="Arial"/>
                <w:sz w:val="20"/>
                <w:szCs w:val="20"/>
              </w:rPr>
              <w:t>Retail Stores</w:t>
            </w:r>
          </w:p>
        </w:tc>
        <w:tc>
          <w:tcPr>
            <w:tcW w:w="1170" w:type="dxa"/>
            <w:tcBorders>
              <w:top w:val="nil"/>
              <w:left w:val="single" w:sz="4" w:space="0" w:color="auto"/>
              <w:bottom w:val="nil"/>
              <w:right w:val="single" w:sz="4" w:space="0" w:color="auto"/>
            </w:tcBorders>
            <w:shd w:val="clear" w:color="auto" w:fill="000000" w:themeFill="text1"/>
            <w:vAlign w:val="center"/>
          </w:tcPr>
          <w:p w14:paraId="23617859" w14:textId="5E893763" w:rsidR="00E94A98" w:rsidRPr="00E94A98" w:rsidRDefault="00E94A98" w:rsidP="00E94A98">
            <w:pPr>
              <w:jc w:val="right"/>
              <w:rPr>
                <w:rFonts w:ascii="Arial" w:hAnsi="Arial" w:cs="Arial"/>
                <w:sz w:val="20"/>
                <w:szCs w:val="20"/>
              </w:rPr>
            </w:pPr>
          </w:p>
        </w:tc>
        <w:tc>
          <w:tcPr>
            <w:tcW w:w="1260" w:type="dxa"/>
            <w:tcBorders>
              <w:top w:val="nil"/>
              <w:left w:val="single" w:sz="4" w:space="0" w:color="auto"/>
              <w:bottom w:val="nil"/>
              <w:right w:val="single" w:sz="4" w:space="0" w:color="auto"/>
            </w:tcBorders>
            <w:shd w:val="clear" w:color="auto" w:fill="000000" w:themeFill="text1"/>
            <w:vAlign w:val="center"/>
          </w:tcPr>
          <w:p w14:paraId="6D52B0F1" w14:textId="7AEFD9F3" w:rsidR="00E94A98" w:rsidRPr="00E94A98" w:rsidRDefault="00E94A98" w:rsidP="00E94A98">
            <w:pPr>
              <w:jc w:val="right"/>
              <w:rPr>
                <w:rFonts w:ascii="Arial" w:hAnsi="Arial" w:cs="Arial"/>
                <w:sz w:val="20"/>
                <w:szCs w:val="20"/>
              </w:rPr>
            </w:pPr>
          </w:p>
        </w:tc>
        <w:tc>
          <w:tcPr>
            <w:tcW w:w="1170" w:type="dxa"/>
            <w:tcBorders>
              <w:top w:val="nil"/>
              <w:left w:val="single" w:sz="4" w:space="0" w:color="auto"/>
              <w:bottom w:val="nil"/>
              <w:right w:val="single" w:sz="4" w:space="0" w:color="auto"/>
            </w:tcBorders>
            <w:shd w:val="clear" w:color="auto" w:fill="000000" w:themeFill="text1"/>
            <w:vAlign w:val="center"/>
          </w:tcPr>
          <w:p w14:paraId="185AF9C0" w14:textId="5EFF15B0" w:rsidR="00E94A98" w:rsidRPr="00E94A98" w:rsidRDefault="00E94A98" w:rsidP="00E94A98">
            <w:pPr>
              <w:jc w:val="right"/>
              <w:rPr>
                <w:rFonts w:ascii="Arial" w:hAnsi="Arial" w:cs="Arial"/>
                <w:sz w:val="20"/>
                <w:szCs w:val="20"/>
              </w:rPr>
            </w:pPr>
          </w:p>
        </w:tc>
        <w:tc>
          <w:tcPr>
            <w:tcW w:w="1260" w:type="dxa"/>
            <w:tcBorders>
              <w:top w:val="nil"/>
              <w:left w:val="single" w:sz="4" w:space="0" w:color="auto"/>
              <w:bottom w:val="nil"/>
              <w:right w:val="single" w:sz="4" w:space="0" w:color="auto"/>
            </w:tcBorders>
            <w:shd w:val="clear" w:color="auto" w:fill="000000" w:themeFill="text1"/>
            <w:vAlign w:val="center"/>
          </w:tcPr>
          <w:p w14:paraId="752BF950" w14:textId="0F44D72A" w:rsidR="00E94A98" w:rsidRPr="00E94A98" w:rsidRDefault="00E94A98" w:rsidP="00E94A98">
            <w:pPr>
              <w:jc w:val="right"/>
              <w:rPr>
                <w:rFonts w:ascii="Arial" w:hAnsi="Arial" w:cs="Arial"/>
                <w:sz w:val="20"/>
                <w:szCs w:val="20"/>
              </w:rPr>
            </w:pPr>
          </w:p>
        </w:tc>
        <w:tc>
          <w:tcPr>
            <w:tcW w:w="823" w:type="dxa"/>
            <w:tcBorders>
              <w:top w:val="nil"/>
              <w:left w:val="single" w:sz="4" w:space="0" w:color="auto"/>
              <w:bottom w:val="nil"/>
              <w:right w:val="single" w:sz="4" w:space="0" w:color="auto"/>
            </w:tcBorders>
            <w:shd w:val="clear" w:color="auto" w:fill="000000" w:themeFill="text1"/>
            <w:vAlign w:val="center"/>
          </w:tcPr>
          <w:p w14:paraId="3308659A" w14:textId="5859FCD2" w:rsidR="00E94A98" w:rsidRPr="00E94A98" w:rsidRDefault="00E94A98" w:rsidP="00E94A98">
            <w:pPr>
              <w:jc w:val="right"/>
              <w:rPr>
                <w:rFonts w:ascii="Arial" w:hAnsi="Arial" w:cs="Arial"/>
                <w:sz w:val="20"/>
                <w:szCs w:val="20"/>
              </w:rPr>
            </w:pPr>
          </w:p>
        </w:tc>
      </w:tr>
      <w:tr w:rsidR="008B2846" w14:paraId="2720DC6A" w14:textId="77777777" w:rsidTr="007357E6">
        <w:trPr>
          <w:trHeight w:val="144"/>
          <w:jc w:val="center"/>
        </w:trPr>
        <w:tc>
          <w:tcPr>
            <w:tcW w:w="4135" w:type="dxa"/>
            <w:tcBorders>
              <w:top w:val="nil"/>
              <w:left w:val="single" w:sz="4" w:space="0" w:color="auto"/>
              <w:bottom w:val="nil"/>
              <w:right w:val="single" w:sz="4" w:space="0" w:color="auto"/>
            </w:tcBorders>
            <w:vAlign w:val="center"/>
          </w:tcPr>
          <w:p w14:paraId="6C18507B" w14:textId="77777777" w:rsidR="00E94A98" w:rsidRPr="007E0A27" w:rsidRDefault="00E94A98" w:rsidP="00E94A98">
            <w:pPr>
              <w:keepNext/>
              <w:keepLines/>
              <w:rPr>
                <w:rFonts w:ascii="Arial" w:hAnsi="Arial" w:cs="Arial"/>
                <w:sz w:val="20"/>
                <w:szCs w:val="20"/>
              </w:rPr>
            </w:pPr>
            <w:r w:rsidRPr="007E0A27">
              <w:rPr>
                <w:rFonts w:ascii="Arial" w:hAnsi="Arial" w:cs="Arial"/>
                <w:sz w:val="20"/>
                <w:szCs w:val="20"/>
              </w:rPr>
              <w:t>Offices, Hotels, Health, Services</w:t>
            </w:r>
          </w:p>
        </w:tc>
        <w:tc>
          <w:tcPr>
            <w:tcW w:w="1170" w:type="dxa"/>
            <w:tcBorders>
              <w:top w:val="nil"/>
              <w:left w:val="single" w:sz="4" w:space="0" w:color="auto"/>
              <w:bottom w:val="nil"/>
              <w:right w:val="single" w:sz="4" w:space="0" w:color="auto"/>
            </w:tcBorders>
            <w:shd w:val="clear" w:color="auto" w:fill="000000" w:themeFill="text1"/>
            <w:vAlign w:val="center"/>
          </w:tcPr>
          <w:p w14:paraId="7BD47870" w14:textId="0920AB5A" w:rsidR="00E94A98" w:rsidRPr="00E94A98" w:rsidRDefault="00E94A98" w:rsidP="00E94A98">
            <w:pPr>
              <w:jc w:val="right"/>
              <w:rPr>
                <w:rFonts w:ascii="Arial" w:hAnsi="Arial" w:cs="Arial"/>
                <w:sz w:val="20"/>
                <w:szCs w:val="20"/>
              </w:rPr>
            </w:pPr>
          </w:p>
        </w:tc>
        <w:tc>
          <w:tcPr>
            <w:tcW w:w="1260" w:type="dxa"/>
            <w:tcBorders>
              <w:top w:val="nil"/>
              <w:left w:val="single" w:sz="4" w:space="0" w:color="auto"/>
              <w:bottom w:val="nil"/>
              <w:right w:val="single" w:sz="4" w:space="0" w:color="auto"/>
            </w:tcBorders>
            <w:shd w:val="clear" w:color="auto" w:fill="000000" w:themeFill="text1"/>
            <w:vAlign w:val="center"/>
          </w:tcPr>
          <w:p w14:paraId="211D6756" w14:textId="733D1377" w:rsidR="00E94A98" w:rsidRPr="00E94A98" w:rsidRDefault="00E94A98" w:rsidP="00E94A98">
            <w:pPr>
              <w:jc w:val="right"/>
              <w:rPr>
                <w:rFonts w:ascii="Arial" w:hAnsi="Arial" w:cs="Arial"/>
                <w:sz w:val="20"/>
                <w:szCs w:val="20"/>
              </w:rPr>
            </w:pPr>
          </w:p>
        </w:tc>
        <w:tc>
          <w:tcPr>
            <w:tcW w:w="1170" w:type="dxa"/>
            <w:tcBorders>
              <w:top w:val="nil"/>
              <w:left w:val="single" w:sz="4" w:space="0" w:color="auto"/>
              <w:bottom w:val="nil"/>
              <w:right w:val="single" w:sz="4" w:space="0" w:color="auto"/>
            </w:tcBorders>
            <w:shd w:val="clear" w:color="auto" w:fill="000000" w:themeFill="text1"/>
            <w:vAlign w:val="center"/>
          </w:tcPr>
          <w:p w14:paraId="00121175" w14:textId="08E92500" w:rsidR="00E94A98" w:rsidRPr="00E94A98" w:rsidRDefault="00E94A98" w:rsidP="00E94A98">
            <w:pPr>
              <w:jc w:val="right"/>
              <w:rPr>
                <w:rFonts w:ascii="Arial" w:hAnsi="Arial" w:cs="Arial"/>
                <w:sz w:val="20"/>
                <w:szCs w:val="20"/>
              </w:rPr>
            </w:pPr>
          </w:p>
        </w:tc>
        <w:tc>
          <w:tcPr>
            <w:tcW w:w="1260" w:type="dxa"/>
            <w:tcBorders>
              <w:top w:val="nil"/>
              <w:left w:val="single" w:sz="4" w:space="0" w:color="auto"/>
              <w:bottom w:val="nil"/>
              <w:right w:val="single" w:sz="4" w:space="0" w:color="auto"/>
            </w:tcBorders>
            <w:shd w:val="clear" w:color="auto" w:fill="000000" w:themeFill="text1"/>
            <w:vAlign w:val="center"/>
          </w:tcPr>
          <w:p w14:paraId="5034665B" w14:textId="21886721" w:rsidR="00E94A98" w:rsidRPr="00E94A98" w:rsidRDefault="00E94A98" w:rsidP="00E94A98">
            <w:pPr>
              <w:jc w:val="right"/>
              <w:rPr>
                <w:rFonts w:ascii="Arial" w:hAnsi="Arial" w:cs="Arial"/>
                <w:sz w:val="20"/>
                <w:szCs w:val="20"/>
              </w:rPr>
            </w:pPr>
          </w:p>
        </w:tc>
        <w:tc>
          <w:tcPr>
            <w:tcW w:w="823" w:type="dxa"/>
            <w:tcBorders>
              <w:top w:val="nil"/>
              <w:left w:val="single" w:sz="4" w:space="0" w:color="auto"/>
              <w:bottom w:val="nil"/>
              <w:right w:val="single" w:sz="4" w:space="0" w:color="auto"/>
            </w:tcBorders>
            <w:shd w:val="clear" w:color="auto" w:fill="000000" w:themeFill="text1"/>
            <w:vAlign w:val="center"/>
          </w:tcPr>
          <w:p w14:paraId="05479B63" w14:textId="511EB166" w:rsidR="00E94A98" w:rsidRPr="00E94A98" w:rsidRDefault="00E94A98" w:rsidP="00E94A98">
            <w:pPr>
              <w:jc w:val="right"/>
              <w:rPr>
                <w:rFonts w:ascii="Arial" w:hAnsi="Arial" w:cs="Arial"/>
                <w:sz w:val="20"/>
                <w:szCs w:val="20"/>
              </w:rPr>
            </w:pPr>
          </w:p>
        </w:tc>
      </w:tr>
      <w:tr w:rsidR="008B2846" w14:paraId="0E2B9A9B" w14:textId="77777777" w:rsidTr="007357E6">
        <w:trPr>
          <w:trHeight w:val="144"/>
          <w:jc w:val="center"/>
        </w:trPr>
        <w:tc>
          <w:tcPr>
            <w:tcW w:w="4135" w:type="dxa"/>
            <w:tcBorders>
              <w:top w:val="nil"/>
              <w:left w:val="single" w:sz="4" w:space="0" w:color="auto"/>
              <w:bottom w:val="nil"/>
              <w:right w:val="single" w:sz="4" w:space="0" w:color="auto"/>
            </w:tcBorders>
            <w:vAlign w:val="center"/>
          </w:tcPr>
          <w:p w14:paraId="32B491DF" w14:textId="77777777" w:rsidR="00E94A98" w:rsidRPr="007E0A27" w:rsidRDefault="00E94A98" w:rsidP="00E94A98">
            <w:pPr>
              <w:keepNext/>
              <w:keepLines/>
              <w:rPr>
                <w:rFonts w:ascii="Arial" w:hAnsi="Arial" w:cs="Arial"/>
                <w:sz w:val="20"/>
                <w:szCs w:val="20"/>
              </w:rPr>
            </w:pPr>
            <w:r w:rsidRPr="007E0A27">
              <w:rPr>
                <w:rFonts w:ascii="Arial" w:hAnsi="Arial" w:cs="Arial"/>
                <w:sz w:val="20"/>
                <w:szCs w:val="20"/>
              </w:rPr>
              <w:t>Schools</w:t>
            </w:r>
          </w:p>
        </w:tc>
        <w:tc>
          <w:tcPr>
            <w:tcW w:w="1170" w:type="dxa"/>
            <w:tcBorders>
              <w:top w:val="nil"/>
              <w:left w:val="single" w:sz="4" w:space="0" w:color="auto"/>
              <w:bottom w:val="nil"/>
              <w:right w:val="single" w:sz="4" w:space="0" w:color="auto"/>
            </w:tcBorders>
            <w:shd w:val="clear" w:color="auto" w:fill="000000" w:themeFill="text1"/>
            <w:vAlign w:val="center"/>
          </w:tcPr>
          <w:p w14:paraId="544CD6CD" w14:textId="290B2C78" w:rsidR="00E94A98" w:rsidRPr="00E94A98" w:rsidRDefault="00E94A98" w:rsidP="00E94A98">
            <w:pPr>
              <w:jc w:val="right"/>
              <w:rPr>
                <w:rFonts w:ascii="Arial" w:hAnsi="Arial" w:cs="Arial"/>
                <w:sz w:val="20"/>
                <w:szCs w:val="20"/>
              </w:rPr>
            </w:pPr>
          </w:p>
        </w:tc>
        <w:tc>
          <w:tcPr>
            <w:tcW w:w="1260" w:type="dxa"/>
            <w:tcBorders>
              <w:top w:val="nil"/>
              <w:left w:val="single" w:sz="4" w:space="0" w:color="auto"/>
              <w:bottom w:val="nil"/>
              <w:right w:val="single" w:sz="4" w:space="0" w:color="auto"/>
            </w:tcBorders>
            <w:shd w:val="clear" w:color="auto" w:fill="000000" w:themeFill="text1"/>
            <w:vAlign w:val="center"/>
          </w:tcPr>
          <w:p w14:paraId="22D9588E" w14:textId="094B4E65" w:rsidR="00E94A98" w:rsidRPr="00E94A98" w:rsidRDefault="00E94A98" w:rsidP="00E94A98">
            <w:pPr>
              <w:jc w:val="right"/>
              <w:rPr>
                <w:rFonts w:ascii="Arial" w:hAnsi="Arial" w:cs="Arial"/>
                <w:sz w:val="20"/>
                <w:szCs w:val="20"/>
              </w:rPr>
            </w:pPr>
          </w:p>
        </w:tc>
        <w:tc>
          <w:tcPr>
            <w:tcW w:w="1170" w:type="dxa"/>
            <w:tcBorders>
              <w:top w:val="nil"/>
              <w:left w:val="single" w:sz="4" w:space="0" w:color="auto"/>
              <w:bottom w:val="nil"/>
              <w:right w:val="single" w:sz="4" w:space="0" w:color="auto"/>
            </w:tcBorders>
            <w:shd w:val="clear" w:color="auto" w:fill="000000" w:themeFill="text1"/>
            <w:vAlign w:val="center"/>
          </w:tcPr>
          <w:p w14:paraId="07271083" w14:textId="18D39D6E" w:rsidR="00E94A98" w:rsidRPr="00E94A98" w:rsidRDefault="00E94A98" w:rsidP="00E94A98">
            <w:pPr>
              <w:jc w:val="right"/>
              <w:rPr>
                <w:rFonts w:ascii="Arial" w:hAnsi="Arial" w:cs="Arial"/>
                <w:sz w:val="20"/>
                <w:szCs w:val="20"/>
              </w:rPr>
            </w:pPr>
          </w:p>
        </w:tc>
        <w:tc>
          <w:tcPr>
            <w:tcW w:w="1260" w:type="dxa"/>
            <w:tcBorders>
              <w:top w:val="nil"/>
              <w:left w:val="single" w:sz="4" w:space="0" w:color="auto"/>
              <w:bottom w:val="nil"/>
              <w:right w:val="single" w:sz="4" w:space="0" w:color="auto"/>
            </w:tcBorders>
            <w:shd w:val="clear" w:color="auto" w:fill="000000" w:themeFill="text1"/>
            <w:vAlign w:val="center"/>
          </w:tcPr>
          <w:p w14:paraId="00B12BAA" w14:textId="36C403D4" w:rsidR="00E94A98" w:rsidRPr="00E94A98" w:rsidRDefault="00E94A98" w:rsidP="00E94A98">
            <w:pPr>
              <w:jc w:val="right"/>
              <w:rPr>
                <w:rFonts w:ascii="Arial" w:hAnsi="Arial" w:cs="Arial"/>
                <w:sz w:val="20"/>
                <w:szCs w:val="20"/>
              </w:rPr>
            </w:pPr>
          </w:p>
        </w:tc>
        <w:tc>
          <w:tcPr>
            <w:tcW w:w="823" w:type="dxa"/>
            <w:tcBorders>
              <w:top w:val="nil"/>
              <w:left w:val="single" w:sz="4" w:space="0" w:color="auto"/>
              <w:bottom w:val="nil"/>
              <w:right w:val="single" w:sz="4" w:space="0" w:color="auto"/>
            </w:tcBorders>
            <w:shd w:val="clear" w:color="auto" w:fill="000000" w:themeFill="text1"/>
            <w:vAlign w:val="center"/>
          </w:tcPr>
          <w:p w14:paraId="27E4C378" w14:textId="455A5D8F" w:rsidR="00E94A98" w:rsidRPr="00E94A98" w:rsidRDefault="00E94A98" w:rsidP="00E94A98">
            <w:pPr>
              <w:jc w:val="right"/>
              <w:rPr>
                <w:rFonts w:ascii="Arial" w:hAnsi="Arial" w:cs="Arial"/>
                <w:sz w:val="20"/>
                <w:szCs w:val="20"/>
              </w:rPr>
            </w:pPr>
          </w:p>
        </w:tc>
      </w:tr>
      <w:tr w:rsidR="008B2846" w14:paraId="425B86A5" w14:textId="77777777" w:rsidTr="007357E6">
        <w:trPr>
          <w:trHeight w:val="144"/>
          <w:jc w:val="center"/>
        </w:trPr>
        <w:tc>
          <w:tcPr>
            <w:tcW w:w="4135" w:type="dxa"/>
            <w:tcBorders>
              <w:top w:val="nil"/>
              <w:left w:val="single" w:sz="4" w:space="0" w:color="auto"/>
              <w:bottom w:val="nil"/>
              <w:right w:val="single" w:sz="4" w:space="0" w:color="auto"/>
            </w:tcBorders>
            <w:vAlign w:val="center"/>
          </w:tcPr>
          <w:p w14:paraId="39D6DA47" w14:textId="1CA68065" w:rsidR="00E94A98" w:rsidRPr="007E0A27" w:rsidRDefault="008B2846" w:rsidP="00E94A98">
            <w:pPr>
              <w:keepNext/>
              <w:keepLines/>
              <w:rPr>
                <w:rFonts w:ascii="Arial" w:hAnsi="Arial" w:cs="Arial"/>
                <w:sz w:val="20"/>
                <w:szCs w:val="20"/>
              </w:rPr>
            </w:pPr>
            <w:r>
              <w:rPr>
                <w:rFonts w:ascii="Arial" w:hAnsi="Arial" w:cs="Arial"/>
                <w:sz w:val="20"/>
                <w:szCs w:val="20"/>
              </w:rPr>
              <w:t xml:space="preserve">Entertainment, </w:t>
            </w:r>
            <w:r w:rsidR="00E94A98" w:rsidRPr="007E0A27">
              <w:rPr>
                <w:rFonts w:ascii="Arial" w:hAnsi="Arial" w:cs="Arial"/>
                <w:sz w:val="20"/>
                <w:szCs w:val="20"/>
              </w:rPr>
              <w:t>Government</w:t>
            </w:r>
          </w:p>
        </w:tc>
        <w:tc>
          <w:tcPr>
            <w:tcW w:w="1170" w:type="dxa"/>
            <w:tcBorders>
              <w:top w:val="nil"/>
              <w:left w:val="single" w:sz="4" w:space="0" w:color="auto"/>
              <w:bottom w:val="nil"/>
              <w:right w:val="single" w:sz="4" w:space="0" w:color="auto"/>
            </w:tcBorders>
            <w:shd w:val="clear" w:color="auto" w:fill="000000" w:themeFill="text1"/>
            <w:vAlign w:val="center"/>
          </w:tcPr>
          <w:p w14:paraId="0280AD33" w14:textId="22F67871" w:rsidR="00E94A98" w:rsidRPr="00E94A98" w:rsidRDefault="00E94A98" w:rsidP="00E94A98">
            <w:pPr>
              <w:jc w:val="right"/>
              <w:rPr>
                <w:rFonts w:ascii="Arial" w:hAnsi="Arial" w:cs="Arial"/>
                <w:sz w:val="20"/>
                <w:szCs w:val="20"/>
              </w:rPr>
            </w:pPr>
          </w:p>
        </w:tc>
        <w:tc>
          <w:tcPr>
            <w:tcW w:w="1260" w:type="dxa"/>
            <w:tcBorders>
              <w:top w:val="nil"/>
              <w:left w:val="single" w:sz="4" w:space="0" w:color="auto"/>
              <w:bottom w:val="nil"/>
              <w:right w:val="single" w:sz="4" w:space="0" w:color="auto"/>
            </w:tcBorders>
            <w:shd w:val="clear" w:color="auto" w:fill="000000" w:themeFill="text1"/>
            <w:vAlign w:val="center"/>
          </w:tcPr>
          <w:p w14:paraId="1D813FC4" w14:textId="5E9C0847" w:rsidR="00E94A98" w:rsidRPr="00E94A98" w:rsidRDefault="00E94A98" w:rsidP="00E94A98">
            <w:pPr>
              <w:jc w:val="right"/>
              <w:rPr>
                <w:rFonts w:ascii="Arial" w:hAnsi="Arial" w:cs="Arial"/>
                <w:sz w:val="20"/>
                <w:szCs w:val="20"/>
              </w:rPr>
            </w:pPr>
          </w:p>
        </w:tc>
        <w:tc>
          <w:tcPr>
            <w:tcW w:w="1170" w:type="dxa"/>
            <w:tcBorders>
              <w:top w:val="nil"/>
              <w:left w:val="single" w:sz="4" w:space="0" w:color="auto"/>
              <w:bottom w:val="nil"/>
              <w:right w:val="single" w:sz="4" w:space="0" w:color="auto"/>
            </w:tcBorders>
            <w:shd w:val="clear" w:color="auto" w:fill="000000" w:themeFill="text1"/>
            <w:vAlign w:val="center"/>
          </w:tcPr>
          <w:p w14:paraId="02780B90" w14:textId="5688F140" w:rsidR="00E94A98" w:rsidRPr="00E94A98" w:rsidRDefault="00E94A98" w:rsidP="00E94A98">
            <w:pPr>
              <w:jc w:val="right"/>
              <w:rPr>
                <w:rFonts w:ascii="Arial" w:hAnsi="Arial" w:cs="Arial"/>
                <w:sz w:val="20"/>
                <w:szCs w:val="20"/>
              </w:rPr>
            </w:pPr>
          </w:p>
        </w:tc>
        <w:tc>
          <w:tcPr>
            <w:tcW w:w="1260" w:type="dxa"/>
            <w:tcBorders>
              <w:top w:val="nil"/>
              <w:left w:val="single" w:sz="4" w:space="0" w:color="auto"/>
              <w:bottom w:val="nil"/>
              <w:right w:val="single" w:sz="4" w:space="0" w:color="auto"/>
            </w:tcBorders>
            <w:shd w:val="clear" w:color="auto" w:fill="000000" w:themeFill="text1"/>
            <w:vAlign w:val="center"/>
          </w:tcPr>
          <w:p w14:paraId="5260571F" w14:textId="5364A133" w:rsidR="00E94A98" w:rsidRPr="00E94A98" w:rsidRDefault="00E94A98" w:rsidP="00E94A98">
            <w:pPr>
              <w:jc w:val="right"/>
              <w:rPr>
                <w:rFonts w:ascii="Arial" w:hAnsi="Arial" w:cs="Arial"/>
                <w:sz w:val="20"/>
                <w:szCs w:val="20"/>
              </w:rPr>
            </w:pPr>
          </w:p>
        </w:tc>
        <w:tc>
          <w:tcPr>
            <w:tcW w:w="823" w:type="dxa"/>
            <w:tcBorders>
              <w:top w:val="nil"/>
              <w:left w:val="single" w:sz="4" w:space="0" w:color="auto"/>
              <w:bottom w:val="nil"/>
              <w:right w:val="single" w:sz="4" w:space="0" w:color="auto"/>
            </w:tcBorders>
            <w:shd w:val="clear" w:color="auto" w:fill="000000" w:themeFill="text1"/>
            <w:vAlign w:val="center"/>
          </w:tcPr>
          <w:p w14:paraId="54FB28DD" w14:textId="2CB5BEC7" w:rsidR="00E94A98" w:rsidRPr="00E94A98" w:rsidRDefault="00E94A98" w:rsidP="00E94A98">
            <w:pPr>
              <w:jc w:val="right"/>
              <w:rPr>
                <w:rFonts w:ascii="Arial" w:hAnsi="Arial" w:cs="Arial"/>
                <w:sz w:val="20"/>
                <w:szCs w:val="20"/>
              </w:rPr>
            </w:pPr>
          </w:p>
        </w:tc>
      </w:tr>
      <w:tr w:rsidR="008B2846" w14:paraId="3A523436" w14:textId="77777777" w:rsidTr="007357E6">
        <w:trPr>
          <w:trHeight w:val="144"/>
          <w:jc w:val="center"/>
        </w:trPr>
        <w:tc>
          <w:tcPr>
            <w:tcW w:w="4135" w:type="dxa"/>
            <w:tcBorders>
              <w:top w:val="nil"/>
              <w:left w:val="single" w:sz="4" w:space="0" w:color="auto"/>
              <w:bottom w:val="nil"/>
              <w:right w:val="single" w:sz="4" w:space="0" w:color="auto"/>
            </w:tcBorders>
            <w:vAlign w:val="center"/>
          </w:tcPr>
          <w:p w14:paraId="4C49320C" w14:textId="77777777" w:rsidR="00E94A98" w:rsidRPr="007E0A27" w:rsidRDefault="00E94A98" w:rsidP="00E94A98">
            <w:pPr>
              <w:keepNext/>
              <w:keepLines/>
              <w:rPr>
                <w:rFonts w:ascii="Arial" w:hAnsi="Arial" w:cs="Arial"/>
                <w:sz w:val="20"/>
                <w:szCs w:val="20"/>
              </w:rPr>
            </w:pPr>
            <w:r w:rsidRPr="007E0A27">
              <w:rPr>
                <w:rFonts w:ascii="Arial" w:hAnsi="Arial" w:cs="Arial"/>
                <w:sz w:val="20"/>
                <w:szCs w:val="20"/>
              </w:rPr>
              <w:t>Other or Unknown</w:t>
            </w:r>
          </w:p>
        </w:tc>
        <w:tc>
          <w:tcPr>
            <w:tcW w:w="1170" w:type="dxa"/>
            <w:tcBorders>
              <w:top w:val="nil"/>
              <w:left w:val="single" w:sz="4" w:space="0" w:color="auto"/>
              <w:bottom w:val="nil"/>
              <w:right w:val="single" w:sz="4" w:space="0" w:color="auto"/>
            </w:tcBorders>
            <w:shd w:val="clear" w:color="auto" w:fill="000000" w:themeFill="text1"/>
            <w:vAlign w:val="center"/>
          </w:tcPr>
          <w:p w14:paraId="2F11C27D" w14:textId="607A9D7F" w:rsidR="00E94A98" w:rsidRPr="00E94A98" w:rsidRDefault="00E94A98" w:rsidP="00E94A98">
            <w:pPr>
              <w:jc w:val="right"/>
              <w:rPr>
                <w:rFonts w:ascii="Arial" w:hAnsi="Arial" w:cs="Arial"/>
                <w:sz w:val="20"/>
                <w:szCs w:val="20"/>
              </w:rPr>
            </w:pPr>
          </w:p>
        </w:tc>
        <w:tc>
          <w:tcPr>
            <w:tcW w:w="1260" w:type="dxa"/>
            <w:tcBorders>
              <w:top w:val="nil"/>
              <w:left w:val="single" w:sz="4" w:space="0" w:color="auto"/>
              <w:bottom w:val="nil"/>
              <w:right w:val="single" w:sz="4" w:space="0" w:color="auto"/>
            </w:tcBorders>
            <w:shd w:val="clear" w:color="auto" w:fill="000000" w:themeFill="text1"/>
            <w:vAlign w:val="center"/>
          </w:tcPr>
          <w:p w14:paraId="575EFDDD" w14:textId="03549F94" w:rsidR="00E94A98" w:rsidRPr="00E94A98" w:rsidRDefault="00E94A98" w:rsidP="00E94A98">
            <w:pPr>
              <w:jc w:val="right"/>
              <w:rPr>
                <w:rFonts w:ascii="Arial" w:hAnsi="Arial" w:cs="Arial"/>
                <w:sz w:val="20"/>
                <w:szCs w:val="20"/>
              </w:rPr>
            </w:pPr>
          </w:p>
        </w:tc>
        <w:tc>
          <w:tcPr>
            <w:tcW w:w="1170" w:type="dxa"/>
            <w:tcBorders>
              <w:top w:val="nil"/>
              <w:left w:val="single" w:sz="4" w:space="0" w:color="auto"/>
              <w:bottom w:val="nil"/>
              <w:right w:val="single" w:sz="4" w:space="0" w:color="auto"/>
            </w:tcBorders>
            <w:shd w:val="clear" w:color="auto" w:fill="000000" w:themeFill="text1"/>
            <w:vAlign w:val="center"/>
          </w:tcPr>
          <w:p w14:paraId="723DF9EC" w14:textId="1CBC6AA9" w:rsidR="00E94A98" w:rsidRPr="00E94A98" w:rsidRDefault="00E94A98" w:rsidP="00E94A98">
            <w:pPr>
              <w:jc w:val="right"/>
              <w:rPr>
                <w:rFonts w:ascii="Arial" w:hAnsi="Arial" w:cs="Arial"/>
                <w:sz w:val="20"/>
                <w:szCs w:val="20"/>
              </w:rPr>
            </w:pPr>
          </w:p>
        </w:tc>
        <w:tc>
          <w:tcPr>
            <w:tcW w:w="1260" w:type="dxa"/>
            <w:tcBorders>
              <w:top w:val="nil"/>
              <w:left w:val="single" w:sz="4" w:space="0" w:color="auto"/>
              <w:bottom w:val="nil"/>
              <w:right w:val="single" w:sz="4" w:space="0" w:color="auto"/>
            </w:tcBorders>
            <w:shd w:val="clear" w:color="auto" w:fill="000000" w:themeFill="text1"/>
            <w:vAlign w:val="center"/>
          </w:tcPr>
          <w:p w14:paraId="4EA9CF7D" w14:textId="4F3AC5A0" w:rsidR="00E94A98" w:rsidRPr="00E94A98" w:rsidRDefault="00E94A98" w:rsidP="00E94A98">
            <w:pPr>
              <w:jc w:val="right"/>
              <w:rPr>
                <w:rFonts w:ascii="Arial" w:hAnsi="Arial" w:cs="Arial"/>
                <w:sz w:val="20"/>
                <w:szCs w:val="20"/>
              </w:rPr>
            </w:pPr>
          </w:p>
        </w:tc>
        <w:tc>
          <w:tcPr>
            <w:tcW w:w="823" w:type="dxa"/>
            <w:tcBorders>
              <w:top w:val="nil"/>
              <w:left w:val="single" w:sz="4" w:space="0" w:color="auto"/>
              <w:bottom w:val="nil"/>
              <w:right w:val="single" w:sz="4" w:space="0" w:color="auto"/>
            </w:tcBorders>
            <w:shd w:val="clear" w:color="auto" w:fill="000000" w:themeFill="text1"/>
            <w:vAlign w:val="center"/>
          </w:tcPr>
          <w:p w14:paraId="6389D8E2" w14:textId="64774910" w:rsidR="00E94A98" w:rsidRPr="00E94A98" w:rsidRDefault="00E94A98" w:rsidP="00E94A98">
            <w:pPr>
              <w:jc w:val="right"/>
              <w:rPr>
                <w:rFonts w:ascii="Arial" w:hAnsi="Arial" w:cs="Arial"/>
                <w:sz w:val="20"/>
                <w:szCs w:val="20"/>
              </w:rPr>
            </w:pPr>
          </w:p>
        </w:tc>
      </w:tr>
      <w:tr w:rsidR="008B2846" w14:paraId="54B8AA88" w14:textId="77777777" w:rsidTr="008B2846">
        <w:trPr>
          <w:trHeight w:val="144"/>
          <w:jc w:val="center"/>
        </w:trPr>
        <w:tc>
          <w:tcPr>
            <w:tcW w:w="4135" w:type="dxa"/>
            <w:tcBorders>
              <w:top w:val="nil"/>
              <w:left w:val="single" w:sz="4" w:space="0" w:color="auto"/>
              <w:bottom w:val="single" w:sz="4" w:space="0" w:color="auto"/>
              <w:right w:val="single" w:sz="4" w:space="0" w:color="auto"/>
            </w:tcBorders>
          </w:tcPr>
          <w:p w14:paraId="7EA9DAD9" w14:textId="77777777" w:rsidR="00E94A98" w:rsidRPr="007E0A27" w:rsidRDefault="00E94A98" w:rsidP="00E94A98">
            <w:pPr>
              <w:keepNext/>
              <w:keepLines/>
              <w:rPr>
                <w:rFonts w:ascii="Arial" w:hAnsi="Arial" w:cs="Arial"/>
                <w:b/>
                <w:sz w:val="20"/>
                <w:szCs w:val="20"/>
              </w:rPr>
            </w:pPr>
            <w:r w:rsidRPr="007E0A27">
              <w:rPr>
                <w:rFonts w:ascii="Arial" w:hAnsi="Arial" w:cs="Arial"/>
                <w:b/>
                <w:sz w:val="20"/>
                <w:szCs w:val="20"/>
              </w:rPr>
              <w:t>Total</w:t>
            </w:r>
          </w:p>
        </w:tc>
        <w:tc>
          <w:tcPr>
            <w:tcW w:w="1170" w:type="dxa"/>
            <w:tcBorders>
              <w:top w:val="nil"/>
              <w:left w:val="single" w:sz="4" w:space="0" w:color="auto"/>
              <w:bottom w:val="single" w:sz="4" w:space="0" w:color="auto"/>
              <w:right w:val="single" w:sz="4" w:space="0" w:color="auto"/>
            </w:tcBorders>
            <w:vAlign w:val="center"/>
          </w:tcPr>
          <w:p w14:paraId="553DB1DD" w14:textId="460FFF39" w:rsidR="00E94A98" w:rsidRPr="00E94A98" w:rsidRDefault="00E94A98" w:rsidP="00E94A98">
            <w:pPr>
              <w:jc w:val="right"/>
              <w:rPr>
                <w:rFonts w:ascii="Arial" w:hAnsi="Arial" w:cs="Arial"/>
                <w:b/>
                <w:sz w:val="20"/>
                <w:szCs w:val="20"/>
              </w:rPr>
            </w:pPr>
            <w:r w:rsidRPr="00E94A98">
              <w:rPr>
                <w:rFonts w:ascii="Arial" w:hAnsi="Arial" w:cs="Arial"/>
                <w:b/>
                <w:sz w:val="20"/>
                <w:szCs w:val="20"/>
              </w:rPr>
              <w:t>331</w:t>
            </w:r>
          </w:p>
        </w:tc>
        <w:tc>
          <w:tcPr>
            <w:tcW w:w="1260" w:type="dxa"/>
            <w:tcBorders>
              <w:top w:val="nil"/>
              <w:left w:val="single" w:sz="4" w:space="0" w:color="auto"/>
              <w:bottom w:val="single" w:sz="4" w:space="0" w:color="auto"/>
              <w:right w:val="single" w:sz="4" w:space="0" w:color="auto"/>
            </w:tcBorders>
            <w:vAlign w:val="center"/>
          </w:tcPr>
          <w:p w14:paraId="3ADD4F04" w14:textId="2ED9B6D4" w:rsidR="00E94A98" w:rsidRPr="00E94A98" w:rsidRDefault="00E94A98" w:rsidP="00E94A98">
            <w:pPr>
              <w:jc w:val="right"/>
              <w:rPr>
                <w:rFonts w:ascii="Arial" w:hAnsi="Arial" w:cs="Arial"/>
                <w:b/>
                <w:sz w:val="20"/>
                <w:szCs w:val="20"/>
              </w:rPr>
            </w:pPr>
            <w:r w:rsidRPr="00E94A98">
              <w:rPr>
                <w:rFonts w:ascii="Arial" w:hAnsi="Arial" w:cs="Arial"/>
                <w:b/>
                <w:sz w:val="20"/>
                <w:szCs w:val="20"/>
              </w:rPr>
              <w:t>343.6</w:t>
            </w:r>
          </w:p>
        </w:tc>
        <w:tc>
          <w:tcPr>
            <w:tcW w:w="1170" w:type="dxa"/>
            <w:tcBorders>
              <w:top w:val="nil"/>
              <w:left w:val="single" w:sz="4" w:space="0" w:color="auto"/>
              <w:bottom w:val="single" w:sz="4" w:space="0" w:color="auto"/>
              <w:right w:val="single" w:sz="4" w:space="0" w:color="auto"/>
            </w:tcBorders>
            <w:vAlign w:val="center"/>
          </w:tcPr>
          <w:p w14:paraId="572D1D3A" w14:textId="0796EAAD" w:rsidR="00E94A98" w:rsidRPr="00E94A98" w:rsidRDefault="00E94A98" w:rsidP="00E94A98">
            <w:pPr>
              <w:jc w:val="right"/>
              <w:rPr>
                <w:rFonts w:ascii="Arial" w:hAnsi="Arial" w:cs="Arial"/>
                <w:b/>
                <w:sz w:val="20"/>
                <w:szCs w:val="20"/>
              </w:rPr>
            </w:pPr>
            <w:r w:rsidRPr="00E94A98">
              <w:rPr>
                <w:rFonts w:ascii="Arial" w:hAnsi="Arial" w:cs="Arial"/>
                <w:b/>
                <w:sz w:val="20"/>
                <w:szCs w:val="20"/>
              </w:rPr>
              <w:t>148.2</w:t>
            </w:r>
          </w:p>
        </w:tc>
        <w:tc>
          <w:tcPr>
            <w:tcW w:w="1260" w:type="dxa"/>
            <w:tcBorders>
              <w:top w:val="nil"/>
              <w:left w:val="single" w:sz="4" w:space="0" w:color="auto"/>
              <w:bottom w:val="single" w:sz="4" w:space="0" w:color="auto"/>
              <w:right w:val="single" w:sz="4" w:space="0" w:color="auto"/>
            </w:tcBorders>
            <w:vAlign w:val="center"/>
          </w:tcPr>
          <w:p w14:paraId="78C70C90" w14:textId="6A4341FF" w:rsidR="00E94A98" w:rsidRPr="00E94A98" w:rsidRDefault="00E94A98" w:rsidP="00E94A98">
            <w:pPr>
              <w:jc w:val="right"/>
              <w:rPr>
                <w:rFonts w:ascii="Arial" w:hAnsi="Arial" w:cs="Arial"/>
                <w:b/>
                <w:sz w:val="20"/>
                <w:szCs w:val="20"/>
              </w:rPr>
            </w:pPr>
            <w:r w:rsidRPr="00E94A98">
              <w:rPr>
                <w:rFonts w:ascii="Arial" w:hAnsi="Arial" w:cs="Arial"/>
                <w:b/>
                <w:sz w:val="20"/>
                <w:szCs w:val="20"/>
              </w:rPr>
              <w:t>195.4</w:t>
            </w:r>
          </w:p>
        </w:tc>
        <w:tc>
          <w:tcPr>
            <w:tcW w:w="823" w:type="dxa"/>
            <w:tcBorders>
              <w:top w:val="nil"/>
              <w:left w:val="single" w:sz="4" w:space="0" w:color="auto"/>
              <w:bottom w:val="single" w:sz="4" w:space="0" w:color="auto"/>
              <w:right w:val="single" w:sz="4" w:space="0" w:color="auto"/>
            </w:tcBorders>
            <w:vAlign w:val="center"/>
          </w:tcPr>
          <w:p w14:paraId="0739EFFE" w14:textId="26BCE8A6" w:rsidR="00E94A98" w:rsidRPr="00E94A98" w:rsidRDefault="00E94A98" w:rsidP="00E94A98">
            <w:pPr>
              <w:jc w:val="right"/>
              <w:rPr>
                <w:rFonts w:ascii="Arial" w:hAnsi="Arial" w:cs="Arial"/>
                <w:b/>
                <w:sz w:val="20"/>
                <w:szCs w:val="20"/>
              </w:rPr>
            </w:pPr>
            <w:r w:rsidRPr="00E94A98">
              <w:rPr>
                <w:rFonts w:ascii="Arial" w:hAnsi="Arial" w:cs="Arial"/>
                <w:b/>
                <w:sz w:val="20"/>
                <w:szCs w:val="20"/>
              </w:rPr>
              <w:t>56.9%</w:t>
            </w:r>
          </w:p>
        </w:tc>
      </w:tr>
    </w:tbl>
    <w:p w14:paraId="4B72F348" w14:textId="77777777" w:rsidR="00321E09" w:rsidRDefault="00321E09" w:rsidP="002C417F">
      <w:pPr>
        <w:keepNext/>
        <w:keepLines/>
      </w:pPr>
    </w:p>
    <w:p w14:paraId="6241ABF6" w14:textId="483E2662" w:rsidR="00E265AA" w:rsidRDefault="002F29FA" w:rsidP="002F29FA">
      <w:r>
        <w:t>Table 4.4 summarizes</w:t>
      </w:r>
      <w:r w:rsidR="00972362">
        <w:t xml:space="preserve"> </w:t>
      </w:r>
      <w:r w:rsidR="00E265AA">
        <w:t>May 3</w:t>
      </w:r>
      <w:r w:rsidR="00E265AA" w:rsidRPr="00E265AA">
        <w:rPr>
          <w:vertAlign w:val="superscript"/>
        </w:rPr>
        <w:t>rd</w:t>
      </w:r>
      <w:r w:rsidR="00E265AA">
        <w:t xml:space="preserve"> </w:t>
      </w:r>
      <w:r>
        <w:t xml:space="preserve">load impacts by local capacity area (LCA), </w:t>
      </w:r>
      <w:r w:rsidR="007357E6" w:rsidRPr="007357E6">
        <w:rPr>
          <w:highlight w:val="black"/>
        </w:rPr>
        <w:t>--------------------------------------------------------------------------------------------------------------------------------------------------------------------------------------------------</w:t>
      </w:r>
    </w:p>
    <w:p w14:paraId="13EBDCC3" w14:textId="2A9B8E66" w:rsidR="002F29FA" w:rsidRDefault="002F29FA" w:rsidP="002F29FA">
      <w:r>
        <w:t xml:space="preserve">  </w:t>
      </w:r>
    </w:p>
    <w:p w14:paraId="5A80E2E1" w14:textId="1CF62AF8" w:rsidR="00321E09" w:rsidRPr="00852320" w:rsidRDefault="00321E09" w:rsidP="00D575C8">
      <w:pPr>
        <w:pStyle w:val="TableCaption"/>
        <w:keepNext/>
        <w:keepLines/>
      </w:pPr>
      <w:bookmarkStart w:id="78" w:name="_Toc508800218"/>
      <w:r w:rsidRPr="00852320">
        <w:t>Table 4.</w:t>
      </w:r>
      <w:r w:rsidR="00F02657" w:rsidRPr="00852320">
        <w:t>4</w:t>
      </w:r>
      <w:r w:rsidRPr="00852320">
        <w:t xml:space="preserve">: </w:t>
      </w:r>
      <w:r w:rsidR="00E94A98">
        <w:t xml:space="preserve">May </w:t>
      </w:r>
      <w:r w:rsidR="0000204E">
        <w:t>3, 201</w:t>
      </w:r>
      <w:r w:rsidR="00E94A98">
        <w:t>7</w:t>
      </w:r>
      <w:r w:rsidR="00972362">
        <w:t xml:space="preserve"> </w:t>
      </w:r>
      <w:r w:rsidRPr="00852320">
        <w:t xml:space="preserve">Load Impacts – PG&amp;E </w:t>
      </w:r>
      <w:r w:rsidR="00972362">
        <w:t>BI</w:t>
      </w:r>
      <w:r w:rsidRPr="00852320">
        <w:t xml:space="preserve">P, </w:t>
      </w:r>
      <w:r w:rsidRPr="00852320">
        <w:rPr>
          <w:i/>
        </w:rPr>
        <w:t>by LCA</w:t>
      </w:r>
      <w:bookmarkEnd w:id="78"/>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1372"/>
        <w:gridCol w:w="1482"/>
        <w:gridCol w:w="1240"/>
        <w:gridCol w:w="1416"/>
        <w:gridCol w:w="1275"/>
      </w:tblGrid>
      <w:tr w:rsidR="00321E09" w14:paraId="02652936" w14:textId="77777777" w:rsidTr="006B55F6">
        <w:trPr>
          <w:trHeight w:val="627"/>
          <w:jc w:val="center"/>
        </w:trPr>
        <w:tc>
          <w:tcPr>
            <w:tcW w:w="1850" w:type="dxa"/>
            <w:tcBorders>
              <w:bottom w:val="single" w:sz="4" w:space="0" w:color="auto"/>
              <w:right w:val="single" w:sz="4" w:space="0" w:color="FFFFFF" w:themeColor="background1"/>
            </w:tcBorders>
            <w:shd w:val="clear" w:color="auto" w:fill="0C2577"/>
            <w:vAlign w:val="center"/>
          </w:tcPr>
          <w:p w14:paraId="1D8CBADD" w14:textId="77777777" w:rsidR="00321E09" w:rsidRPr="007E0A27" w:rsidRDefault="00321E09" w:rsidP="00D575C8">
            <w:pPr>
              <w:keepNext/>
              <w:keepLines/>
              <w:jc w:val="center"/>
              <w:rPr>
                <w:rFonts w:ascii="Arial" w:hAnsi="Arial" w:cs="Arial"/>
                <w:b/>
                <w:sz w:val="20"/>
                <w:szCs w:val="20"/>
              </w:rPr>
            </w:pPr>
            <w:r w:rsidRPr="007E0A27">
              <w:rPr>
                <w:rFonts w:ascii="Arial" w:hAnsi="Arial" w:cs="Arial"/>
                <w:b/>
                <w:sz w:val="20"/>
                <w:szCs w:val="20"/>
              </w:rPr>
              <w:t>Local Capacity Area</w:t>
            </w:r>
          </w:p>
        </w:tc>
        <w:tc>
          <w:tcPr>
            <w:tcW w:w="1372"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3AE9840E" w14:textId="3305213C" w:rsidR="00321E09" w:rsidRPr="007E0A27" w:rsidRDefault="002F29FA" w:rsidP="00536281">
            <w:pPr>
              <w:keepNext/>
              <w:keepLines/>
              <w:jc w:val="center"/>
              <w:rPr>
                <w:rFonts w:ascii="Arial" w:hAnsi="Arial" w:cs="Arial"/>
                <w:b/>
                <w:sz w:val="20"/>
                <w:szCs w:val="20"/>
              </w:rPr>
            </w:pPr>
            <w:r>
              <w:rPr>
                <w:rFonts w:ascii="Arial" w:hAnsi="Arial" w:cs="Arial"/>
                <w:b/>
                <w:sz w:val="20"/>
                <w:szCs w:val="20"/>
              </w:rPr>
              <w:t># of Service A</w:t>
            </w:r>
            <w:r w:rsidR="00536281">
              <w:rPr>
                <w:rFonts w:ascii="Arial" w:hAnsi="Arial" w:cs="Arial"/>
                <w:b/>
                <w:sz w:val="20"/>
                <w:szCs w:val="20"/>
              </w:rPr>
              <w:t>greement</w:t>
            </w:r>
            <w:r>
              <w:rPr>
                <w:rFonts w:ascii="Arial" w:hAnsi="Arial" w:cs="Arial"/>
                <w:b/>
                <w:sz w:val="20"/>
                <w:szCs w:val="20"/>
              </w:rPr>
              <w:t>s</w:t>
            </w:r>
          </w:p>
        </w:tc>
        <w:tc>
          <w:tcPr>
            <w:tcW w:w="1482"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2B7BE9C6" w14:textId="77777777" w:rsidR="00321E09" w:rsidRPr="007E0A27" w:rsidRDefault="00321E09" w:rsidP="00D575C8">
            <w:pPr>
              <w:keepNext/>
              <w:keepLines/>
              <w:jc w:val="center"/>
              <w:rPr>
                <w:rFonts w:ascii="Arial" w:hAnsi="Arial" w:cs="Arial"/>
                <w:b/>
                <w:sz w:val="20"/>
                <w:szCs w:val="20"/>
              </w:rPr>
            </w:pPr>
            <w:r w:rsidRPr="007E0A27">
              <w:rPr>
                <w:rFonts w:ascii="Arial" w:hAnsi="Arial" w:cs="Arial"/>
                <w:b/>
                <w:sz w:val="20"/>
                <w:szCs w:val="20"/>
              </w:rPr>
              <w:t>Estimated Reference Load (MW)</w:t>
            </w:r>
          </w:p>
        </w:tc>
        <w:tc>
          <w:tcPr>
            <w:tcW w:w="1240"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4BC41EDB" w14:textId="77777777" w:rsidR="00321E09" w:rsidRPr="007E0A27" w:rsidRDefault="00321E09" w:rsidP="00D575C8">
            <w:pPr>
              <w:keepNext/>
              <w:keepLines/>
              <w:jc w:val="center"/>
              <w:rPr>
                <w:rFonts w:ascii="Arial" w:hAnsi="Arial" w:cs="Arial"/>
                <w:b/>
                <w:sz w:val="20"/>
                <w:szCs w:val="20"/>
              </w:rPr>
            </w:pPr>
            <w:r w:rsidRPr="007E0A27">
              <w:rPr>
                <w:rFonts w:ascii="Arial" w:hAnsi="Arial" w:cs="Arial"/>
                <w:b/>
                <w:sz w:val="20"/>
                <w:szCs w:val="20"/>
              </w:rPr>
              <w:t>Observed Load (MW)</w:t>
            </w:r>
          </w:p>
        </w:tc>
        <w:tc>
          <w:tcPr>
            <w:tcW w:w="1416"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3DE08DCD" w14:textId="0C94D554" w:rsidR="00321E09" w:rsidRPr="007E0A27" w:rsidRDefault="00321E09" w:rsidP="00D575C8">
            <w:pPr>
              <w:keepNext/>
              <w:keepLines/>
              <w:jc w:val="center"/>
              <w:rPr>
                <w:rFonts w:ascii="Arial" w:hAnsi="Arial" w:cs="Arial"/>
                <w:b/>
                <w:sz w:val="20"/>
                <w:szCs w:val="20"/>
              </w:rPr>
            </w:pPr>
            <w:r w:rsidRPr="007E0A27">
              <w:rPr>
                <w:rFonts w:ascii="Arial" w:hAnsi="Arial" w:cs="Arial"/>
                <w:b/>
                <w:sz w:val="20"/>
                <w:szCs w:val="20"/>
              </w:rPr>
              <w:t>Estimated Load Impact (MW)</w:t>
            </w:r>
          </w:p>
        </w:tc>
        <w:tc>
          <w:tcPr>
            <w:tcW w:w="1275" w:type="dxa"/>
            <w:tcBorders>
              <w:left w:val="single" w:sz="4" w:space="0" w:color="FFFFFF" w:themeColor="background1"/>
              <w:bottom w:val="single" w:sz="4" w:space="0" w:color="auto"/>
            </w:tcBorders>
            <w:shd w:val="clear" w:color="auto" w:fill="0C2577"/>
            <w:vAlign w:val="center"/>
          </w:tcPr>
          <w:p w14:paraId="6AACCDEF" w14:textId="77777777" w:rsidR="00321E09" w:rsidRPr="007E0A27" w:rsidRDefault="00321E09" w:rsidP="00D575C8">
            <w:pPr>
              <w:keepNext/>
              <w:keepLines/>
              <w:jc w:val="center"/>
              <w:rPr>
                <w:rFonts w:ascii="Arial" w:hAnsi="Arial" w:cs="Arial"/>
                <w:b/>
                <w:sz w:val="20"/>
                <w:szCs w:val="20"/>
              </w:rPr>
            </w:pPr>
            <w:r w:rsidRPr="007E0A27">
              <w:rPr>
                <w:rFonts w:ascii="Arial" w:hAnsi="Arial" w:cs="Arial"/>
                <w:b/>
                <w:sz w:val="20"/>
                <w:szCs w:val="20"/>
              </w:rPr>
              <w:t>% LI</w:t>
            </w:r>
          </w:p>
        </w:tc>
      </w:tr>
      <w:tr w:rsidR="008B2846" w14:paraId="76AAB2E3" w14:textId="77777777" w:rsidTr="007357E6">
        <w:trPr>
          <w:trHeight w:val="271"/>
          <w:jc w:val="center"/>
        </w:trPr>
        <w:tc>
          <w:tcPr>
            <w:tcW w:w="1850" w:type="dxa"/>
            <w:tcBorders>
              <w:top w:val="single" w:sz="4" w:space="0" w:color="auto"/>
              <w:left w:val="single" w:sz="4" w:space="0" w:color="auto"/>
              <w:bottom w:val="nil"/>
              <w:right w:val="single" w:sz="4" w:space="0" w:color="auto"/>
            </w:tcBorders>
            <w:vAlign w:val="center"/>
          </w:tcPr>
          <w:p w14:paraId="7DEAB8DB" w14:textId="77777777" w:rsidR="004A325D" w:rsidRPr="00312499" w:rsidRDefault="004A325D" w:rsidP="004A325D">
            <w:pPr>
              <w:keepNext/>
              <w:keepLines/>
              <w:rPr>
                <w:rFonts w:ascii="Arial" w:hAnsi="Arial" w:cs="Arial"/>
                <w:sz w:val="20"/>
                <w:szCs w:val="20"/>
              </w:rPr>
            </w:pPr>
            <w:r w:rsidRPr="00312499">
              <w:rPr>
                <w:rFonts w:ascii="Arial" w:hAnsi="Arial" w:cs="Arial"/>
                <w:sz w:val="20"/>
                <w:szCs w:val="20"/>
              </w:rPr>
              <w:t>Greater Bay Area</w:t>
            </w:r>
          </w:p>
        </w:tc>
        <w:tc>
          <w:tcPr>
            <w:tcW w:w="1372" w:type="dxa"/>
            <w:tcBorders>
              <w:top w:val="single" w:sz="4" w:space="0" w:color="auto"/>
              <w:left w:val="single" w:sz="4" w:space="0" w:color="auto"/>
              <w:bottom w:val="nil"/>
              <w:right w:val="single" w:sz="4" w:space="0" w:color="auto"/>
            </w:tcBorders>
            <w:shd w:val="clear" w:color="auto" w:fill="000000" w:themeFill="text1"/>
            <w:vAlign w:val="center"/>
          </w:tcPr>
          <w:p w14:paraId="30C2AB43" w14:textId="1C0AFC0B" w:rsidR="004A325D" w:rsidRPr="004A325D" w:rsidRDefault="004A325D" w:rsidP="008B2846">
            <w:pPr>
              <w:jc w:val="center"/>
              <w:rPr>
                <w:rFonts w:ascii="Arial" w:hAnsi="Arial" w:cs="Arial"/>
                <w:sz w:val="20"/>
                <w:szCs w:val="20"/>
              </w:rPr>
            </w:pPr>
          </w:p>
        </w:tc>
        <w:tc>
          <w:tcPr>
            <w:tcW w:w="1482" w:type="dxa"/>
            <w:tcBorders>
              <w:top w:val="single" w:sz="4" w:space="0" w:color="auto"/>
              <w:left w:val="single" w:sz="4" w:space="0" w:color="auto"/>
              <w:bottom w:val="nil"/>
              <w:right w:val="single" w:sz="4" w:space="0" w:color="auto"/>
            </w:tcBorders>
            <w:shd w:val="clear" w:color="auto" w:fill="000000" w:themeFill="text1"/>
            <w:vAlign w:val="center"/>
          </w:tcPr>
          <w:p w14:paraId="373103EE" w14:textId="6A38B1D4" w:rsidR="004A325D" w:rsidRPr="004A325D" w:rsidRDefault="004A325D" w:rsidP="008B2846">
            <w:pPr>
              <w:jc w:val="center"/>
              <w:rPr>
                <w:rFonts w:ascii="Arial" w:hAnsi="Arial" w:cs="Arial"/>
                <w:sz w:val="20"/>
                <w:szCs w:val="20"/>
              </w:rPr>
            </w:pPr>
          </w:p>
        </w:tc>
        <w:tc>
          <w:tcPr>
            <w:tcW w:w="1240" w:type="dxa"/>
            <w:tcBorders>
              <w:top w:val="single" w:sz="4" w:space="0" w:color="auto"/>
              <w:left w:val="single" w:sz="4" w:space="0" w:color="auto"/>
              <w:bottom w:val="nil"/>
              <w:right w:val="single" w:sz="4" w:space="0" w:color="auto"/>
            </w:tcBorders>
            <w:shd w:val="clear" w:color="auto" w:fill="000000" w:themeFill="text1"/>
            <w:vAlign w:val="center"/>
          </w:tcPr>
          <w:p w14:paraId="6E708C16" w14:textId="7BDD0C95" w:rsidR="004A325D" w:rsidRPr="004A325D" w:rsidRDefault="004A325D" w:rsidP="008B2846">
            <w:pPr>
              <w:jc w:val="center"/>
              <w:rPr>
                <w:rFonts w:ascii="Arial" w:hAnsi="Arial" w:cs="Arial"/>
                <w:sz w:val="20"/>
                <w:szCs w:val="20"/>
              </w:rPr>
            </w:pPr>
          </w:p>
        </w:tc>
        <w:tc>
          <w:tcPr>
            <w:tcW w:w="1416" w:type="dxa"/>
            <w:tcBorders>
              <w:top w:val="single" w:sz="4" w:space="0" w:color="auto"/>
              <w:left w:val="single" w:sz="4" w:space="0" w:color="auto"/>
              <w:bottom w:val="nil"/>
              <w:right w:val="single" w:sz="4" w:space="0" w:color="auto"/>
            </w:tcBorders>
            <w:shd w:val="clear" w:color="auto" w:fill="000000" w:themeFill="text1"/>
            <w:vAlign w:val="center"/>
          </w:tcPr>
          <w:p w14:paraId="6EBB24E5" w14:textId="7EE6EB47" w:rsidR="004A325D" w:rsidRPr="004A325D" w:rsidRDefault="004A325D" w:rsidP="008B2846">
            <w:pPr>
              <w:jc w:val="center"/>
              <w:rPr>
                <w:rFonts w:ascii="Arial" w:hAnsi="Arial" w:cs="Arial"/>
                <w:sz w:val="20"/>
                <w:szCs w:val="20"/>
              </w:rPr>
            </w:pPr>
          </w:p>
        </w:tc>
        <w:tc>
          <w:tcPr>
            <w:tcW w:w="1275" w:type="dxa"/>
            <w:tcBorders>
              <w:top w:val="single" w:sz="4" w:space="0" w:color="auto"/>
              <w:left w:val="single" w:sz="4" w:space="0" w:color="auto"/>
              <w:bottom w:val="nil"/>
              <w:right w:val="single" w:sz="4" w:space="0" w:color="auto"/>
            </w:tcBorders>
            <w:shd w:val="clear" w:color="auto" w:fill="000000" w:themeFill="text1"/>
            <w:vAlign w:val="center"/>
          </w:tcPr>
          <w:p w14:paraId="1C835D9B" w14:textId="55E64B63" w:rsidR="004A325D" w:rsidRPr="004A325D" w:rsidRDefault="004A325D" w:rsidP="008B2846">
            <w:pPr>
              <w:jc w:val="center"/>
              <w:rPr>
                <w:rFonts w:ascii="Arial" w:hAnsi="Arial" w:cs="Arial"/>
                <w:sz w:val="20"/>
                <w:szCs w:val="20"/>
              </w:rPr>
            </w:pPr>
          </w:p>
        </w:tc>
      </w:tr>
      <w:tr w:rsidR="008B2846" w14:paraId="2055A301" w14:textId="77777777" w:rsidTr="007357E6">
        <w:trPr>
          <w:trHeight w:val="271"/>
          <w:jc w:val="center"/>
        </w:trPr>
        <w:tc>
          <w:tcPr>
            <w:tcW w:w="1850" w:type="dxa"/>
            <w:tcBorders>
              <w:top w:val="nil"/>
              <w:left w:val="single" w:sz="4" w:space="0" w:color="auto"/>
              <w:bottom w:val="nil"/>
              <w:right w:val="single" w:sz="4" w:space="0" w:color="auto"/>
            </w:tcBorders>
            <w:vAlign w:val="center"/>
          </w:tcPr>
          <w:p w14:paraId="0D9D956B" w14:textId="77777777" w:rsidR="004A325D" w:rsidRPr="00312499" w:rsidRDefault="004A325D" w:rsidP="004A325D">
            <w:pPr>
              <w:keepNext/>
              <w:keepLines/>
              <w:rPr>
                <w:rFonts w:ascii="Arial" w:hAnsi="Arial" w:cs="Arial"/>
                <w:sz w:val="20"/>
                <w:szCs w:val="20"/>
              </w:rPr>
            </w:pPr>
            <w:r w:rsidRPr="00312499">
              <w:rPr>
                <w:rFonts w:ascii="Arial" w:hAnsi="Arial" w:cs="Arial"/>
                <w:sz w:val="20"/>
                <w:szCs w:val="20"/>
              </w:rPr>
              <w:t xml:space="preserve">Greater </w:t>
            </w:r>
            <w:smartTag w:uri="urn:schemas-microsoft-com:office:smarttags" w:element="place">
              <w:smartTag w:uri="urn:schemas-microsoft-com:office:smarttags" w:element="City">
                <w:r w:rsidRPr="00312499">
                  <w:rPr>
                    <w:rFonts w:ascii="Arial" w:hAnsi="Arial" w:cs="Arial"/>
                    <w:sz w:val="20"/>
                    <w:szCs w:val="20"/>
                  </w:rPr>
                  <w:t>Fresno</w:t>
                </w:r>
              </w:smartTag>
            </w:smartTag>
          </w:p>
        </w:tc>
        <w:tc>
          <w:tcPr>
            <w:tcW w:w="1372" w:type="dxa"/>
            <w:tcBorders>
              <w:top w:val="nil"/>
              <w:left w:val="single" w:sz="4" w:space="0" w:color="auto"/>
              <w:bottom w:val="nil"/>
              <w:right w:val="single" w:sz="4" w:space="0" w:color="auto"/>
            </w:tcBorders>
            <w:shd w:val="clear" w:color="auto" w:fill="000000" w:themeFill="text1"/>
            <w:vAlign w:val="center"/>
          </w:tcPr>
          <w:p w14:paraId="7179F386" w14:textId="4716006F" w:rsidR="004A325D" w:rsidRPr="004A325D" w:rsidRDefault="004A325D" w:rsidP="008B2846">
            <w:pPr>
              <w:jc w:val="center"/>
              <w:rPr>
                <w:rFonts w:ascii="Arial" w:hAnsi="Arial" w:cs="Arial"/>
                <w:sz w:val="20"/>
                <w:szCs w:val="20"/>
              </w:rPr>
            </w:pPr>
          </w:p>
        </w:tc>
        <w:tc>
          <w:tcPr>
            <w:tcW w:w="1482" w:type="dxa"/>
            <w:tcBorders>
              <w:top w:val="nil"/>
              <w:left w:val="single" w:sz="4" w:space="0" w:color="auto"/>
              <w:bottom w:val="nil"/>
              <w:right w:val="single" w:sz="4" w:space="0" w:color="auto"/>
            </w:tcBorders>
            <w:shd w:val="clear" w:color="auto" w:fill="000000" w:themeFill="text1"/>
            <w:vAlign w:val="center"/>
          </w:tcPr>
          <w:p w14:paraId="6E804AB9" w14:textId="72BC9110" w:rsidR="004A325D" w:rsidRPr="004A325D" w:rsidRDefault="004A325D" w:rsidP="008B2846">
            <w:pPr>
              <w:jc w:val="center"/>
              <w:rPr>
                <w:rFonts w:ascii="Arial" w:hAnsi="Arial" w:cs="Arial"/>
                <w:sz w:val="20"/>
                <w:szCs w:val="20"/>
              </w:rPr>
            </w:pPr>
          </w:p>
        </w:tc>
        <w:tc>
          <w:tcPr>
            <w:tcW w:w="1240" w:type="dxa"/>
            <w:tcBorders>
              <w:top w:val="nil"/>
              <w:left w:val="single" w:sz="4" w:space="0" w:color="auto"/>
              <w:bottom w:val="nil"/>
              <w:right w:val="single" w:sz="4" w:space="0" w:color="auto"/>
            </w:tcBorders>
            <w:shd w:val="clear" w:color="auto" w:fill="000000" w:themeFill="text1"/>
            <w:vAlign w:val="center"/>
          </w:tcPr>
          <w:p w14:paraId="4ABF7C8A" w14:textId="5C8B9AC0" w:rsidR="004A325D" w:rsidRPr="004A325D" w:rsidRDefault="004A325D" w:rsidP="008B2846">
            <w:pPr>
              <w:jc w:val="center"/>
              <w:rPr>
                <w:rFonts w:ascii="Arial" w:hAnsi="Arial" w:cs="Arial"/>
                <w:sz w:val="20"/>
                <w:szCs w:val="20"/>
              </w:rPr>
            </w:pPr>
          </w:p>
        </w:tc>
        <w:tc>
          <w:tcPr>
            <w:tcW w:w="1416" w:type="dxa"/>
            <w:tcBorders>
              <w:top w:val="nil"/>
              <w:left w:val="single" w:sz="4" w:space="0" w:color="auto"/>
              <w:bottom w:val="nil"/>
              <w:right w:val="single" w:sz="4" w:space="0" w:color="auto"/>
            </w:tcBorders>
            <w:shd w:val="clear" w:color="auto" w:fill="000000" w:themeFill="text1"/>
            <w:vAlign w:val="center"/>
          </w:tcPr>
          <w:p w14:paraId="2F19922D" w14:textId="3556C335" w:rsidR="004A325D" w:rsidRPr="004A325D" w:rsidRDefault="004A325D" w:rsidP="008B2846">
            <w:pPr>
              <w:jc w:val="center"/>
              <w:rPr>
                <w:rFonts w:ascii="Arial" w:hAnsi="Arial" w:cs="Arial"/>
                <w:sz w:val="20"/>
                <w:szCs w:val="20"/>
              </w:rPr>
            </w:pPr>
          </w:p>
        </w:tc>
        <w:tc>
          <w:tcPr>
            <w:tcW w:w="1275" w:type="dxa"/>
            <w:tcBorders>
              <w:top w:val="nil"/>
              <w:left w:val="single" w:sz="4" w:space="0" w:color="auto"/>
              <w:bottom w:val="nil"/>
              <w:right w:val="single" w:sz="4" w:space="0" w:color="auto"/>
            </w:tcBorders>
            <w:shd w:val="clear" w:color="auto" w:fill="000000" w:themeFill="text1"/>
            <w:vAlign w:val="center"/>
          </w:tcPr>
          <w:p w14:paraId="03098C3D" w14:textId="6C73E64B" w:rsidR="004A325D" w:rsidRPr="004A325D" w:rsidRDefault="004A325D" w:rsidP="008B2846">
            <w:pPr>
              <w:jc w:val="center"/>
              <w:rPr>
                <w:rFonts w:ascii="Arial" w:hAnsi="Arial" w:cs="Arial"/>
                <w:sz w:val="20"/>
                <w:szCs w:val="20"/>
              </w:rPr>
            </w:pPr>
          </w:p>
        </w:tc>
      </w:tr>
      <w:tr w:rsidR="008B2846" w14:paraId="1AF17E21" w14:textId="77777777" w:rsidTr="007357E6">
        <w:trPr>
          <w:trHeight w:val="271"/>
          <w:jc w:val="center"/>
        </w:trPr>
        <w:tc>
          <w:tcPr>
            <w:tcW w:w="1850" w:type="dxa"/>
            <w:tcBorders>
              <w:top w:val="nil"/>
              <w:left w:val="single" w:sz="4" w:space="0" w:color="auto"/>
              <w:bottom w:val="nil"/>
              <w:right w:val="single" w:sz="4" w:space="0" w:color="auto"/>
            </w:tcBorders>
            <w:vAlign w:val="center"/>
          </w:tcPr>
          <w:p w14:paraId="105B229A" w14:textId="77777777" w:rsidR="004A325D" w:rsidRPr="00312499" w:rsidRDefault="004A325D" w:rsidP="004A325D">
            <w:pPr>
              <w:keepNext/>
              <w:keepLines/>
              <w:rPr>
                <w:rFonts w:ascii="Arial" w:hAnsi="Arial" w:cs="Arial"/>
                <w:sz w:val="20"/>
                <w:szCs w:val="20"/>
              </w:rPr>
            </w:pPr>
            <w:r w:rsidRPr="00312499">
              <w:rPr>
                <w:rFonts w:ascii="Arial" w:hAnsi="Arial" w:cs="Arial"/>
                <w:sz w:val="20"/>
                <w:szCs w:val="20"/>
              </w:rPr>
              <w:t>Humboldt</w:t>
            </w:r>
          </w:p>
        </w:tc>
        <w:tc>
          <w:tcPr>
            <w:tcW w:w="1372" w:type="dxa"/>
            <w:tcBorders>
              <w:top w:val="nil"/>
              <w:left w:val="single" w:sz="4" w:space="0" w:color="auto"/>
              <w:bottom w:val="nil"/>
              <w:right w:val="single" w:sz="4" w:space="0" w:color="auto"/>
            </w:tcBorders>
            <w:shd w:val="clear" w:color="auto" w:fill="000000" w:themeFill="text1"/>
            <w:vAlign w:val="center"/>
          </w:tcPr>
          <w:p w14:paraId="134B3222" w14:textId="370A8648" w:rsidR="004A325D" w:rsidRPr="004A325D" w:rsidRDefault="004A325D" w:rsidP="008B2846">
            <w:pPr>
              <w:jc w:val="center"/>
              <w:rPr>
                <w:rFonts w:ascii="Arial" w:hAnsi="Arial" w:cs="Arial"/>
                <w:sz w:val="20"/>
                <w:szCs w:val="20"/>
              </w:rPr>
            </w:pPr>
          </w:p>
        </w:tc>
        <w:tc>
          <w:tcPr>
            <w:tcW w:w="1482" w:type="dxa"/>
            <w:tcBorders>
              <w:top w:val="nil"/>
              <w:left w:val="single" w:sz="4" w:space="0" w:color="auto"/>
              <w:bottom w:val="nil"/>
              <w:right w:val="single" w:sz="4" w:space="0" w:color="auto"/>
            </w:tcBorders>
            <w:shd w:val="clear" w:color="auto" w:fill="000000" w:themeFill="text1"/>
            <w:vAlign w:val="center"/>
          </w:tcPr>
          <w:p w14:paraId="46CF0111" w14:textId="64FC1DA7" w:rsidR="004A325D" w:rsidRPr="004A325D" w:rsidRDefault="004A325D" w:rsidP="008B2846">
            <w:pPr>
              <w:jc w:val="center"/>
              <w:rPr>
                <w:rFonts w:ascii="Arial" w:hAnsi="Arial" w:cs="Arial"/>
                <w:sz w:val="20"/>
                <w:szCs w:val="20"/>
              </w:rPr>
            </w:pPr>
          </w:p>
        </w:tc>
        <w:tc>
          <w:tcPr>
            <w:tcW w:w="1240" w:type="dxa"/>
            <w:tcBorders>
              <w:top w:val="nil"/>
              <w:left w:val="single" w:sz="4" w:space="0" w:color="auto"/>
              <w:bottom w:val="nil"/>
              <w:right w:val="single" w:sz="4" w:space="0" w:color="auto"/>
            </w:tcBorders>
            <w:shd w:val="clear" w:color="auto" w:fill="000000" w:themeFill="text1"/>
            <w:vAlign w:val="center"/>
          </w:tcPr>
          <w:p w14:paraId="0E68C44B" w14:textId="111B7249" w:rsidR="004A325D" w:rsidRPr="004A325D" w:rsidRDefault="004A325D" w:rsidP="008B2846">
            <w:pPr>
              <w:jc w:val="center"/>
              <w:rPr>
                <w:rFonts w:ascii="Arial" w:hAnsi="Arial" w:cs="Arial"/>
                <w:sz w:val="20"/>
                <w:szCs w:val="20"/>
              </w:rPr>
            </w:pPr>
          </w:p>
        </w:tc>
        <w:tc>
          <w:tcPr>
            <w:tcW w:w="1416" w:type="dxa"/>
            <w:tcBorders>
              <w:top w:val="nil"/>
              <w:left w:val="single" w:sz="4" w:space="0" w:color="auto"/>
              <w:bottom w:val="nil"/>
              <w:right w:val="single" w:sz="4" w:space="0" w:color="auto"/>
            </w:tcBorders>
            <w:shd w:val="clear" w:color="auto" w:fill="000000" w:themeFill="text1"/>
            <w:vAlign w:val="center"/>
          </w:tcPr>
          <w:p w14:paraId="643F1FED" w14:textId="61FBBA00" w:rsidR="004A325D" w:rsidRPr="004A325D" w:rsidRDefault="004A325D" w:rsidP="008B2846">
            <w:pPr>
              <w:jc w:val="center"/>
              <w:rPr>
                <w:rFonts w:ascii="Arial" w:hAnsi="Arial" w:cs="Arial"/>
                <w:sz w:val="20"/>
                <w:szCs w:val="20"/>
              </w:rPr>
            </w:pPr>
          </w:p>
        </w:tc>
        <w:tc>
          <w:tcPr>
            <w:tcW w:w="1275" w:type="dxa"/>
            <w:tcBorders>
              <w:top w:val="nil"/>
              <w:left w:val="single" w:sz="4" w:space="0" w:color="auto"/>
              <w:bottom w:val="nil"/>
              <w:right w:val="single" w:sz="4" w:space="0" w:color="auto"/>
            </w:tcBorders>
            <w:shd w:val="clear" w:color="auto" w:fill="000000" w:themeFill="text1"/>
            <w:vAlign w:val="center"/>
          </w:tcPr>
          <w:p w14:paraId="64B8A727" w14:textId="321B7246" w:rsidR="004A325D" w:rsidRPr="004A325D" w:rsidRDefault="004A325D" w:rsidP="008B2846">
            <w:pPr>
              <w:jc w:val="center"/>
              <w:rPr>
                <w:rFonts w:ascii="Arial" w:hAnsi="Arial" w:cs="Arial"/>
                <w:sz w:val="20"/>
                <w:szCs w:val="20"/>
              </w:rPr>
            </w:pPr>
          </w:p>
        </w:tc>
      </w:tr>
      <w:tr w:rsidR="008B2846" w14:paraId="35F4D8E3" w14:textId="77777777" w:rsidTr="007357E6">
        <w:trPr>
          <w:trHeight w:val="271"/>
          <w:jc w:val="center"/>
        </w:trPr>
        <w:tc>
          <w:tcPr>
            <w:tcW w:w="1850" w:type="dxa"/>
            <w:tcBorders>
              <w:top w:val="nil"/>
              <w:left w:val="single" w:sz="4" w:space="0" w:color="auto"/>
              <w:bottom w:val="nil"/>
              <w:right w:val="single" w:sz="4" w:space="0" w:color="auto"/>
            </w:tcBorders>
            <w:vAlign w:val="center"/>
          </w:tcPr>
          <w:p w14:paraId="3D806E3D" w14:textId="77777777" w:rsidR="004A325D" w:rsidRPr="00312499" w:rsidRDefault="004A325D" w:rsidP="004A325D">
            <w:pPr>
              <w:keepNext/>
              <w:keepLines/>
              <w:rPr>
                <w:rFonts w:ascii="Arial" w:hAnsi="Arial" w:cs="Arial"/>
                <w:sz w:val="20"/>
                <w:szCs w:val="20"/>
              </w:rPr>
            </w:pPr>
            <w:r w:rsidRPr="00312499">
              <w:rPr>
                <w:rFonts w:ascii="Arial" w:hAnsi="Arial" w:cs="Arial"/>
                <w:sz w:val="20"/>
                <w:szCs w:val="20"/>
              </w:rPr>
              <w:t>Kern</w:t>
            </w:r>
          </w:p>
        </w:tc>
        <w:tc>
          <w:tcPr>
            <w:tcW w:w="1372" w:type="dxa"/>
            <w:tcBorders>
              <w:top w:val="nil"/>
              <w:left w:val="single" w:sz="4" w:space="0" w:color="auto"/>
              <w:bottom w:val="nil"/>
              <w:right w:val="single" w:sz="4" w:space="0" w:color="auto"/>
            </w:tcBorders>
            <w:shd w:val="clear" w:color="auto" w:fill="000000" w:themeFill="text1"/>
            <w:vAlign w:val="center"/>
          </w:tcPr>
          <w:p w14:paraId="0311E11F" w14:textId="493B766E" w:rsidR="004A325D" w:rsidRPr="004A325D" w:rsidRDefault="004A325D" w:rsidP="008B2846">
            <w:pPr>
              <w:jc w:val="center"/>
              <w:rPr>
                <w:rFonts w:ascii="Arial" w:hAnsi="Arial" w:cs="Arial"/>
                <w:sz w:val="20"/>
                <w:szCs w:val="20"/>
              </w:rPr>
            </w:pPr>
          </w:p>
        </w:tc>
        <w:tc>
          <w:tcPr>
            <w:tcW w:w="1482" w:type="dxa"/>
            <w:tcBorders>
              <w:top w:val="nil"/>
              <w:left w:val="single" w:sz="4" w:space="0" w:color="auto"/>
              <w:bottom w:val="nil"/>
              <w:right w:val="single" w:sz="4" w:space="0" w:color="auto"/>
            </w:tcBorders>
            <w:shd w:val="clear" w:color="auto" w:fill="000000" w:themeFill="text1"/>
            <w:vAlign w:val="center"/>
          </w:tcPr>
          <w:p w14:paraId="5FF61643" w14:textId="52CACD86" w:rsidR="004A325D" w:rsidRPr="004A325D" w:rsidRDefault="004A325D" w:rsidP="008B2846">
            <w:pPr>
              <w:jc w:val="center"/>
              <w:rPr>
                <w:rFonts w:ascii="Arial" w:hAnsi="Arial" w:cs="Arial"/>
                <w:sz w:val="20"/>
                <w:szCs w:val="20"/>
              </w:rPr>
            </w:pPr>
          </w:p>
        </w:tc>
        <w:tc>
          <w:tcPr>
            <w:tcW w:w="1240" w:type="dxa"/>
            <w:tcBorders>
              <w:top w:val="nil"/>
              <w:left w:val="single" w:sz="4" w:space="0" w:color="auto"/>
              <w:bottom w:val="nil"/>
              <w:right w:val="single" w:sz="4" w:space="0" w:color="auto"/>
            </w:tcBorders>
            <w:shd w:val="clear" w:color="auto" w:fill="000000" w:themeFill="text1"/>
            <w:vAlign w:val="center"/>
          </w:tcPr>
          <w:p w14:paraId="7EC0E46D" w14:textId="0C6D2901" w:rsidR="004A325D" w:rsidRPr="004A325D" w:rsidRDefault="004A325D" w:rsidP="008B2846">
            <w:pPr>
              <w:jc w:val="center"/>
              <w:rPr>
                <w:rFonts w:ascii="Arial" w:hAnsi="Arial" w:cs="Arial"/>
                <w:sz w:val="20"/>
                <w:szCs w:val="20"/>
              </w:rPr>
            </w:pPr>
          </w:p>
        </w:tc>
        <w:tc>
          <w:tcPr>
            <w:tcW w:w="1416" w:type="dxa"/>
            <w:tcBorders>
              <w:top w:val="nil"/>
              <w:left w:val="single" w:sz="4" w:space="0" w:color="auto"/>
              <w:bottom w:val="nil"/>
              <w:right w:val="single" w:sz="4" w:space="0" w:color="auto"/>
            </w:tcBorders>
            <w:shd w:val="clear" w:color="auto" w:fill="000000" w:themeFill="text1"/>
            <w:vAlign w:val="center"/>
          </w:tcPr>
          <w:p w14:paraId="49082381" w14:textId="688333F5" w:rsidR="004A325D" w:rsidRPr="004A325D" w:rsidRDefault="004A325D" w:rsidP="008B2846">
            <w:pPr>
              <w:jc w:val="center"/>
              <w:rPr>
                <w:rFonts w:ascii="Arial" w:hAnsi="Arial" w:cs="Arial"/>
                <w:sz w:val="20"/>
                <w:szCs w:val="20"/>
              </w:rPr>
            </w:pPr>
          </w:p>
        </w:tc>
        <w:tc>
          <w:tcPr>
            <w:tcW w:w="1275" w:type="dxa"/>
            <w:tcBorders>
              <w:top w:val="nil"/>
              <w:left w:val="single" w:sz="4" w:space="0" w:color="auto"/>
              <w:bottom w:val="nil"/>
              <w:right w:val="single" w:sz="4" w:space="0" w:color="auto"/>
            </w:tcBorders>
            <w:shd w:val="clear" w:color="auto" w:fill="000000" w:themeFill="text1"/>
            <w:vAlign w:val="center"/>
          </w:tcPr>
          <w:p w14:paraId="5846FA15" w14:textId="29CE403D" w:rsidR="004A325D" w:rsidRPr="004A325D" w:rsidRDefault="004A325D" w:rsidP="008B2846">
            <w:pPr>
              <w:jc w:val="center"/>
              <w:rPr>
                <w:rFonts w:ascii="Arial" w:hAnsi="Arial" w:cs="Arial"/>
                <w:sz w:val="20"/>
                <w:szCs w:val="20"/>
              </w:rPr>
            </w:pPr>
          </w:p>
        </w:tc>
      </w:tr>
      <w:tr w:rsidR="008B2846" w14:paraId="4EB943A3" w14:textId="77777777" w:rsidTr="007357E6">
        <w:trPr>
          <w:trHeight w:val="271"/>
          <w:jc w:val="center"/>
        </w:trPr>
        <w:tc>
          <w:tcPr>
            <w:tcW w:w="1850" w:type="dxa"/>
            <w:tcBorders>
              <w:top w:val="nil"/>
              <w:left w:val="single" w:sz="4" w:space="0" w:color="auto"/>
              <w:bottom w:val="nil"/>
              <w:right w:val="single" w:sz="4" w:space="0" w:color="auto"/>
            </w:tcBorders>
            <w:vAlign w:val="center"/>
          </w:tcPr>
          <w:p w14:paraId="0D314D77" w14:textId="77777777" w:rsidR="004A325D" w:rsidRPr="00312499" w:rsidRDefault="004A325D" w:rsidP="004A325D">
            <w:pPr>
              <w:keepNext/>
              <w:keepLines/>
              <w:rPr>
                <w:rFonts w:ascii="Arial" w:hAnsi="Arial" w:cs="Arial"/>
                <w:sz w:val="20"/>
                <w:szCs w:val="20"/>
              </w:rPr>
            </w:pPr>
            <w:r w:rsidRPr="00312499">
              <w:rPr>
                <w:rFonts w:ascii="Arial" w:hAnsi="Arial" w:cs="Arial"/>
                <w:sz w:val="20"/>
                <w:szCs w:val="20"/>
              </w:rPr>
              <w:t>Northern Coast</w:t>
            </w:r>
          </w:p>
        </w:tc>
        <w:tc>
          <w:tcPr>
            <w:tcW w:w="1372" w:type="dxa"/>
            <w:tcBorders>
              <w:top w:val="nil"/>
              <w:left w:val="single" w:sz="4" w:space="0" w:color="auto"/>
              <w:bottom w:val="nil"/>
              <w:right w:val="single" w:sz="4" w:space="0" w:color="auto"/>
            </w:tcBorders>
            <w:shd w:val="clear" w:color="auto" w:fill="000000" w:themeFill="text1"/>
            <w:vAlign w:val="center"/>
          </w:tcPr>
          <w:p w14:paraId="37758F45" w14:textId="32447984" w:rsidR="004A325D" w:rsidRPr="004A325D" w:rsidRDefault="004A325D" w:rsidP="008B2846">
            <w:pPr>
              <w:jc w:val="center"/>
              <w:rPr>
                <w:rFonts w:ascii="Arial" w:hAnsi="Arial" w:cs="Arial"/>
                <w:sz w:val="20"/>
                <w:szCs w:val="20"/>
              </w:rPr>
            </w:pPr>
          </w:p>
        </w:tc>
        <w:tc>
          <w:tcPr>
            <w:tcW w:w="1482" w:type="dxa"/>
            <w:tcBorders>
              <w:top w:val="nil"/>
              <w:left w:val="single" w:sz="4" w:space="0" w:color="auto"/>
              <w:bottom w:val="nil"/>
              <w:right w:val="single" w:sz="4" w:space="0" w:color="auto"/>
            </w:tcBorders>
            <w:shd w:val="clear" w:color="auto" w:fill="000000" w:themeFill="text1"/>
            <w:vAlign w:val="center"/>
          </w:tcPr>
          <w:p w14:paraId="34061705" w14:textId="22A1BFB6" w:rsidR="004A325D" w:rsidRPr="004A325D" w:rsidRDefault="004A325D" w:rsidP="008B2846">
            <w:pPr>
              <w:jc w:val="center"/>
              <w:rPr>
                <w:rFonts w:ascii="Arial" w:hAnsi="Arial" w:cs="Arial"/>
                <w:sz w:val="20"/>
                <w:szCs w:val="20"/>
              </w:rPr>
            </w:pPr>
          </w:p>
        </w:tc>
        <w:tc>
          <w:tcPr>
            <w:tcW w:w="1240" w:type="dxa"/>
            <w:tcBorders>
              <w:top w:val="nil"/>
              <w:left w:val="single" w:sz="4" w:space="0" w:color="auto"/>
              <w:bottom w:val="nil"/>
              <w:right w:val="single" w:sz="4" w:space="0" w:color="auto"/>
            </w:tcBorders>
            <w:shd w:val="clear" w:color="auto" w:fill="000000" w:themeFill="text1"/>
            <w:vAlign w:val="center"/>
          </w:tcPr>
          <w:p w14:paraId="68ADE332" w14:textId="4C27818C" w:rsidR="004A325D" w:rsidRPr="004A325D" w:rsidRDefault="004A325D" w:rsidP="008B2846">
            <w:pPr>
              <w:jc w:val="center"/>
              <w:rPr>
                <w:rFonts w:ascii="Arial" w:hAnsi="Arial" w:cs="Arial"/>
                <w:sz w:val="20"/>
                <w:szCs w:val="20"/>
              </w:rPr>
            </w:pPr>
          </w:p>
        </w:tc>
        <w:tc>
          <w:tcPr>
            <w:tcW w:w="1416" w:type="dxa"/>
            <w:tcBorders>
              <w:top w:val="nil"/>
              <w:left w:val="single" w:sz="4" w:space="0" w:color="auto"/>
              <w:bottom w:val="nil"/>
              <w:right w:val="single" w:sz="4" w:space="0" w:color="auto"/>
            </w:tcBorders>
            <w:shd w:val="clear" w:color="auto" w:fill="000000" w:themeFill="text1"/>
            <w:vAlign w:val="center"/>
          </w:tcPr>
          <w:p w14:paraId="71F1E0D5" w14:textId="3EDD558B" w:rsidR="004A325D" w:rsidRPr="004A325D" w:rsidRDefault="004A325D" w:rsidP="008B2846">
            <w:pPr>
              <w:jc w:val="center"/>
              <w:rPr>
                <w:rFonts w:ascii="Arial" w:hAnsi="Arial" w:cs="Arial"/>
                <w:sz w:val="20"/>
                <w:szCs w:val="20"/>
              </w:rPr>
            </w:pPr>
          </w:p>
        </w:tc>
        <w:tc>
          <w:tcPr>
            <w:tcW w:w="1275" w:type="dxa"/>
            <w:tcBorders>
              <w:top w:val="nil"/>
              <w:left w:val="single" w:sz="4" w:space="0" w:color="auto"/>
              <w:bottom w:val="nil"/>
              <w:right w:val="single" w:sz="4" w:space="0" w:color="auto"/>
            </w:tcBorders>
            <w:shd w:val="clear" w:color="auto" w:fill="000000" w:themeFill="text1"/>
            <w:vAlign w:val="center"/>
          </w:tcPr>
          <w:p w14:paraId="674B4C41" w14:textId="093B3142" w:rsidR="004A325D" w:rsidRPr="004A325D" w:rsidRDefault="004A325D" w:rsidP="008B2846">
            <w:pPr>
              <w:jc w:val="center"/>
              <w:rPr>
                <w:rFonts w:ascii="Arial" w:hAnsi="Arial" w:cs="Arial"/>
                <w:sz w:val="20"/>
                <w:szCs w:val="20"/>
              </w:rPr>
            </w:pPr>
          </w:p>
        </w:tc>
      </w:tr>
      <w:tr w:rsidR="008B2846" w14:paraId="193C1951" w14:textId="77777777" w:rsidTr="008B2846">
        <w:trPr>
          <w:trHeight w:val="271"/>
          <w:jc w:val="center"/>
        </w:trPr>
        <w:tc>
          <w:tcPr>
            <w:tcW w:w="1850" w:type="dxa"/>
            <w:tcBorders>
              <w:top w:val="nil"/>
              <w:left w:val="single" w:sz="4" w:space="0" w:color="auto"/>
              <w:bottom w:val="nil"/>
              <w:right w:val="single" w:sz="4" w:space="0" w:color="auto"/>
            </w:tcBorders>
            <w:vAlign w:val="center"/>
          </w:tcPr>
          <w:p w14:paraId="34649EE1" w14:textId="77777777" w:rsidR="004A325D" w:rsidRPr="00312499" w:rsidRDefault="004A325D" w:rsidP="004A325D">
            <w:pPr>
              <w:keepNext/>
              <w:keepLines/>
              <w:rPr>
                <w:rFonts w:ascii="Arial" w:hAnsi="Arial" w:cs="Arial"/>
                <w:sz w:val="20"/>
                <w:szCs w:val="20"/>
              </w:rPr>
            </w:pPr>
            <w:r w:rsidRPr="00312499">
              <w:rPr>
                <w:rFonts w:ascii="Arial" w:hAnsi="Arial" w:cs="Arial"/>
                <w:sz w:val="20"/>
                <w:szCs w:val="20"/>
              </w:rPr>
              <w:t>Not in any LCA</w:t>
            </w:r>
          </w:p>
        </w:tc>
        <w:tc>
          <w:tcPr>
            <w:tcW w:w="1372" w:type="dxa"/>
            <w:tcBorders>
              <w:top w:val="nil"/>
              <w:left w:val="single" w:sz="4" w:space="0" w:color="auto"/>
              <w:bottom w:val="nil"/>
              <w:right w:val="single" w:sz="4" w:space="0" w:color="auto"/>
            </w:tcBorders>
            <w:vAlign w:val="center"/>
          </w:tcPr>
          <w:p w14:paraId="132FEF57" w14:textId="76DC7811" w:rsidR="004A325D" w:rsidRPr="004A325D" w:rsidRDefault="004A325D" w:rsidP="008B2846">
            <w:pPr>
              <w:jc w:val="center"/>
              <w:rPr>
                <w:rFonts w:ascii="Arial" w:hAnsi="Arial" w:cs="Arial"/>
                <w:sz w:val="20"/>
                <w:szCs w:val="20"/>
              </w:rPr>
            </w:pPr>
            <w:r w:rsidRPr="004A325D">
              <w:rPr>
                <w:rFonts w:ascii="Arial" w:hAnsi="Arial" w:cs="Arial"/>
                <w:sz w:val="20"/>
                <w:szCs w:val="20"/>
              </w:rPr>
              <w:t>109</w:t>
            </w:r>
          </w:p>
        </w:tc>
        <w:tc>
          <w:tcPr>
            <w:tcW w:w="1482" w:type="dxa"/>
            <w:tcBorders>
              <w:top w:val="nil"/>
              <w:left w:val="single" w:sz="4" w:space="0" w:color="auto"/>
              <w:bottom w:val="nil"/>
              <w:right w:val="single" w:sz="4" w:space="0" w:color="auto"/>
            </w:tcBorders>
            <w:vAlign w:val="center"/>
          </w:tcPr>
          <w:p w14:paraId="30FD88AA" w14:textId="5EDF4789" w:rsidR="004A325D" w:rsidRPr="004A325D" w:rsidRDefault="004A325D" w:rsidP="008B2846">
            <w:pPr>
              <w:jc w:val="center"/>
              <w:rPr>
                <w:rFonts w:ascii="Arial" w:hAnsi="Arial" w:cs="Arial"/>
                <w:sz w:val="20"/>
                <w:szCs w:val="20"/>
              </w:rPr>
            </w:pPr>
            <w:r w:rsidRPr="004A325D">
              <w:rPr>
                <w:rFonts w:ascii="Arial" w:hAnsi="Arial" w:cs="Arial"/>
                <w:sz w:val="20"/>
                <w:szCs w:val="20"/>
              </w:rPr>
              <w:t>107.8</w:t>
            </w:r>
          </w:p>
        </w:tc>
        <w:tc>
          <w:tcPr>
            <w:tcW w:w="1240" w:type="dxa"/>
            <w:tcBorders>
              <w:top w:val="nil"/>
              <w:left w:val="single" w:sz="4" w:space="0" w:color="auto"/>
              <w:bottom w:val="nil"/>
              <w:right w:val="single" w:sz="4" w:space="0" w:color="auto"/>
            </w:tcBorders>
            <w:vAlign w:val="center"/>
          </w:tcPr>
          <w:p w14:paraId="0970B41C" w14:textId="3D5DAC0E" w:rsidR="004A325D" w:rsidRPr="004A325D" w:rsidRDefault="004A325D" w:rsidP="008B2846">
            <w:pPr>
              <w:jc w:val="center"/>
              <w:rPr>
                <w:rFonts w:ascii="Arial" w:hAnsi="Arial" w:cs="Arial"/>
                <w:sz w:val="20"/>
                <w:szCs w:val="20"/>
              </w:rPr>
            </w:pPr>
            <w:r w:rsidRPr="004A325D">
              <w:rPr>
                <w:rFonts w:ascii="Arial" w:hAnsi="Arial" w:cs="Arial"/>
                <w:sz w:val="20"/>
                <w:szCs w:val="20"/>
              </w:rPr>
              <w:t>46.7</w:t>
            </w:r>
          </w:p>
        </w:tc>
        <w:tc>
          <w:tcPr>
            <w:tcW w:w="1416" w:type="dxa"/>
            <w:tcBorders>
              <w:top w:val="nil"/>
              <w:left w:val="single" w:sz="4" w:space="0" w:color="auto"/>
              <w:bottom w:val="nil"/>
              <w:right w:val="single" w:sz="4" w:space="0" w:color="auto"/>
            </w:tcBorders>
            <w:vAlign w:val="center"/>
          </w:tcPr>
          <w:p w14:paraId="43BA3B30" w14:textId="5303C0E8" w:rsidR="004A325D" w:rsidRPr="004A325D" w:rsidRDefault="004A325D" w:rsidP="008B2846">
            <w:pPr>
              <w:jc w:val="center"/>
              <w:rPr>
                <w:rFonts w:ascii="Arial" w:hAnsi="Arial" w:cs="Arial"/>
                <w:sz w:val="20"/>
                <w:szCs w:val="20"/>
              </w:rPr>
            </w:pPr>
            <w:r w:rsidRPr="004A325D">
              <w:rPr>
                <w:rFonts w:ascii="Arial" w:hAnsi="Arial" w:cs="Arial"/>
                <w:sz w:val="20"/>
                <w:szCs w:val="20"/>
              </w:rPr>
              <w:t>61.1</w:t>
            </w:r>
          </w:p>
        </w:tc>
        <w:tc>
          <w:tcPr>
            <w:tcW w:w="1275" w:type="dxa"/>
            <w:tcBorders>
              <w:top w:val="nil"/>
              <w:left w:val="single" w:sz="4" w:space="0" w:color="auto"/>
              <w:bottom w:val="nil"/>
              <w:right w:val="single" w:sz="4" w:space="0" w:color="auto"/>
            </w:tcBorders>
            <w:vAlign w:val="center"/>
          </w:tcPr>
          <w:p w14:paraId="5A7D6FEF" w14:textId="3F4FDF43" w:rsidR="004A325D" w:rsidRPr="004A325D" w:rsidRDefault="004A325D" w:rsidP="008B2846">
            <w:pPr>
              <w:jc w:val="center"/>
              <w:rPr>
                <w:rFonts w:ascii="Arial" w:hAnsi="Arial" w:cs="Arial"/>
                <w:sz w:val="20"/>
                <w:szCs w:val="20"/>
              </w:rPr>
            </w:pPr>
            <w:r w:rsidRPr="004A325D">
              <w:rPr>
                <w:rFonts w:ascii="Arial" w:hAnsi="Arial" w:cs="Arial"/>
                <w:sz w:val="20"/>
                <w:szCs w:val="20"/>
              </w:rPr>
              <w:t>56.7%</w:t>
            </w:r>
          </w:p>
        </w:tc>
      </w:tr>
      <w:tr w:rsidR="008B2846" w14:paraId="214E6D12" w14:textId="77777777" w:rsidTr="001B5F53">
        <w:trPr>
          <w:trHeight w:val="271"/>
          <w:jc w:val="center"/>
        </w:trPr>
        <w:tc>
          <w:tcPr>
            <w:tcW w:w="1850" w:type="dxa"/>
            <w:tcBorders>
              <w:top w:val="nil"/>
              <w:left w:val="single" w:sz="4" w:space="0" w:color="auto"/>
              <w:bottom w:val="nil"/>
              <w:right w:val="single" w:sz="4" w:space="0" w:color="auto"/>
            </w:tcBorders>
            <w:vAlign w:val="center"/>
          </w:tcPr>
          <w:p w14:paraId="31A3E4B6" w14:textId="77777777" w:rsidR="004A325D" w:rsidRPr="00312499" w:rsidRDefault="004A325D" w:rsidP="004A325D">
            <w:pPr>
              <w:keepNext/>
              <w:keepLines/>
              <w:rPr>
                <w:rFonts w:ascii="Arial" w:hAnsi="Arial" w:cs="Arial"/>
                <w:sz w:val="20"/>
                <w:szCs w:val="20"/>
              </w:rPr>
            </w:pPr>
            <w:r w:rsidRPr="00312499">
              <w:rPr>
                <w:rFonts w:ascii="Arial" w:hAnsi="Arial" w:cs="Arial"/>
                <w:sz w:val="20"/>
                <w:szCs w:val="20"/>
              </w:rPr>
              <w:t>Sierra</w:t>
            </w:r>
          </w:p>
        </w:tc>
        <w:tc>
          <w:tcPr>
            <w:tcW w:w="1372" w:type="dxa"/>
            <w:tcBorders>
              <w:top w:val="nil"/>
              <w:left w:val="single" w:sz="4" w:space="0" w:color="auto"/>
              <w:bottom w:val="nil"/>
              <w:right w:val="single" w:sz="4" w:space="0" w:color="auto"/>
            </w:tcBorders>
            <w:shd w:val="clear" w:color="auto" w:fill="auto"/>
            <w:vAlign w:val="center"/>
          </w:tcPr>
          <w:p w14:paraId="7789DB01" w14:textId="6622A68E" w:rsidR="004A325D" w:rsidRPr="004A325D" w:rsidRDefault="004A325D" w:rsidP="008B2846">
            <w:pPr>
              <w:jc w:val="center"/>
              <w:rPr>
                <w:rFonts w:ascii="Arial" w:hAnsi="Arial" w:cs="Arial"/>
                <w:sz w:val="20"/>
                <w:szCs w:val="20"/>
              </w:rPr>
            </w:pPr>
            <w:r w:rsidRPr="004A325D">
              <w:rPr>
                <w:rFonts w:ascii="Arial" w:hAnsi="Arial" w:cs="Arial"/>
                <w:sz w:val="20"/>
                <w:szCs w:val="20"/>
              </w:rPr>
              <w:t>20</w:t>
            </w:r>
          </w:p>
        </w:tc>
        <w:tc>
          <w:tcPr>
            <w:tcW w:w="1482" w:type="dxa"/>
            <w:tcBorders>
              <w:top w:val="nil"/>
              <w:left w:val="single" w:sz="4" w:space="0" w:color="auto"/>
              <w:bottom w:val="nil"/>
              <w:right w:val="single" w:sz="4" w:space="0" w:color="auto"/>
            </w:tcBorders>
            <w:shd w:val="clear" w:color="auto" w:fill="auto"/>
            <w:vAlign w:val="center"/>
          </w:tcPr>
          <w:p w14:paraId="7EA39ABD" w14:textId="28D4E722" w:rsidR="004A325D" w:rsidRPr="004A325D" w:rsidRDefault="004A325D" w:rsidP="008B2846">
            <w:pPr>
              <w:jc w:val="center"/>
              <w:rPr>
                <w:rFonts w:ascii="Arial" w:hAnsi="Arial" w:cs="Arial"/>
                <w:sz w:val="20"/>
                <w:szCs w:val="20"/>
              </w:rPr>
            </w:pPr>
            <w:r w:rsidRPr="004A325D">
              <w:rPr>
                <w:rFonts w:ascii="Arial" w:hAnsi="Arial" w:cs="Arial"/>
                <w:sz w:val="20"/>
                <w:szCs w:val="20"/>
              </w:rPr>
              <w:t>16.0</w:t>
            </w:r>
          </w:p>
        </w:tc>
        <w:tc>
          <w:tcPr>
            <w:tcW w:w="1240" w:type="dxa"/>
            <w:tcBorders>
              <w:top w:val="nil"/>
              <w:left w:val="single" w:sz="4" w:space="0" w:color="auto"/>
              <w:bottom w:val="nil"/>
              <w:right w:val="single" w:sz="4" w:space="0" w:color="auto"/>
            </w:tcBorders>
            <w:shd w:val="clear" w:color="auto" w:fill="auto"/>
            <w:vAlign w:val="center"/>
          </w:tcPr>
          <w:p w14:paraId="65743BB8" w14:textId="2BFDEEBD" w:rsidR="004A325D" w:rsidRPr="004A325D" w:rsidRDefault="004A325D" w:rsidP="008B2846">
            <w:pPr>
              <w:jc w:val="center"/>
              <w:rPr>
                <w:rFonts w:ascii="Arial" w:hAnsi="Arial" w:cs="Arial"/>
                <w:sz w:val="20"/>
                <w:szCs w:val="20"/>
              </w:rPr>
            </w:pPr>
            <w:r w:rsidRPr="004A325D">
              <w:rPr>
                <w:rFonts w:ascii="Arial" w:hAnsi="Arial" w:cs="Arial"/>
                <w:sz w:val="20"/>
                <w:szCs w:val="20"/>
              </w:rPr>
              <w:t>7.6</w:t>
            </w:r>
          </w:p>
        </w:tc>
        <w:tc>
          <w:tcPr>
            <w:tcW w:w="1416" w:type="dxa"/>
            <w:tcBorders>
              <w:top w:val="nil"/>
              <w:left w:val="single" w:sz="4" w:space="0" w:color="auto"/>
              <w:bottom w:val="nil"/>
              <w:right w:val="single" w:sz="4" w:space="0" w:color="auto"/>
            </w:tcBorders>
            <w:shd w:val="clear" w:color="auto" w:fill="auto"/>
            <w:vAlign w:val="center"/>
          </w:tcPr>
          <w:p w14:paraId="3723F3CF" w14:textId="0EF60533" w:rsidR="004A325D" w:rsidRPr="004A325D" w:rsidRDefault="004A325D" w:rsidP="008B2846">
            <w:pPr>
              <w:jc w:val="center"/>
              <w:rPr>
                <w:rFonts w:ascii="Arial" w:hAnsi="Arial" w:cs="Arial"/>
                <w:sz w:val="20"/>
                <w:szCs w:val="20"/>
              </w:rPr>
            </w:pPr>
            <w:r w:rsidRPr="004A325D">
              <w:rPr>
                <w:rFonts w:ascii="Arial" w:hAnsi="Arial" w:cs="Arial"/>
                <w:sz w:val="20"/>
                <w:szCs w:val="20"/>
              </w:rPr>
              <w:t>8.4</w:t>
            </w:r>
          </w:p>
        </w:tc>
        <w:tc>
          <w:tcPr>
            <w:tcW w:w="1275" w:type="dxa"/>
            <w:tcBorders>
              <w:top w:val="nil"/>
              <w:left w:val="single" w:sz="4" w:space="0" w:color="auto"/>
              <w:bottom w:val="nil"/>
              <w:right w:val="single" w:sz="4" w:space="0" w:color="auto"/>
            </w:tcBorders>
            <w:shd w:val="clear" w:color="auto" w:fill="auto"/>
            <w:vAlign w:val="center"/>
          </w:tcPr>
          <w:p w14:paraId="794D309A" w14:textId="5A77ECF7" w:rsidR="004A325D" w:rsidRPr="004A325D" w:rsidRDefault="004A325D" w:rsidP="008B2846">
            <w:pPr>
              <w:jc w:val="center"/>
              <w:rPr>
                <w:rFonts w:ascii="Arial" w:hAnsi="Arial" w:cs="Arial"/>
                <w:sz w:val="20"/>
                <w:szCs w:val="20"/>
              </w:rPr>
            </w:pPr>
            <w:r w:rsidRPr="004A325D">
              <w:rPr>
                <w:rFonts w:ascii="Arial" w:hAnsi="Arial" w:cs="Arial"/>
                <w:sz w:val="20"/>
                <w:szCs w:val="20"/>
              </w:rPr>
              <w:t>52.5%</w:t>
            </w:r>
          </w:p>
        </w:tc>
      </w:tr>
      <w:tr w:rsidR="008B2846" w14:paraId="2561725D" w14:textId="77777777" w:rsidTr="001B5F53">
        <w:trPr>
          <w:trHeight w:val="271"/>
          <w:jc w:val="center"/>
        </w:trPr>
        <w:tc>
          <w:tcPr>
            <w:tcW w:w="1850" w:type="dxa"/>
            <w:tcBorders>
              <w:top w:val="nil"/>
              <w:left w:val="single" w:sz="4" w:space="0" w:color="auto"/>
              <w:bottom w:val="nil"/>
              <w:right w:val="single" w:sz="4" w:space="0" w:color="auto"/>
            </w:tcBorders>
            <w:vAlign w:val="center"/>
          </w:tcPr>
          <w:p w14:paraId="58BB1F62" w14:textId="77777777" w:rsidR="004A325D" w:rsidRPr="00312499" w:rsidRDefault="004A325D" w:rsidP="004A325D">
            <w:pPr>
              <w:keepNext/>
              <w:keepLines/>
              <w:rPr>
                <w:rFonts w:ascii="Arial" w:hAnsi="Arial" w:cs="Arial"/>
                <w:sz w:val="20"/>
                <w:szCs w:val="20"/>
              </w:rPr>
            </w:pPr>
            <w:r w:rsidRPr="00312499">
              <w:rPr>
                <w:rFonts w:ascii="Arial" w:hAnsi="Arial" w:cs="Arial"/>
                <w:sz w:val="20"/>
                <w:szCs w:val="20"/>
              </w:rPr>
              <w:t>Stockton</w:t>
            </w:r>
          </w:p>
        </w:tc>
        <w:tc>
          <w:tcPr>
            <w:tcW w:w="1372" w:type="dxa"/>
            <w:tcBorders>
              <w:top w:val="nil"/>
              <w:left w:val="single" w:sz="4" w:space="0" w:color="auto"/>
              <w:bottom w:val="nil"/>
              <w:right w:val="single" w:sz="4" w:space="0" w:color="auto"/>
            </w:tcBorders>
            <w:shd w:val="clear" w:color="auto" w:fill="auto"/>
            <w:vAlign w:val="center"/>
          </w:tcPr>
          <w:p w14:paraId="1DAFD642" w14:textId="0AEAB6BA" w:rsidR="004A325D" w:rsidRPr="004A325D" w:rsidRDefault="004A325D" w:rsidP="008B2846">
            <w:pPr>
              <w:jc w:val="center"/>
              <w:rPr>
                <w:rFonts w:ascii="Arial" w:hAnsi="Arial" w:cs="Arial"/>
                <w:sz w:val="20"/>
                <w:szCs w:val="20"/>
              </w:rPr>
            </w:pPr>
            <w:r w:rsidRPr="004A325D">
              <w:rPr>
                <w:rFonts w:ascii="Arial" w:hAnsi="Arial" w:cs="Arial"/>
                <w:sz w:val="20"/>
                <w:szCs w:val="20"/>
              </w:rPr>
              <w:t>23</w:t>
            </w:r>
          </w:p>
        </w:tc>
        <w:tc>
          <w:tcPr>
            <w:tcW w:w="1482" w:type="dxa"/>
            <w:tcBorders>
              <w:top w:val="nil"/>
              <w:left w:val="single" w:sz="4" w:space="0" w:color="auto"/>
              <w:bottom w:val="nil"/>
              <w:right w:val="single" w:sz="4" w:space="0" w:color="auto"/>
            </w:tcBorders>
            <w:shd w:val="clear" w:color="auto" w:fill="auto"/>
            <w:vAlign w:val="center"/>
          </w:tcPr>
          <w:p w14:paraId="7DBB6BC7" w14:textId="241C8155" w:rsidR="004A325D" w:rsidRPr="004A325D" w:rsidRDefault="004A325D" w:rsidP="008B2846">
            <w:pPr>
              <w:jc w:val="center"/>
              <w:rPr>
                <w:rFonts w:ascii="Arial" w:hAnsi="Arial" w:cs="Arial"/>
                <w:sz w:val="20"/>
                <w:szCs w:val="20"/>
              </w:rPr>
            </w:pPr>
            <w:r w:rsidRPr="004A325D">
              <w:rPr>
                <w:rFonts w:ascii="Arial" w:hAnsi="Arial" w:cs="Arial"/>
                <w:sz w:val="20"/>
                <w:szCs w:val="20"/>
              </w:rPr>
              <w:t>19.7</w:t>
            </w:r>
          </w:p>
        </w:tc>
        <w:tc>
          <w:tcPr>
            <w:tcW w:w="1240" w:type="dxa"/>
            <w:tcBorders>
              <w:top w:val="nil"/>
              <w:left w:val="single" w:sz="4" w:space="0" w:color="auto"/>
              <w:bottom w:val="nil"/>
              <w:right w:val="single" w:sz="4" w:space="0" w:color="auto"/>
            </w:tcBorders>
            <w:shd w:val="clear" w:color="auto" w:fill="auto"/>
            <w:vAlign w:val="center"/>
          </w:tcPr>
          <w:p w14:paraId="1A22AE47" w14:textId="63F1900A" w:rsidR="004A325D" w:rsidRPr="004A325D" w:rsidRDefault="004A325D" w:rsidP="008B2846">
            <w:pPr>
              <w:jc w:val="center"/>
              <w:rPr>
                <w:rFonts w:ascii="Arial" w:hAnsi="Arial" w:cs="Arial"/>
                <w:sz w:val="20"/>
                <w:szCs w:val="20"/>
              </w:rPr>
            </w:pPr>
            <w:r w:rsidRPr="004A325D">
              <w:rPr>
                <w:rFonts w:ascii="Arial" w:hAnsi="Arial" w:cs="Arial"/>
                <w:sz w:val="20"/>
                <w:szCs w:val="20"/>
              </w:rPr>
              <w:t>10.0</w:t>
            </w:r>
          </w:p>
        </w:tc>
        <w:tc>
          <w:tcPr>
            <w:tcW w:w="1416" w:type="dxa"/>
            <w:tcBorders>
              <w:top w:val="nil"/>
              <w:left w:val="single" w:sz="4" w:space="0" w:color="auto"/>
              <w:bottom w:val="nil"/>
              <w:right w:val="single" w:sz="4" w:space="0" w:color="auto"/>
            </w:tcBorders>
            <w:shd w:val="clear" w:color="auto" w:fill="auto"/>
            <w:vAlign w:val="center"/>
          </w:tcPr>
          <w:p w14:paraId="3F848C5F" w14:textId="1B9A41FF" w:rsidR="004A325D" w:rsidRPr="004A325D" w:rsidRDefault="004A325D" w:rsidP="008B2846">
            <w:pPr>
              <w:jc w:val="center"/>
              <w:rPr>
                <w:rFonts w:ascii="Arial" w:hAnsi="Arial" w:cs="Arial"/>
                <w:sz w:val="20"/>
                <w:szCs w:val="20"/>
              </w:rPr>
            </w:pPr>
            <w:r w:rsidRPr="004A325D">
              <w:rPr>
                <w:rFonts w:ascii="Arial" w:hAnsi="Arial" w:cs="Arial"/>
                <w:sz w:val="20"/>
                <w:szCs w:val="20"/>
              </w:rPr>
              <w:t>9.7</w:t>
            </w:r>
          </w:p>
        </w:tc>
        <w:tc>
          <w:tcPr>
            <w:tcW w:w="1275" w:type="dxa"/>
            <w:tcBorders>
              <w:top w:val="nil"/>
              <w:left w:val="single" w:sz="4" w:space="0" w:color="auto"/>
              <w:bottom w:val="nil"/>
              <w:right w:val="single" w:sz="4" w:space="0" w:color="auto"/>
            </w:tcBorders>
            <w:shd w:val="clear" w:color="auto" w:fill="auto"/>
            <w:vAlign w:val="center"/>
          </w:tcPr>
          <w:p w14:paraId="5B09E34A" w14:textId="39B560D4" w:rsidR="004A325D" w:rsidRPr="004A325D" w:rsidRDefault="004A325D" w:rsidP="008B2846">
            <w:pPr>
              <w:jc w:val="center"/>
              <w:rPr>
                <w:rFonts w:ascii="Arial" w:hAnsi="Arial" w:cs="Arial"/>
                <w:sz w:val="20"/>
                <w:szCs w:val="20"/>
              </w:rPr>
            </w:pPr>
            <w:r w:rsidRPr="004A325D">
              <w:rPr>
                <w:rFonts w:ascii="Arial" w:hAnsi="Arial" w:cs="Arial"/>
                <w:sz w:val="20"/>
                <w:szCs w:val="20"/>
              </w:rPr>
              <w:t>49.1%</w:t>
            </w:r>
          </w:p>
        </w:tc>
      </w:tr>
      <w:tr w:rsidR="008B2846" w14:paraId="1A21B1AA" w14:textId="77777777" w:rsidTr="008B2846">
        <w:trPr>
          <w:trHeight w:val="271"/>
          <w:jc w:val="center"/>
        </w:trPr>
        <w:tc>
          <w:tcPr>
            <w:tcW w:w="1850" w:type="dxa"/>
            <w:tcBorders>
              <w:top w:val="nil"/>
              <w:left w:val="single" w:sz="4" w:space="0" w:color="auto"/>
              <w:bottom w:val="single" w:sz="4" w:space="0" w:color="auto"/>
              <w:right w:val="single" w:sz="4" w:space="0" w:color="auto"/>
            </w:tcBorders>
            <w:vAlign w:val="center"/>
          </w:tcPr>
          <w:p w14:paraId="266D2384" w14:textId="77777777" w:rsidR="004A325D" w:rsidRPr="00312499" w:rsidRDefault="004A325D" w:rsidP="004A325D">
            <w:pPr>
              <w:keepNext/>
              <w:keepLines/>
              <w:rPr>
                <w:rFonts w:ascii="Arial" w:hAnsi="Arial" w:cs="Arial"/>
                <w:b/>
                <w:sz w:val="20"/>
                <w:szCs w:val="20"/>
              </w:rPr>
            </w:pPr>
            <w:r w:rsidRPr="00312499">
              <w:rPr>
                <w:rFonts w:ascii="Arial" w:hAnsi="Arial" w:cs="Arial"/>
                <w:b/>
                <w:sz w:val="20"/>
                <w:szCs w:val="20"/>
              </w:rPr>
              <w:t>Total</w:t>
            </w:r>
          </w:p>
        </w:tc>
        <w:tc>
          <w:tcPr>
            <w:tcW w:w="1372" w:type="dxa"/>
            <w:tcBorders>
              <w:top w:val="nil"/>
              <w:left w:val="single" w:sz="4" w:space="0" w:color="auto"/>
              <w:bottom w:val="single" w:sz="4" w:space="0" w:color="auto"/>
              <w:right w:val="single" w:sz="4" w:space="0" w:color="auto"/>
            </w:tcBorders>
            <w:vAlign w:val="center"/>
          </w:tcPr>
          <w:p w14:paraId="43F84E9A" w14:textId="6D931218" w:rsidR="004A325D" w:rsidRPr="00E265AA" w:rsidRDefault="004A325D" w:rsidP="008B2846">
            <w:pPr>
              <w:jc w:val="center"/>
              <w:rPr>
                <w:rFonts w:ascii="Arial" w:hAnsi="Arial" w:cs="Arial"/>
                <w:b/>
                <w:sz w:val="20"/>
                <w:szCs w:val="20"/>
              </w:rPr>
            </w:pPr>
            <w:r w:rsidRPr="00E265AA">
              <w:rPr>
                <w:rFonts w:ascii="Arial" w:hAnsi="Arial" w:cs="Arial"/>
                <w:b/>
                <w:sz w:val="20"/>
                <w:szCs w:val="20"/>
              </w:rPr>
              <w:t>331</w:t>
            </w:r>
          </w:p>
        </w:tc>
        <w:tc>
          <w:tcPr>
            <w:tcW w:w="1482" w:type="dxa"/>
            <w:tcBorders>
              <w:top w:val="nil"/>
              <w:left w:val="single" w:sz="4" w:space="0" w:color="auto"/>
              <w:bottom w:val="single" w:sz="4" w:space="0" w:color="auto"/>
              <w:right w:val="single" w:sz="4" w:space="0" w:color="auto"/>
            </w:tcBorders>
            <w:vAlign w:val="center"/>
          </w:tcPr>
          <w:p w14:paraId="27EC4702" w14:textId="712E8D9E" w:rsidR="004A325D" w:rsidRPr="00E265AA" w:rsidRDefault="004A325D" w:rsidP="008B2846">
            <w:pPr>
              <w:jc w:val="center"/>
              <w:rPr>
                <w:rFonts w:ascii="Arial" w:hAnsi="Arial" w:cs="Arial"/>
                <w:b/>
                <w:sz w:val="20"/>
                <w:szCs w:val="20"/>
              </w:rPr>
            </w:pPr>
            <w:r w:rsidRPr="00E265AA">
              <w:rPr>
                <w:rFonts w:ascii="Arial" w:hAnsi="Arial" w:cs="Arial"/>
                <w:b/>
                <w:sz w:val="20"/>
                <w:szCs w:val="20"/>
              </w:rPr>
              <w:t>343.6</w:t>
            </w:r>
          </w:p>
        </w:tc>
        <w:tc>
          <w:tcPr>
            <w:tcW w:w="1240" w:type="dxa"/>
            <w:tcBorders>
              <w:top w:val="nil"/>
              <w:left w:val="single" w:sz="4" w:space="0" w:color="auto"/>
              <w:bottom w:val="single" w:sz="4" w:space="0" w:color="auto"/>
              <w:right w:val="single" w:sz="4" w:space="0" w:color="auto"/>
            </w:tcBorders>
            <w:vAlign w:val="center"/>
          </w:tcPr>
          <w:p w14:paraId="2E6CE222" w14:textId="5588ADC3" w:rsidR="004A325D" w:rsidRPr="00E265AA" w:rsidRDefault="004A325D" w:rsidP="008B2846">
            <w:pPr>
              <w:jc w:val="center"/>
              <w:rPr>
                <w:rFonts w:ascii="Arial" w:hAnsi="Arial" w:cs="Arial"/>
                <w:b/>
                <w:sz w:val="20"/>
                <w:szCs w:val="20"/>
              </w:rPr>
            </w:pPr>
            <w:r w:rsidRPr="00E265AA">
              <w:rPr>
                <w:rFonts w:ascii="Arial" w:hAnsi="Arial" w:cs="Arial"/>
                <w:b/>
                <w:sz w:val="20"/>
                <w:szCs w:val="20"/>
              </w:rPr>
              <w:t>148.2</w:t>
            </w:r>
          </w:p>
        </w:tc>
        <w:tc>
          <w:tcPr>
            <w:tcW w:w="1416" w:type="dxa"/>
            <w:tcBorders>
              <w:top w:val="nil"/>
              <w:left w:val="single" w:sz="4" w:space="0" w:color="auto"/>
              <w:bottom w:val="single" w:sz="4" w:space="0" w:color="auto"/>
              <w:right w:val="single" w:sz="4" w:space="0" w:color="auto"/>
            </w:tcBorders>
            <w:vAlign w:val="center"/>
          </w:tcPr>
          <w:p w14:paraId="222BF3FE" w14:textId="36A8A62D" w:rsidR="004A325D" w:rsidRPr="00E265AA" w:rsidRDefault="004A325D" w:rsidP="008B2846">
            <w:pPr>
              <w:jc w:val="center"/>
              <w:rPr>
                <w:rFonts w:ascii="Arial" w:hAnsi="Arial" w:cs="Arial"/>
                <w:b/>
                <w:sz w:val="20"/>
                <w:szCs w:val="20"/>
              </w:rPr>
            </w:pPr>
            <w:r w:rsidRPr="00E265AA">
              <w:rPr>
                <w:rFonts w:ascii="Arial" w:hAnsi="Arial" w:cs="Arial"/>
                <w:b/>
                <w:sz w:val="20"/>
                <w:szCs w:val="20"/>
              </w:rPr>
              <w:t>195.4</w:t>
            </w:r>
          </w:p>
        </w:tc>
        <w:tc>
          <w:tcPr>
            <w:tcW w:w="1275" w:type="dxa"/>
            <w:tcBorders>
              <w:top w:val="nil"/>
              <w:left w:val="single" w:sz="4" w:space="0" w:color="auto"/>
              <w:bottom w:val="single" w:sz="4" w:space="0" w:color="auto"/>
              <w:right w:val="single" w:sz="4" w:space="0" w:color="auto"/>
            </w:tcBorders>
            <w:vAlign w:val="center"/>
          </w:tcPr>
          <w:p w14:paraId="0B3C0F40" w14:textId="5C8F8FFD" w:rsidR="004A325D" w:rsidRPr="00E265AA" w:rsidRDefault="004A325D" w:rsidP="008B2846">
            <w:pPr>
              <w:jc w:val="center"/>
              <w:rPr>
                <w:rFonts w:ascii="Arial" w:hAnsi="Arial" w:cs="Arial"/>
                <w:b/>
                <w:sz w:val="20"/>
                <w:szCs w:val="20"/>
              </w:rPr>
            </w:pPr>
            <w:r w:rsidRPr="00E265AA">
              <w:rPr>
                <w:rFonts w:ascii="Arial" w:hAnsi="Arial" w:cs="Arial"/>
                <w:b/>
                <w:sz w:val="20"/>
                <w:szCs w:val="20"/>
              </w:rPr>
              <w:t>56.9%</w:t>
            </w:r>
          </w:p>
        </w:tc>
      </w:tr>
    </w:tbl>
    <w:p w14:paraId="19A98F11" w14:textId="5EA97FC2" w:rsidR="00321E09" w:rsidRDefault="00321E09" w:rsidP="00DB7F02">
      <w:pPr>
        <w:rPr>
          <w:b/>
        </w:rPr>
      </w:pPr>
    </w:p>
    <w:p w14:paraId="18E23D85" w14:textId="77777777" w:rsidR="00321E09" w:rsidRPr="00146E50" w:rsidRDefault="00321E09" w:rsidP="00146E50">
      <w:pPr>
        <w:pStyle w:val="Heading3"/>
        <w:rPr>
          <w:sz w:val="22"/>
          <w:szCs w:val="22"/>
        </w:rPr>
      </w:pPr>
      <w:bookmarkStart w:id="79" w:name="_Toc510091112"/>
      <w:r>
        <w:rPr>
          <w:sz w:val="22"/>
          <w:szCs w:val="22"/>
        </w:rPr>
        <w:lastRenderedPageBreak/>
        <w:t xml:space="preserve">4.1.2 </w:t>
      </w:r>
      <w:r w:rsidRPr="00146E50">
        <w:rPr>
          <w:sz w:val="22"/>
          <w:szCs w:val="22"/>
        </w:rPr>
        <w:t>Hourly Load Impacts</w:t>
      </w:r>
      <w:bookmarkEnd w:id="79"/>
      <w:r w:rsidRPr="00146E50">
        <w:rPr>
          <w:sz w:val="22"/>
          <w:szCs w:val="22"/>
        </w:rPr>
        <w:t xml:space="preserve"> </w:t>
      </w:r>
    </w:p>
    <w:p w14:paraId="3A5ECF97" w14:textId="2E7B3D9A" w:rsidR="00321E09" w:rsidRDefault="00321E09" w:rsidP="00146E50">
      <w:r>
        <w:t>Table 4.</w:t>
      </w:r>
      <w:r w:rsidR="00F02657">
        <w:t>5</w:t>
      </w:r>
      <w:r>
        <w:t xml:space="preserve"> presents hourly PG&amp;E B</w:t>
      </w:r>
      <w:r w:rsidR="00972362">
        <w:t>I</w:t>
      </w:r>
      <w:r>
        <w:t xml:space="preserve">P load impacts at the program level in the manner required by the Protocols. </w:t>
      </w:r>
      <w:bookmarkStart w:id="80" w:name="OLE_LINK6"/>
      <w:bookmarkStart w:id="81" w:name="OLE_LINK7"/>
      <w:r>
        <w:t>B</w:t>
      </w:r>
      <w:r w:rsidR="00972362">
        <w:t>I</w:t>
      </w:r>
      <w:r>
        <w:t xml:space="preserve">P load impacts were estimated from the individual customer regressions </w:t>
      </w:r>
      <w:r w:rsidR="00F02657">
        <w:t xml:space="preserve">for </w:t>
      </w:r>
      <w:r>
        <w:t xml:space="preserve">customers </w:t>
      </w:r>
      <w:r w:rsidR="00F02657">
        <w:t xml:space="preserve">enrolled at the time of </w:t>
      </w:r>
      <w:r w:rsidR="0070662B">
        <w:t>the</w:t>
      </w:r>
      <w:r w:rsidR="00F02657">
        <w:t xml:space="preserve"> event</w:t>
      </w:r>
      <w:r>
        <w:t>.</w:t>
      </w:r>
      <w:r w:rsidR="00AA1F13">
        <w:t xml:space="preserve"> </w:t>
      </w:r>
      <w:r w:rsidR="00536AC2">
        <w:t>T</w:t>
      </w:r>
      <w:r w:rsidR="00972362">
        <w:t xml:space="preserve">he table reflects the </w:t>
      </w:r>
      <w:r w:rsidR="00724F7B">
        <w:t>May 3</w:t>
      </w:r>
      <w:r w:rsidR="00972362">
        <w:t>, 201</w:t>
      </w:r>
      <w:r w:rsidR="00724F7B">
        <w:t>7</w:t>
      </w:r>
      <w:r w:rsidR="00972362">
        <w:t xml:space="preserve"> event day</w:t>
      </w:r>
      <w:r w:rsidR="00536AC2">
        <w:t>, which was the only event of the program year</w:t>
      </w:r>
      <w:r w:rsidR="008975C3">
        <w:t xml:space="preserve"> during which all customers were called</w:t>
      </w:r>
      <w:r w:rsidR="00972362">
        <w:t xml:space="preserve">. </w:t>
      </w:r>
      <w:bookmarkEnd w:id="80"/>
      <w:bookmarkEnd w:id="81"/>
    </w:p>
    <w:p w14:paraId="04DAD68C" w14:textId="77777777" w:rsidR="00321E09" w:rsidRDefault="00321E09" w:rsidP="00082E39"/>
    <w:p w14:paraId="5A65630B" w14:textId="69C3EC41" w:rsidR="00321E09" w:rsidRPr="00852320" w:rsidRDefault="00321E09" w:rsidP="0093144C">
      <w:pPr>
        <w:pStyle w:val="TableCaption"/>
        <w:keepNext/>
        <w:keepLines/>
      </w:pPr>
      <w:bookmarkStart w:id="82" w:name="_Toc508800219"/>
      <w:r w:rsidRPr="00852320">
        <w:t>Table 4.</w:t>
      </w:r>
      <w:r w:rsidR="00F02657" w:rsidRPr="00852320">
        <w:t>5</w:t>
      </w:r>
      <w:r w:rsidRPr="00852320">
        <w:t>: B</w:t>
      </w:r>
      <w:r w:rsidR="00972362">
        <w:t>I</w:t>
      </w:r>
      <w:r w:rsidRPr="00852320">
        <w:t xml:space="preserve">P Hourly Load Impacts for </w:t>
      </w:r>
      <w:r w:rsidR="000C3E81" w:rsidRPr="00852320">
        <w:t xml:space="preserve">the </w:t>
      </w:r>
      <w:r w:rsidR="00724F7B">
        <w:t>May</w:t>
      </w:r>
      <w:r w:rsidR="00C4748F">
        <w:t xml:space="preserve"> 3</w:t>
      </w:r>
      <w:r w:rsidR="00972362">
        <w:t>, 201</w:t>
      </w:r>
      <w:r w:rsidR="00724F7B">
        <w:t>7</w:t>
      </w:r>
      <w:r w:rsidRPr="00852320">
        <w:t xml:space="preserve"> Event Day</w:t>
      </w:r>
      <w:r w:rsidR="00E32794" w:rsidRPr="00852320">
        <w:t xml:space="preserve">, </w:t>
      </w:r>
      <w:r w:rsidRPr="00852320">
        <w:rPr>
          <w:i/>
        </w:rPr>
        <w:t>PG&amp;E</w:t>
      </w:r>
      <w:bookmarkEnd w:id="82"/>
    </w:p>
    <w:p w14:paraId="7E9580F2" w14:textId="2C2F99F3" w:rsidR="00321E09" w:rsidRPr="0093144C" w:rsidRDefault="00724F7B" w:rsidP="00EF7463">
      <w:pPr>
        <w:keepNext/>
        <w:keepLines/>
        <w:widowControl w:val="0"/>
      </w:pPr>
      <w:r w:rsidRPr="00724F7B">
        <w:rPr>
          <w:noProof/>
        </w:rPr>
        <w:drawing>
          <wp:inline distT="0" distB="0" distL="0" distR="0" wp14:anchorId="37FA5DA8" wp14:editId="4C304A5D">
            <wp:extent cx="5486400" cy="4356155"/>
            <wp:effectExtent l="0" t="0" r="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86400" cy="4356155"/>
                    </a:xfrm>
                    <a:prstGeom prst="rect">
                      <a:avLst/>
                    </a:prstGeom>
                    <a:noFill/>
                    <a:ln>
                      <a:noFill/>
                    </a:ln>
                  </pic:spPr>
                </pic:pic>
              </a:graphicData>
            </a:graphic>
          </wp:inline>
        </w:drawing>
      </w:r>
    </w:p>
    <w:p w14:paraId="4880CFF4" w14:textId="77777777" w:rsidR="00321E09" w:rsidRDefault="00321E09" w:rsidP="00082E39"/>
    <w:p w14:paraId="10B6B037" w14:textId="394C6BC4" w:rsidR="00321E09" w:rsidRDefault="00321E09" w:rsidP="003D3D4C">
      <w:r>
        <w:t xml:space="preserve">Figure 4.1 illustrates the </w:t>
      </w:r>
      <w:r w:rsidR="00265B5B">
        <w:t xml:space="preserve">hourly </w:t>
      </w:r>
      <w:r>
        <w:t>reference load</w:t>
      </w:r>
      <w:r w:rsidR="00265B5B">
        <w:t xml:space="preserve">, </w:t>
      </w:r>
      <w:r>
        <w:t>observed load</w:t>
      </w:r>
      <w:r w:rsidR="00265B5B">
        <w:t xml:space="preserve">, and </w:t>
      </w:r>
      <w:r w:rsidR="00CD56E7">
        <w:t>estimated load impact</w:t>
      </w:r>
      <w:r>
        <w:t xml:space="preserve"> for the </w:t>
      </w:r>
      <w:r w:rsidR="00724F7B">
        <w:t>May 3</w:t>
      </w:r>
      <w:r w:rsidR="00724F7B" w:rsidRPr="00724F7B">
        <w:rPr>
          <w:vertAlign w:val="superscript"/>
        </w:rPr>
        <w:t>rd</w:t>
      </w:r>
      <w:r w:rsidR="00724F7B">
        <w:t xml:space="preserve"> </w:t>
      </w:r>
      <w:r>
        <w:t>event</w:t>
      </w:r>
      <w:r w:rsidR="00265B5B">
        <w:t xml:space="preserve"> day</w:t>
      </w:r>
      <w:r w:rsidR="00460119">
        <w:t xml:space="preserve">. </w:t>
      </w:r>
      <w:r w:rsidR="00C23BD6">
        <w:t xml:space="preserve">Figure 4.2 shows the estimated load impacts </w:t>
      </w:r>
      <w:r w:rsidR="002A2EB0">
        <w:t xml:space="preserve">for </w:t>
      </w:r>
      <w:r w:rsidR="00560472">
        <w:t>the May 3</w:t>
      </w:r>
      <w:r w:rsidR="00560472" w:rsidRPr="00724F7B">
        <w:rPr>
          <w:vertAlign w:val="superscript"/>
        </w:rPr>
        <w:t>rd</w:t>
      </w:r>
      <w:r w:rsidR="00560472">
        <w:t xml:space="preserve"> event as well as the re-test event days, July 11</w:t>
      </w:r>
      <w:r w:rsidR="00560472" w:rsidRPr="00A219D7">
        <w:rPr>
          <w:vertAlign w:val="superscript"/>
        </w:rPr>
        <w:t>th</w:t>
      </w:r>
      <w:r w:rsidR="00560472">
        <w:t xml:space="preserve"> and October 17</w:t>
      </w:r>
      <w:r w:rsidR="00560472" w:rsidRPr="00A219D7">
        <w:rPr>
          <w:vertAlign w:val="superscript"/>
        </w:rPr>
        <w:t>th</w:t>
      </w:r>
      <w:r w:rsidR="00D93B5C">
        <w:t>, expressed in kWh per hour per customer</w:t>
      </w:r>
      <w:r w:rsidR="00C23BD6">
        <w:t>.</w:t>
      </w:r>
      <w:r w:rsidR="00D93B5C">
        <w:t xml:space="preserve"> Note that fewer customers were called for the re-test events, so the load impacts are not comparable across event days.</w:t>
      </w:r>
    </w:p>
    <w:p w14:paraId="4B92E906" w14:textId="77777777" w:rsidR="00321E09" w:rsidRDefault="00321E09" w:rsidP="003D3D4C"/>
    <w:p w14:paraId="5E026A1D" w14:textId="77777777" w:rsidR="00321E09" w:rsidRDefault="00321E09" w:rsidP="003D3D4C">
      <w:r>
        <w:t>The full set of tables required by the Protocols, including tables for each local capacity area, are in the Excel file attached as an Appendix to this report.</w:t>
      </w:r>
    </w:p>
    <w:p w14:paraId="1DADB9B2" w14:textId="77777777" w:rsidR="000F5952" w:rsidRDefault="000F5952" w:rsidP="003D3D4C"/>
    <w:p w14:paraId="2CB9AF5E" w14:textId="52AD45DC" w:rsidR="00321E09" w:rsidRPr="0097115E" w:rsidRDefault="00460119" w:rsidP="00B91726">
      <w:pPr>
        <w:pStyle w:val="FigureCaption"/>
        <w:keepNext/>
        <w:keepLines/>
      </w:pPr>
      <w:bookmarkStart w:id="83" w:name="_Toc508800269"/>
      <w:r>
        <w:lastRenderedPageBreak/>
        <w:t xml:space="preserve">Figure 4.1: </w:t>
      </w:r>
      <w:r w:rsidR="00321E09" w:rsidRPr="0097115E">
        <w:t>B</w:t>
      </w:r>
      <w:r>
        <w:t>I</w:t>
      </w:r>
      <w:r w:rsidR="00321E09" w:rsidRPr="0097115E">
        <w:t>P Load</w:t>
      </w:r>
      <w:r w:rsidR="002A2EB0">
        <w:t>s</w:t>
      </w:r>
      <w:r w:rsidR="003A3AC6">
        <w:t xml:space="preserve"> for the </w:t>
      </w:r>
      <w:r w:rsidR="00056990">
        <w:t>May 3</w:t>
      </w:r>
      <w:r>
        <w:t>, 201</w:t>
      </w:r>
      <w:r w:rsidR="00056990">
        <w:t>7</w:t>
      </w:r>
      <w:r w:rsidR="003A3AC6">
        <w:t xml:space="preserve"> Event Day</w:t>
      </w:r>
      <w:r w:rsidR="00E32794" w:rsidRPr="0097115E">
        <w:t xml:space="preserve">, </w:t>
      </w:r>
      <w:r w:rsidR="00321E09" w:rsidRPr="0097115E">
        <w:rPr>
          <w:i/>
        </w:rPr>
        <w:t>PG&amp;E</w:t>
      </w:r>
      <w:bookmarkEnd w:id="83"/>
    </w:p>
    <w:p w14:paraId="6A896A7C" w14:textId="37031524" w:rsidR="00321E09" w:rsidRDefault="00AD6B00" w:rsidP="00B91726">
      <w:pPr>
        <w:keepNext/>
        <w:keepLines/>
        <w:jc w:val="center"/>
      </w:pPr>
      <w:r>
        <w:rPr>
          <w:noProof/>
        </w:rPr>
        <w:drawing>
          <wp:inline distT="0" distB="0" distL="0" distR="0" wp14:anchorId="69A3797C" wp14:editId="3ADFCE88">
            <wp:extent cx="4572635" cy="274320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32DA1155" w14:textId="77777777" w:rsidR="00516EA6" w:rsidRPr="0093144C" w:rsidRDefault="00516EA6" w:rsidP="00B91726">
      <w:pPr>
        <w:keepNext/>
        <w:keepLines/>
        <w:jc w:val="center"/>
      </w:pPr>
    </w:p>
    <w:p w14:paraId="753F003C" w14:textId="452BE424" w:rsidR="00C23BD6" w:rsidRDefault="00C23BD6" w:rsidP="00C67D0C">
      <w:pPr>
        <w:pStyle w:val="FigureCaption"/>
        <w:keepNext/>
        <w:keepLines/>
        <w:rPr>
          <w:noProof/>
        </w:rPr>
      </w:pPr>
      <w:bookmarkStart w:id="84" w:name="_Toc508800270"/>
      <w:r w:rsidRPr="0097115E">
        <w:t xml:space="preserve">Figure 4.2: Hourly Load Impacts </w:t>
      </w:r>
      <w:r w:rsidR="00211C0C">
        <w:t xml:space="preserve">per Customer </w:t>
      </w:r>
      <w:r w:rsidRPr="0097115E">
        <w:t>by Event</w:t>
      </w:r>
      <w:r w:rsidR="00E32794" w:rsidRPr="0097115E">
        <w:t xml:space="preserve">, </w:t>
      </w:r>
      <w:r w:rsidRPr="0097115E">
        <w:rPr>
          <w:i/>
        </w:rPr>
        <w:t>PG&amp;E B</w:t>
      </w:r>
      <w:r w:rsidR="00460119">
        <w:rPr>
          <w:i/>
        </w:rPr>
        <w:t>I</w:t>
      </w:r>
      <w:r w:rsidRPr="0097115E">
        <w:rPr>
          <w:i/>
        </w:rPr>
        <w:t>P</w:t>
      </w:r>
      <w:bookmarkEnd w:id="84"/>
    </w:p>
    <w:p w14:paraId="3B58607C" w14:textId="53404490" w:rsidR="0026083E" w:rsidRDefault="0026083E" w:rsidP="0026083E">
      <w:pPr>
        <w:jc w:val="center"/>
      </w:pPr>
      <w:r>
        <w:rPr>
          <w:noProof/>
        </w:rPr>
        <w:drawing>
          <wp:inline distT="0" distB="0" distL="0" distR="0" wp14:anchorId="639323F3" wp14:editId="1ED700BD">
            <wp:extent cx="4572635" cy="27432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0CF8F097" w14:textId="1EA5025D" w:rsidR="00321E09" w:rsidRPr="008943AD" w:rsidRDefault="00321E09" w:rsidP="008943AD">
      <w:pPr>
        <w:pStyle w:val="Heading2"/>
      </w:pPr>
      <w:bookmarkStart w:id="85" w:name="_Toc510091113"/>
      <w:r w:rsidRPr="00423754">
        <w:t>4.2 SCE Load Impacts</w:t>
      </w:r>
      <w:bookmarkEnd w:id="85"/>
    </w:p>
    <w:p w14:paraId="45328ED2" w14:textId="7942AC44" w:rsidR="00321E09" w:rsidRPr="00146E50" w:rsidRDefault="00321E09" w:rsidP="00BB7A34">
      <w:pPr>
        <w:pStyle w:val="Heading3"/>
        <w:rPr>
          <w:sz w:val="22"/>
          <w:szCs w:val="22"/>
        </w:rPr>
      </w:pPr>
      <w:bookmarkStart w:id="86" w:name="_Toc510091114"/>
      <w:r>
        <w:rPr>
          <w:sz w:val="22"/>
          <w:szCs w:val="22"/>
        </w:rPr>
        <w:t xml:space="preserve">4.2.1 </w:t>
      </w:r>
      <w:r w:rsidRPr="00146E50">
        <w:rPr>
          <w:sz w:val="22"/>
          <w:szCs w:val="22"/>
        </w:rPr>
        <w:t xml:space="preserve">Average </w:t>
      </w:r>
      <w:r w:rsidR="00AF7CCD">
        <w:rPr>
          <w:sz w:val="22"/>
          <w:szCs w:val="22"/>
        </w:rPr>
        <w:t>Event-</w:t>
      </w:r>
      <w:r w:rsidR="00D47984">
        <w:rPr>
          <w:sz w:val="22"/>
          <w:szCs w:val="22"/>
        </w:rPr>
        <w:t>h</w:t>
      </w:r>
      <w:r w:rsidR="00AF7CCD">
        <w:rPr>
          <w:sz w:val="22"/>
          <w:szCs w:val="22"/>
        </w:rPr>
        <w:t>our</w:t>
      </w:r>
      <w:r w:rsidR="00AF7CCD" w:rsidRPr="00146E50">
        <w:rPr>
          <w:sz w:val="22"/>
          <w:szCs w:val="22"/>
        </w:rPr>
        <w:t xml:space="preserve"> </w:t>
      </w:r>
      <w:r w:rsidRPr="00146E50">
        <w:rPr>
          <w:sz w:val="22"/>
          <w:szCs w:val="22"/>
        </w:rPr>
        <w:t>Load Impacts by Industry Group and LCA</w:t>
      </w:r>
      <w:bookmarkEnd w:id="86"/>
    </w:p>
    <w:p w14:paraId="3F9DF072" w14:textId="3EEF89B2" w:rsidR="00321E09" w:rsidRDefault="001D1814" w:rsidP="00C70F01">
      <w:r>
        <w:t xml:space="preserve">SCE’s only BIP event day was </w:t>
      </w:r>
      <w:r w:rsidR="00986D9F">
        <w:t>May 3</w:t>
      </w:r>
      <w:r>
        <w:t>, 201</w:t>
      </w:r>
      <w:r w:rsidR="00986D9F">
        <w:t>7</w:t>
      </w:r>
      <w:r>
        <w:t>. Table 4.6 shows the average event-hour load impact for that event day by industry group.</w:t>
      </w:r>
      <w:r w:rsidR="005B3FC5">
        <w:rPr>
          <w:rStyle w:val="FootnoteReference"/>
        </w:rPr>
        <w:footnoteReference w:id="12"/>
      </w:r>
      <w:r>
        <w:t xml:space="preserve"> The total row at the bottom of the table </w:t>
      </w:r>
      <w:r>
        <w:lastRenderedPageBreak/>
        <w:t xml:space="preserve">shows the total event-day load impact of </w:t>
      </w:r>
      <w:r w:rsidR="008102F7">
        <w:t>615</w:t>
      </w:r>
      <w:r>
        <w:t xml:space="preserve"> MW, or </w:t>
      </w:r>
      <w:r w:rsidR="008102F7">
        <w:t>78</w:t>
      </w:r>
      <w:r>
        <w:t xml:space="preserve"> percent of the reference load. The majority of the program’s load impact came from customers in the </w:t>
      </w:r>
      <w:r w:rsidR="00A219D7">
        <w:t>M</w:t>
      </w:r>
      <w:r>
        <w:t xml:space="preserve">anufacturing industry group. </w:t>
      </w:r>
    </w:p>
    <w:p w14:paraId="291E1D4F" w14:textId="77777777" w:rsidR="00321E09" w:rsidRDefault="00321E09" w:rsidP="00C70F01"/>
    <w:p w14:paraId="615DACA2" w14:textId="6D96000D" w:rsidR="00366340" w:rsidRDefault="00366340" w:rsidP="00BF68D4">
      <w:pPr>
        <w:pStyle w:val="TableCaption"/>
        <w:keepNext/>
        <w:keepLines/>
        <w:rPr>
          <w:i/>
        </w:rPr>
      </w:pPr>
      <w:bookmarkStart w:id="87" w:name="_Toc508800220"/>
      <w:r w:rsidRPr="00852320">
        <w:t>Table 4.</w:t>
      </w:r>
      <w:r w:rsidR="001D1814">
        <w:t>6</w:t>
      </w:r>
      <w:r w:rsidRPr="00852320">
        <w:t xml:space="preserve">: Average </w:t>
      </w:r>
      <w:r>
        <w:t>Event-</w:t>
      </w:r>
      <w:r w:rsidR="00D47984">
        <w:t xml:space="preserve">hour </w:t>
      </w:r>
      <w:r>
        <w:t xml:space="preserve">Load Impacts – SCE </w:t>
      </w:r>
      <w:r w:rsidRPr="00852320">
        <w:t>B</w:t>
      </w:r>
      <w:r>
        <w:t>I</w:t>
      </w:r>
      <w:r w:rsidRPr="00852320">
        <w:t xml:space="preserve">P, </w:t>
      </w:r>
      <w:r w:rsidRPr="00852320">
        <w:rPr>
          <w:i/>
        </w:rPr>
        <w:t>by Industry Group</w:t>
      </w:r>
      <w:bookmarkEnd w:id="87"/>
    </w:p>
    <w:tbl>
      <w:tblPr>
        <w:tblW w:w="9293" w:type="dxa"/>
        <w:jc w:val="center"/>
        <w:tblLook w:val="04A0" w:firstRow="1" w:lastRow="0" w:firstColumn="1" w:lastColumn="0" w:noHBand="0" w:noVBand="1"/>
      </w:tblPr>
      <w:tblGrid>
        <w:gridCol w:w="3687"/>
        <w:gridCol w:w="1017"/>
        <w:gridCol w:w="1184"/>
        <w:gridCol w:w="1139"/>
        <w:gridCol w:w="1172"/>
        <w:gridCol w:w="1094"/>
      </w:tblGrid>
      <w:tr w:rsidR="00BF68D4" w:rsidRPr="00BF68D4" w14:paraId="450E924A" w14:textId="77777777" w:rsidTr="006B55F6">
        <w:trPr>
          <w:trHeight w:val="898"/>
          <w:jc w:val="center"/>
        </w:trPr>
        <w:tc>
          <w:tcPr>
            <w:tcW w:w="3687" w:type="dxa"/>
            <w:tcBorders>
              <w:top w:val="single" w:sz="4" w:space="0" w:color="auto"/>
              <w:left w:val="single" w:sz="4" w:space="0" w:color="auto"/>
              <w:bottom w:val="single" w:sz="4" w:space="0" w:color="auto"/>
              <w:right w:val="single" w:sz="4" w:space="0" w:color="FFFFFF"/>
            </w:tcBorders>
            <w:shd w:val="clear" w:color="auto" w:fill="0C2577"/>
            <w:vAlign w:val="center"/>
            <w:hideMark/>
          </w:tcPr>
          <w:p w14:paraId="48D7AB02" w14:textId="77777777" w:rsidR="00BF68D4" w:rsidRPr="00BF68D4" w:rsidRDefault="00BF68D4" w:rsidP="00BF68D4">
            <w:pPr>
              <w:jc w:val="center"/>
              <w:rPr>
                <w:rFonts w:ascii="Arial" w:hAnsi="Arial" w:cs="Arial"/>
                <w:b/>
                <w:bCs/>
                <w:color w:val="FFFFFF"/>
                <w:sz w:val="20"/>
                <w:szCs w:val="20"/>
              </w:rPr>
            </w:pPr>
            <w:r w:rsidRPr="00BF68D4">
              <w:rPr>
                <w:rFonts w:ascii="Arial" w:hAnsi="Arial" w:cs="Arial"/>
                <w:b/>
                <w:bCs/>
                <w:color w:val="FFFFFF"/>
                <w:sz w:val="20"/>
                <w:szCs w:val="20"/>
              </w:rPr>
              <w:t>Industry Group</w:t>
            </w:r>
          </w:p>
        </w:tc>
        <w:tc>
          <w:tcPr>
            <w:tcW w:w="1017" w:type="dxa"/>
            <w:tcBorders>
              <w:top w:val="single" w:sz="4" w:space="0" w:color="auto"/>
              <w:left w:val="nil"/>
              <w:bottom w:val="single" w:sz="4" w:space="0" w:color="auto"/>
              <w:right w:val="single" w:sz="4" w:space="0" w:color="FFFFFF"/>
            </w:tcBorders>
            <w:shd w:val="clear" w:color="auto" w:fill="0C2577"/>
            <w:vAlign w:val="center"/>
            <w:hideMark/>
          </w:tcPr>
          <w:p w14:paraId="14C8421F" w14:textId="77777777" w:rsidR="00BF68D4" w:rsidRPr="00BF68D4" w:rsidRDefault="00BF68D4" w:rsidP="00BF68D4">
            <w:pPr>
              <w:jc w:val="center"/>
              <w:rPr>
                <w:rFonts w:ascii="Arial" w:hAnsi="Arial" w:cs="Arial"/>
                <w:b/>
                <w:bCs/>
                <w:color w:val="FFFFFF"/>
                <w:sz w:val="20"/>
                <w:szCs w:val="20"/>
              </w:rPr>
            </w:pPr>
            <w:r w:rsidRPr="00BF68D4">
              <w:rPr>
                <w:rFonts w:ascii="Arial" w:hAnsi="Arial" w:cs="Arial"/>
                <w:b/>
                <w:bCs/>
                <w:color w:val="FFFFFF"/>
                <w:sz w:val="20"/>
                <w:szCs w:val="20"/>
              </w:rPr>
              <w:t>Enrolled</w:t>
            </w:r>
          </w:p>
        </w:tc>
        <w:tc>
          <w:tcPr>
            <w:tcW w:w="1184" w:type="dxa"/>
            <w:tcBorders>
              <w:top w:val="single" w:sz="4" w:space="0" w:color="auto"/>
              <w:left w:val="nil"/>
              <w:bottom w:val="single" w:sz="4" w:space="0" w:color="auto"/>
              <w:right w:val="single" w:sz="4" w:space="0" w:color="FFFFFF"/>
            </w:tcBorders>
            <w:shd w:val="clear" w:color="auto" w:fill="0C2577"/>
            <w:vAlign w:val="center"/>
            <w:hideMark/>
          </w:tcPr>
          <w:p w14:paraId="619D634B" w14:textId="77777777" w:rsidR="00BF68D4" w:rsidRPr="00BF68D4" w:rsidRDefault="00BF68D4" w:rsidP="00BF68D4">
            <w:pPr>
              <w:jc w:val="center"/>
              <w:rPr>
                <w:rFonts w:ascii="Arial" w:hAnsi="Arial" w:cs="Arial"/>
                <w:b/>
                <w:bCs/>
                <w:color w:val="FFFFFF"/>
                <w:sz w:val="20"/>
                <w:szCs w:val="20"/>
              </w:rPr>
            </w:pPr>
            <w:r w:rsidRPr="00BF68D4">
              <w:rPr>
                <w:rFonts w:ascii="Arial" w:hAnsi="Arial" w:cs="Arial"/>
                <w:b/>
                <w:bCs/>
                <w:color w:val="FFFFFF"/>
                <w:sz w:val="20"/>
                <w:szCs w:val="20"/>
              </w:rPr>
              <w:t>Estimated Reference Load (MWh/h)</w:t>
            </w:r>
          </w:p>
        </w:tc>
        <w:tc>
          <w:tcPr>
            <w:tcW w:w="1139" w:type="dxa"/>
            <w:tcBorders>
              <w:top w:val="single" w:sz="4" w:space="0" w:color="auto"/>
              <w:left w:val="nil"/>
              <w:bottom w:val="single" w:sz="4" w:space="0" w:color="auto"/>
              <w:right w:val="single" w:sz="4" w:space="0" w:color="FFFFFF"/>
            </w:tcBorders>
            <w:shd w:val="clear" w:color="auto" w:fill="0C2577"/>
            <w:vAlign w:val="center"/>
            <w:hideMark/>
          </w:tcPr>
          <w:p w14:paraId="6DF731C0" w14:textId="77777777" w:rsidR="00BF68D4" w:rsidRPr="00BF68D4" w:rsidRDefault="00BF68D4" w:rsidP="00BF68D4">
            <w:pPr>
              <w:jc w:val="center"/>
              <w:rPr>
                <w:rFonts w:ascii="Arial" w:hAnsi="Arial" w:cs="Arial"/>
                <w:b/>
                <w:bCs/>
                <w:color w:val="FFFFFF"/>
                <w:sz w:val="20"/>
                <w:szCs w:val="20"/>
              </w:rPr>
            </w:pPr>
            <w:r w:rsidRPr="00BF68D4">
              <w:rPr>
                <w:rFonts w:ascii="Arial" w:hAnsi="Arial" w:cs="Arial"/>
                <w:b/>
                <w:bCs/>
                <w:color w:val="FFFFFF"/>
                <w:sz w:val="20"/>
                <w:szCs w:val="20"/>
              </w:rPr>
              <w:t>Observed Load (MWh/h)</w:t>
            </w:r>
          </w:p>
        </w:tc>
        <w:tc>
          <w:tcPr>
            <w:tcW w:w="1172" w:type="dxa"/>
            <w:tcBorders>
              <w:top w:val="single" w:sz="4" w:space="0" w:color="auto"/>
              <w:left w:val="nil"/>
              <w:bottom w:val="nil"/>
              <w:right w:val="single" w:sz="4" w:space="0" w:color="auto"/>
            </w:tcBorders>
            <w:shd w:val="clear" w:color="auto" w:fill="0C2577"/>
            <w:vAlign w:val="center"/>
            <w:hideMark/>
          </w:tcPr>
          <w:p w14:paraId="3F3C761B" w14:textId="77777777" w:rsidR="00BF68D4" w:rsidRPr="00BF68D4" w:rsidRDefault="00BF68D4" w:rsidP="00BF68D4">
            <w:pPr>
              <w:jc w:val="center"/>
              <w:rPr>
                <w:rFonts w:ascii="Arial" w:hAnsi="Arial" w:cs="Arial"/>
                <w:b/>
                <w:bCs/>
                <w:color w:val="FFFFFF"/>
                <w:sz w:val="20"/>
                <w:szCs w:val="20"/>
              </w:rPr>
            </w:pPr>
            <w:r w:rsidRPr="00BF68D4">
              <w:rPr>
                <w:rFonts w:ascii="Arial" w:hAnsi="Arial" w:cs="Arial"/>
                <w:b/>
                <w:bCs/>
                <w:color w:val="FFFFFF"/>
                <w:sz w:val="20"/>
                <w:szCs w:val="20"/>
              </w:rPr>
              <w:t>Estimated Load Impact (MWh/h)</w:t>
            </w:r>
          </w:p>
        </w:tc>
        <w:tc>
          <w:tcPr>
            <w:tcW w:w="1094" w:type="dxa"/>
            <w:tcBorders>
              <w:top w:val="single" w:sz="4" w:space="0" w:color="auto"/>
              <w:left w:val="nil"/>
              <w:bottom w:val="nil"/>
              <w:right w:val="single" w:sz="4" w:space="0" w:color="auto"/>
            </w:tcBorders>
            <w:shd w:val="clear" w:color="auto" w:fill="0C2577"/>
            <w:vAlign w:val="center"/>
            <w:hideMark/>
          </w:tcPr>
          <w:p w14:paraId="0D8BBE42" w14:textId="77777777" w:rsidR="00BF68D4" w:rsidRPr="00BF68D4" w:rsidRDefault="00BF68D4" w:rsidP="00BF68D4">
            <w:pPr>
              <w:jc w:val="center"/>
              <w:rPr>
                <w:rFonts w:ascii="Arial" w:hAnsi="Arial" w:cs="Arial"/>
                <w:b/>
                <w:bCs/>
                <w:color w:val="FFFFFF"/>
                <w:sz w:val="20"/>
                <w:szCs w:val="20"/>
              </w:rPr>
            </w:pPr>
            <w:r w:rsidRPr="00BF68D4">
              <w:rPr>
                <w:rFonts w:ascii="Arial" w:hAnsi="Arial" w:cs="Arial"/>
                <w:b/>
                <w:bCs/>
                <w:color w:val="FFFFFF"/>
                <w:sz w:val="20"/>
                <w:szCs w:val="20"/>
              </w:rPr>
              <w:t>Percent Load Impact</w:t>
            </w:r>
          </w:p>
        </w:tc>
      </w:tr>
      <w:tr w:rsidR="00705303" w:rsidRPr="00BF68D4" w14:paraId="249A3E62" w14:textId="77777777" w:rsidTr="00D67BC6">
        <w:trPr>
          <w:trHeight w:val="264"/>
          <w:jc w:val="center"/>
        </w:trPr>
        <w:tc>
          <w:tcPr>
            <w:tcW w:w="3687" w:type="dxa"/>
            <w:tcBorders>
              <w:top w:val="nil"/>
              <w:left w:val="single" w:sz="4" w:space="0" w:color="auto"/>
              <w:bottom w:val="nil"/>
              <w:right w:val="single" w:sz="4" w:space="0" w:color="auto"/>
            </w:tcBorders>
            <w:shd w:val="clear" w:color="000000" w:fill="FFFFFF"/>
            <w:noWrap/>
            <w:vAlign w:val="center"/>
            <w:hideMark/>
          </w:tcPr>
          <w:p w14:paraId="5B0EF015" w14:textId="77777777" w:rsidR="00705303" w:rsidRPr="00BF68D4" w:rsidRDefault="00705303" w:rsidP="00705303">
            <w:pPr>
              <w:rPr>
                <w:rFonts w:ascii="Arial" w:hAnsi="Arial" w:cs="Arial"/>
                <w:color w:val="000000"/>
                <w:sz w:val="20"/>
                <w:szCs w:val="20"/>
              </w:rPr>
            </w:pPr>
            <w:r w:rsidRPr="00BF68D4">
              <w:rPr>
                <w:rFonts w:ascii="Arial" w:hAnsi="Arial" w:cs="Arial"/>
                <w:color w:val="000000"/>
                <w:sz w:val="20"/>
                <w:szCs w:val="20"/>
              </w:rPr>
              <w:t>Agriculture, Mining &amp; Construction</w:t>
            </w:r>
          </w:p>
        </w:tc>
        <w:tc>
          <w:tcPr>
            <w:tcW w:w="1017" w:type="dxa"/>
            <w:tcBorders>
              <w:top w:val="nil"/>
              <w:left w:val="nil"/>
              <w:bottom w:val="nil"/>
              <w:right w:val="single" w:sz="4" w:space="0" w:color="auto"/>
            </w:tcBorders>
            <w:shd w:val="clear" w:color="auto" w:fill="000000" w:themeFill="text1"/>
            <w:vAlign w:val="center"/>
          </w:tcPr>
          <w:p w14:paraId="671D2F3E" w14:textId="3D7392B4" w:rsidR="00705303" w:rsidRPr="00BF68D4" w:rsidRDefault="00705303" w:rsidP="00705303">
            <w:pPr>
              <w:jc w:val="right"/>
              <w:rPr>
                <w:rFonts w:ascii="Arial" w:hAnsi="Arial" w:cs="Arial"/>
                <w:color w:val="000000"/>
                <w:sz w:val="20"/>
                <w:szCs w:val="20"/>
              </w:rPr>
            </w:pPr>
          </w:p>
        </w:tc>
        <w:tc>
          <w:tcPr>
            <w:tcW w:w="1184" w:type="dxa"/>
            <w:tcBorders>
              <w:top w:val="nil"/>
              <w:left w:val="nil"/>
              <w:bottom w:val="nil"/>
              <w:right w:val="single" w:sz="4" w:space="0" w:color="auto"/>
            </w:tcBorders>
            <w:shd w:val="clear" w:color="auto" w:fill="000000" w:themeFill="text1"/>
            <w:vAlign w:val="center"/>
          </w:tcPr>
          <w:p w14:paraId="65AA40A7" w14:textId="77CAE301" w:rsidR="00705303" w:rsidRPr="00BF68D4" w:rsidRDefault="00705303" w:rsidP="00705303">
            <w:pPr>
              <w:jc w:val="center"/>
              <w:rPr>
                <w:rFonts w:ascii="Arial" w:hAnsi="Arial" w:cs="Arial"/>
                <w:color w:val="000000"/>
                <w:sz w:val="20"/>
                <w:szCs w:val="20"/>
              </w:rPr>
            </w:pPr>
          </w:p>
        </w:tc>
        <w:tc>
          <w:tcPr>
            <w:tcW w:w="1139" w:type="dxa"/>
            <w:tcBorders>
              <w:top w:val="nil"/>
              <w:left w:val="nil"/>
              <w:bottom w:val="nil"/>
              <w:right w:val="single" w:sz="4" w:space="0" w:color="auto"/>
            </w:tcBorders>
            <w:shd w:val="clear" w:color="auto" w:fill="000000" w:themeFill="text1"/>
            <w:vAlign w:val="center"/>
          </w:tcPr>
          <w:p w14:paraId="4F7F2C6C" w14:textId="5DAE038B" w:rsidR="00705303" w:rsidRPr="00BF68D4" w:rsidRDefault="00705303" w:rsidP="00705303">
            <w:pPr>
              <w:jc w:val="right"/>
              <w:rPr>
                <w:rFonts w:ascii="Arial" w:hAnsi="Arial" w:cs="Arial"/>
                <w:color w:val="000000"/>
                <w:sz w:val="20"/>
                <w:szCs w:val="20"/>
              </w:rPr>
            </w:pPr>
          </w:p>
        </w:tc>
        <w:tc>
          <w:tcPr>
            <w:tcW w:w="1172" w:type="dxa"/>
            <w:tcBorders>
              <w:top w:val="single" w:sz="4" w:space="0" w:color="auto"/>
              <w:left w:val="nil"/>
              <w:bottom w:val="nil"/>
              <w:right w:val="single" w:sz="4" w:space="0" w:color="auto"/>
            </w:tcBorders>
            <w:shd w:val="clear" w:color="auto" w:fill="000000" w:themeFill="text1"/>
            <w:vAlign w:val="center"/>
          </w:tcPr>
          <w:p w14:paraId="5CD7F856" w14:textId="462D94B0" w:rsidR="00705303" w:rsidRPr="00BF68D4" w:rsidRDefault="00705303" w:rsidP="00705303">
            <w:pPr>
              <w:jc w:val="center"/>
              <w:rPr>
                <w:rFonts w:ascii="Arial" w:hAnsi="Arial" w:cs="Arial"/>
                <w:color w:val="000000"/>
                <w:sz w:val="20"/>
                <w:szCs w:val="20"/>
              </w:rPr>
            </w:pPr>
          </w:p>
        </w:tc>
        <w:tc>
          <w:tcPr>
            <w:tcW w:w="1094" w:type="dxa"/>
            <w:tcBorders>
              <w:top w:val="single" w:sz="4" w:space="0" w:color="auto"/>
              <w:left w:val="nil"/>
              <w:bottom w:val="nil"/>
              <w:right w:val="single" w:sz="4" w:space="0" w:color="auto"/>
            </w:tcBorders>
            <w:shd w:val="clear" w:color="auto" w:fill="000000" w:themeFill="text1"/>
            <w:vAlign w:val="center"/>
          </w:tcPr>
          <w:p w14:paraId="645ED18F" w14:textId="27D2344F" w:rsidR="00705303" w:rsidRPr="00BF68D4" w:rsidRDefault="00705303" w:rsidP="00705303">
            <w:pPr>
              <w:jc w:val="right"/>
              <w:rPr>
                <w:rFonts w:ascii="Arial" w:hAnsi="Arial" w:cs="Arial"/>
                <w:color w:val="000000"/>
                <w:sz w:val="20"/>
                <w:szCs w:val="20"/>
              </w:rPr>
            </w:pPr>
          </w:p>
        </w:tc>
      </w:tr>
      <w:tr w:rsidR="00705303" w:rsidRPr="00BF68D4" w14:paraId="37B74E22" w14:textId="77777777" w:rsidTr="00705303">
        <w:trPr>
          <w:trHeight w:val="264"/>
          <w:jc w:val="center"/>
        </w:trPr>
        <w:tc>
          <w:tcPr>
            <w:tcW w:w="3687" w:type="dxa"/>
            <w:tcBorders>
              <w:top w:val="nil"/>
              <w:left w:val="single" w:sz="4" w:space="0" w:color="auto"/>
              <w:bottom w:val="nil"/>
              <w:right w:val="single" w:sz="4" w:space="0" w:color="auto"/>
            </w:tcBorders>
            <w:shd w:val="clear" w:color="000000" w:fill="FFFFFF"/>
            <w:noWrap/>
            <w:vAlign w:val="center"/>
            <w:hideMark/>
          </w:tcPr>
          <w:p w14:paraId="4C57EA80" w14:textId="77777777" w:rsidR="00705303" w:rsidRPr="00BF68D4" w:rsidRDefault="00705303" w:rsidP="00705303">
            <w:pPr>
              <w:rPr>
                <w:rFonts w:ascii="Arial" w:hAnsi="Arial" w:cs="Arial"/>
                <w:color w:val="000000"/>
                <w:sz w:val="20"/>
                <w:szCs w:val="20"/>
              </w:rPr>
            </w:pPr>
            <w:r w:rsidRPr="00BF68D4">
              <w:rPr>
                <w:rFonts w:ascii="Arial" w:hAnsi="Arial" w:cs="Arial"/>
                <w:color w:val="000000"/>
                <w:sz w:val="20"/>
                <w:szCs w:val="20"/>
              </w:rPr>
              <w:t>Manufacturing</w:t>
            </w:r>
          </w:p>
        </w:tc>
        <w:tc>
          <w:tcPr>
            <w:tcW w:w="1017" w:type="dxa"/>
            <w:tcBorders>
              <w:top w:val="nil"/>
              <w:left w:val="nil"/>
              <w:bottom w:val="nil"/>
              <w:right w:val="single" w:sz="4" w:space="0" w:color="auto"/>
            </w:tcBorders>
            <w:shd w:val="clear" w:color="000000" w:fill="FFFFFF"/>
            <w:vAlign w:val="center"/>
            <w:hideMark/>
          </w:tcPr>
          <w:p w14:paraId="63CC137A" w14:textId="77777777" w:rsidR="00705303" w:rsidRPr="00BF68D4" w:rsidRDefault="00705303" w:rsidP="00705303">
            <w:pPr>
              <w:jc w:val="right"/>
              <w:rPr>
                <w:rFonts w:ascii="Arial" w:hAnsi="Arial" w:cs="Arial"/>
                <w:color w:val="000000"/>
                <w:sz w:val="20"/>
                <w:szCs w:val="20"/>
              </w:rPr>
            </w:pPr>
            <w:r w:rsidRPr="00BF68D4">
              <w:rPr>
                <w:rFonts w:ascii="Arial" w:hAnsi="Arial" w:cs="Arial"/>
                <w:color w:val="000000"/>
                <w:sz w:val="20"/>
                <w:szCs w:val="20"/>
              </w:rPr>
              <w:t>344</w:t>
            </w:r>
          </w:p>
        </w:tc>
        <w:tc>
          <w:tcPr>
            <w:tcW w:w="1184" w:type="dxa"/>
            <w:tcBorders>
              <w:top w:val="nil"/>
              <w:left w:val="nil"/>
              <w:bottom w:val="nil"/>
              <w:right w:val="single" w:sz="4" w:space="0" w:color="auto"/>
            </w:tcBorders>
            <w:shd w:val="clear" w:color="000000" w:fill="FFFFFF"/>
            <w:vAlign w:val="center"/>
            <w:hideMark/>
          </w:tcPr>
          <w:p w14:paraId="27142D80" w14:textId="77777777" w:rsidR="00705303" w:rsidRPr="00BF68D4" w:rsidRDefault="00705303" w:rsidP="00705303">
            <w:pPr>
              <w:jc w:val="center"/>
              <w:rPr>
                <w:rFonts w:ascii="Arial" w:hAnsi="Arial" w:cs="Arial"/>
                <w:color w:val="000000"/>
                <w:sz w:val="20"/>
                <w:szCs w:val="20"/>
              </w:rPr>
            </w:pPr>
            <w:r w:rsidRPr="00BF68D4">
              <w:rPr>
                <w:rFonts w:ascii="Arial" w:hAnsi="Arial" w:cs="Arial"/>
                <w:color w:val="000000"/>
                <w:sz w:val="20"/>
                <w:szCs w:val="20"/>
              </w:rPr>
              <w:t xml:space="preserve">       501.6 </w:t>
            </w:r>
          </w:p>
        </w:tc>
        <w:tc>
          <w:tcPr>
            <w:tcW w:w="1139" w:type="dxa"/>
            <w:tcBorders>
              <w:top w:val="nil"/>
              <w:left w:val="nil"/>
              <w:bottom w:val="nil"/>
              <w:right w:val="single" w:sz="4" w:space="0" w:color="auto"/>
            </w:tcBorders>
            <w:shd w:val="clear" w:color="000000" w:fill="FFFFFF"/>
            <w:vAlign w:val="center"/>
            <w:hideMark/>
          </w:tcPr>
          <w:p w14:paraId="4C225CD8" w14:textId="77777777" w:rsidR="00705303" w:rsidRPr="00BF68D4" w:rsidRDefault="00705303" w:rsidP="00705303">
            <w:pPr>
              <w:jc w:val="right"/>
              <w:rPr>
                <w:rFonts w:ascii="Arial" w:hAnsi="Arial" w:cs="Arial"/>
                <w:color w:val="000000"/>
                <w:sz w:val="20"/>
                <w:szCs w:val="20"/>
              </w:rPr>
            </w:pPr>
            <w:r w:rsidRPr="00BF68D4">
              <w:rPr>
                <w:rFonts w:ascii="Arial" w:hAnsi="Arial" w:cs="Arial"/>
                <w:color w:val="000000"/>
                <w:sz w:val="20"/>
                <w:szCs w:val="20"/>
              </w:rPr>
              <w:t xml:space="preserve">      114.4 </w:t>
            </w:r>
          </w:p>
        </w:tc>
        <w:tc>
          <w:tcPr>
            <w:tcW w:w="1172" w:type="dxa"/>
            <w:tcBorders>
              <w:top w:val="nil"/>
              <w:left w:val="nil"/>
              <w:bottom w:val="nil"/>
              <w:right w:val="single" w:sz="4" w:space="0" w:color="auto"/>
            </w:tcBorders>
            <w:shd w:val="clear" w:color="000000" w:fill="FFFFFF"/>
            <w:vAlign w:val="center"/>
            <w:hideMark/>
          </w:tcPr>
          <w:p w14:paraId="5D50A009" w14:textId="3773FBF7" w:rsidR="00705303" w:rsidRPr="00BF68D4" w:rsidRDefault="00705303" w:rsidP="00705303">
            <w:pPr>
              <w:jc w:val="center"/>
              <w:rPr>
                <w:rFonts w:ascii="Arial" w:hAnsi="Arial" w:cs="Arial"/>
                <w:color w:val="000000"/>
                <w:sz w:val="20"/>
                <w:szCs w:val="20"/>
              </w:rPr>
            </w:pPr>
            <w:r>
              <w:rPr>
                <w:rFonts w:ascii="Arial" w:hAnsi="Arial" w:cs="Arial"/>
                <w:color w:val="000000"/>
                <w:sz w:val="20"/>
                <w:szCs w:val="20"/>
              </w:rPr>
              <w:t xml:space="preserve">     387.2 </w:t>
            </w:r>
          </w:p>
        </w:tc>
        <w:tc>
          <w:tcPr>
            <w:tcW w:w="1094" w:type="dxa"/>
            <w:tcBorders>
              <w:top w:val="nil"/>
              <w:left w:val="nil"/>
              <w:bottom w:val="nil"/>
              <w:right w:val="single" w:sz="4" w:space="0" w:color="auto"/>
            </w:tcBorders>
            <w:shd w:val="clear" w:color="000000" w:fill="FFFFFF"/>
            <w:vAlign w:val="center"/>
            <w:hideMark/>
          </w:tcPr>
          <w:p w14:paraId="791863BD" w14:textId="77777777" w:rsidR="00705303" w:rsidRPr="00BF68D4" w:rsidRDefault="00705303" w:rsidP="00705303">
            <w:pPr>
              <w:jc w:val="right"/>
              <w:rPr>
                <w:rFonts w:ascii="Arial" w:hAnsi="Arial" w:cs="Arial"/>
                <w:color w:val="000000"/>
                <w:sz w:val="20"/>
                <w:szCs w:val="20"/>
              </w:rPr>
            </w:pPr>
            <w:r w:rsidRPr="00BF68D4">
              <w:rPr>
                <w:rFonts w:ascii="Arial" w:hAnsi="Arial" w:cs="Arial"/>
                <w:color w:val="000000"/>
                <w:sz w:val="20"/>
                <w:szCs w:val="20"/>
              </w:rPr>
              <w:t>77.2%</w:t>
            </w:r>
          </w:p>
        </w:tc>
      </w:tr>
      <w:tr w:rsidR="00705303" w:rsidRPr="00BF68D4" w14:paraId="05C1F04E" w14:textId="77777777" w:rsidTr="00D67BC6">
        <w:trPr>
          <w:trHeight w:val="264"/>
          <w:jc w:val="center"/>
        </w:trPr>
        <w:tc>
          <w:tcPr>
            <w:tcW w:w="3687" w:type="dxa"/>
            <w:tcBorders>
              <w:top w:val="nil"/>
              <w:left w:val="single" w:sz="4" w:space="0" w:color="auto"/>
              <w:bottom w:val="nil"/>
              <w:right w:val="single" w:sz="4" w:space="0" w:color="auto"/>
            </w:tcBorders>
            <w:shd w:val="clear" w:color="000000" w:fill="FFFFFF"/>
            <w:noWrap/>
            <w:vAlign w:val="center"/>
            <w:hideMark/>
          </w:tcPr>
          <w:p w14:paraId="0E3D4D97" w14:textId="77777777" w:rsidR="00705303" w:rsidRPr="00BF68D4" w:rsidRDefault="00705303" w:rsidP="00705303">
            <w:pPr>
              <w:rPr>
                <w:rFonts w:ascii="Arial" w:hAnsi="Arial" w:cs="Arial"/>
                <w:color w:val="000000"/>
                <w:sz w:val="20"/>
                <w:szCs w:val="20"/>
              </w:rPr>
            </w:pPr>
            <w:r w:rsidRPr="00BF68D4">
              <w:rPr>
                <w:rFonts w:ascii="Arial" w:hAnsi="Arial" w:cs="Arial"/>
                <w:color w:val="000000"/>
                <w:sz w:val="20"/>
                <w:szCs w:val="20"/>
              </w:rPr>
              <w:t>Wholesale, Transport, other utilities</w:t>
            </w:r>
          </w:p>
        </w:tc>
        <w:tc>
          <w:tcPr>
            <w:tcW w:w="1017" w:type="dxa"/>
            <w:tcBorders>
              <w:top w:val="nil"/>
              <w:left w:val="nil"/>
              <w:bottom w:val="nil"/>
              <w:right w:val="single" w:sz="4" w:space="0" w:color="auto"/>
            </w:tcBorders>
            <w:shd w:val="clear" w:color="auto" w:fill="000000" w:themeFill="text1"/>
            <w:vAlign w:val="center"/>
          </w:tcPr>
          <w:p w14:paraId="60D64829" w14:textId="1C00C8C6" w:rsidR="00705303" w:rsidRPr="00BF68D4" w:rsidRDefault="00705303" w:rsidP="00705303">
            <w:pPr>
              <w:jc w:val="right"/>
              <w:rPr>
                <w:rFonts w:ascii="Arial" w:hAnsi="Arial" w:cs="Arial"/>
                <w:color w:val="000000"/>
                <w:sz w:val="20"/>
                <w:szCs w:val="20"/>
              </w:rPr>
            </w:pPr>
          </w:p>
        </w:tc>
        <w:tc>
          <w:tcPr>
            <w:tcW w:w="1184" w:type="dxa"/>
            <w:tcBorders>
              <w:top w:val="nil"/>
              <w:left w:val="nil"/>
              <w:bottom w:val="nil"/>
              <w:right w:val="single" w:sz="4" w:space="0" w:color="auto"/>
            </w:tcBorders>
            <w:shd w:val="clear" w:color="auto" w:fill="000000" w:themeFill="text1"/>
            <w:vAlign w:val="center"/>
          </w:tcPr>
          <w:p w14:paraId="179B307A" w14:textId="4516EFF8" w:rsidR="00705303" w:rsidRPr="00BF68D4" w:rsidRDefault="00705303" w:rsidP="00705303">
            <w:pPr>
              <w:jc w:val="center"/>
              <w:rPr>
                <w:rFonts w:ascii="Arial" w:hAnsi="Arial" w:cs="Arial"/>
                <w:color w:val="000000"/>
                <w:sz w:val="20"/>
                <w:szCs w:val="20"/>
              </w:rPr>
            </w:pPr>
          </w:p>
        </w:tc>
        <w:tc>
          <w:tcPr>
            <w:tcW w:w="1139" w:type="dxa"/>
            <w:tcBorders>
              <w:top w:val="nil"/>
              <w:left w:val="nil"/>
              <w:bottom w:val="nil"/>
              <w:right w:val="single" w:sz="4" w:space="0" w:color="auto"/>
            </w:tcBorders>
            <w:shd w:val="clear" w:color="auto" w:fill="000000" w:themeFill="text1"/>
            <w:vAlign w:val="center"/>
          </w:tcPr>
          <w:p w14:paraId="379F7B28" w14:textId="19A75FE7" w:rsidR="00705303" w:rsidRPr="00BF68D4" w:rsidRDefault="00705303" w:rsidP="00705303">
            <w:pPr>
              <w:jc w:val="right"/>
              <w:rPr>
                <w:rFonts w:ascii="Arial" w:hAnsi="Arial" w:cs="Arial"/>
                <w:color w:val="000000"/>
                <w:sz w:val="20"/>
                <w:szCs w:val="20"/>
              </w:rPr>
            </w:pPr>
          </w:p>
        </w:tc>
        <w:tc>
          <w:tcPr>
            <w:tcW w:w="1172" w:type="dxa"/>
            <w:tcBorders>
              <w:top w:val="nil"/>
              <w:left w:val="nil"/>
              <w:bottom w:val="nil"/>
              <w:right w:val="single" w:sz="4" w:space="0" w:color="auto"/>
            </w:tcBorders>
            <w:shd w:val="clear" w:color="auto" w:fill="000000" w:themeFill="text1"/>
            <w:vAlign w:val="center"/>
          </w:tcPr>
          <w:p w14:paraId="7C448844" w14:textId="44F22CA4" w:rsidR="00705303" w:rsidRPr="00BF68D4" w:rsidRDefault="00705303" w:rsidP="00705303">
            <w:pPr>
              <w:jc w:val="center"/>
              <w:rPr>
                <w:rFonts w:ascii="Arial" w:hAnsi="Arial" w:cs="Arial"/>
                <w:color w:val="000000"/>
                <w:sz w:val="20"/>
                <w:szCs w:val="20"/>
              </w:rPr>
            </w:pPr>
          </w:p>
        </w:tc>
        <w:tc>
          <w:tcPr>
            <w:tcW w:w="1094" w:type="dxa"/>
            <w:tcBorders>
              <w:top w:val="nil"/>
              <w:left w:val="nil"/>
              <w:bottom w:val="nil"/>
              <w:right w:val="single" w:sz="4" w:space="0" w:color="auto"/>
            </w:tcBorders>
            <w:shd w:val="clear" w:color="auto" w:fill="000000" w:themeFill="text1"/>
            <w:vAlign w:val="center"/>
          </w:tcPr>
          <w:p w14:paraId="6C2C97A1" w14:textId="552D4663" w:rsidR="00705303" w:rsidRPr="00BF68D4" w:rsidRDefault="00705303" w:rsidP="00705303">
            <w:pPr>
              <w:jc w:val="right"/>
              <w:rPr>
                <w:rFonts w:ascii="Arial" w:hAnsi="Arial" w:cs="Arial"/>
                <w:color w:val="000000"/>
                <w:sz w:val="20"/>
                <w:szCs w:val="20"/>
              </w:rPr>
            </w:pPr>
          </w:p>
        </w:tc>
      </w:tr>
      <w:tr w:rsidR="00705303" w:rsidRPr="00BF68D4" w14:paraId="580D3481" w14:textId="77777777" w:rsidTr="00705303">
        <w:trPr>
          <w:trHeight w:val="264"/>
          <w:jc w:val="center"/>
        </w:trPr>
        <w:tc>
          <w:tcPr>
            <w:tcW w:w="3687" w:type="dxa"/>
            <w:tcBorders>
              <w:top w:val="nil"/>
              <w:left w:val="single" w:sz="4" w:space="0" w:color="auto"/>
              <w:bottom w:val="nil"/>
              <w:right w:val="single" w:sz="4" w:space="0" w:color="auto"/>
            </w:tcBorders>
            <w:shd w:val="clear" w:color="000000" w:fill="FFFFFF"/>
            <w:noWrap/>
            <w:vAlign w:val="center"/>
            <w:hideMark/>
          </w:tcPr>
          <w:p w14:paraId="7C2C9AB4" w14:textId="77777777" w:rsidR="00705303" w:rsidRPr="00BF68D4" w:rsidRDefault="00705303" w:rsidP="00705303">
            <w:pPr>
              <w:rPr>
                <w:rFonts w:ascii="Arial" w:hAnsi="Arial" w:cs="Arial"/>
                <w:color w:val="000000"/>
                <w:sz w:val="20"/>
                <w:szCs w:val="20"/>
              </w:rPr>
            </w:pPr>
            <w:r w:rsidRPr="00BF68D4">
              <w:rPr>
                <w:rFonts w:ascii="Arial" w:hAnsi="Arial" w:cs="Arial"/>
                <w:color w:val="000000"/>
                <w:sz w:val="20"/>
                <w:szCs w:val="20"/>
              </w:rPr>
              <w:t>Retail stores</w:t>
            </w:r>
          </w:p>
        </w:tc>
        <w:tc>
          <w:tcPr>
            <w:tcW w:w="1017" w:type="dxa"/>
            <w:tcBorders>
              <w:top w:val="nil"/>
              <w:left w:val="nil"/>
              <w:bottom w:val="nil"/>
              <w:right w:val="single" w:sz="4" w:space="0" w:color="auto"/>
            </w:tcBorders>
            <w:shd w:val="clear" w:color="000000" w:fill="FFFFFF"/>
            <w:vAlign w:val="center"/>
            <w:hideMark/>
          </w:tcPr>
          <w:p w14:paraId="5637D856" w14:textId="77777777" w:rsidR="00705303" w:rsidRPr="00BF68D4" w:rsidRDefault="00705303" w:rsidP="00705303">
            <w:pPr>
              <w:jc w:val="right"/>
              <w:rPr>
                <w:rFonts w:ascii="Arial" w:hAnsi="Arial" w:cs="Arial"/>
                <w:color w:val="000000"/>
                <w:sz w:val="20"/>
                <w:szCs w:val="20"/>
              </w:rPr>
            </w:pPr>
            <w:r w:rsidRPr="00BF68D4">
              <w:rPr>
                <w:rFonts w:ascii="Arial" w:hAnsi="Arial" w:cs="Arial"/>
                <w:color w:val="000000"/>
                <w:sz w:val="20"/>
                <w:szCs w:val="20"/>
              </w:rPr>
              <w:t>59</w:t>
            </w:r>
          </w:p>
        </w:tc>
        <w:tc>
          <w:tcPr>
            <w:tcW w:w="1184" w:type="dxa"/>
            <w:tcBorders>
              <w:top w:val="nil"/>
              <w:left w:val="nil"/>
              <w:bottom w:val="nil"/>
              <w:right w:val="single" w:sz="4" w:space="0" w:color="auto"/>
            </w:tcBorders>
            <w:shd w:val="clear" w:color="000000" w:fill="FFFFFF"/>
            <w:vAlign w:val="center"/>
            <w:hideMark/>
          </w:tcPr>
          <w:p w14:paraId="37733947" w14:textId="77777777" w:rsidR="00705303" w:rsidRPr="00BF68D4" w:rsidRDefault="00705303" w:rsidP="00705303">
            <w:pPr>
              <w:jc w:val="center"/>
              <w:rPr>
                <w:rFonts w:ascii="Arial" w:hAnsi="Arial" w:cs="Arial"/>
                <w:color w:val="000000"/>
                <w:sz w:val="20"/>
                <w:szCs w:val="20"/>
              </w:rPr>
            </w:pPr>
            <w:r w:rsidRPr="00BF68D4">
              <w:rPr>
                <w:rFonts w:ascii="Arial" w:hAnsi="Arial" w:cs="Arial"/>
                <w:color w:val="000000"/>
                <w:sz w:val="20"/>
                <w:szCs w:val="20"/>
              </w:rPr>
              <w:t xml:space="preserve">         15.0 </w:t>
            </w:r>
          </w:p>
        </w:tc>
        <w:tc>
          <w:tcPr>
            <w:tcW w:w="1139" w:type="dxa"/>
            <w:tcBorders>
              <w:top w:val="nil"/>
              <w:left w:val="nil"/>
              <w:bottom w:val="nil"/>
              <w:right w:val="single" w:sz="4" w:space="0" w:color="auto"/>
            </w:tcBorders>
            <w:shd w:val="clear" w:color="000000" w:fill="FFFFFF"/>
            <w:vAlign w:val="center"/>
            <w:hideMark/>
          </w:tcPr>
          <w:p w14:paraId="5A69310F" w14:textId="77777777" w:rsidR="00705303" w:rsidRPr="00BF68D4" w:rsidRDefault="00705303" w:rsidP="00705303">
            <w:pPr>
              <w:jc w:val="right"/>
              <w:rPr>
                <w:rFonts w:ascii="Arial" w:hAnsi="Arial" w:cs="Arial"/>
                <w:color w:val="000000"/>
                <w:sz w:val="20"/>
                <w:szCs w:val="20"/>
              </w:rPr>
            </w:pPr>
            <w:r w:rsidRPr="00BF68D4">
              <w:rPr>
                <w:rFonts w:ascii="Arial" w:hAnsi="Arial" w:cs="Arial"/>
                <w:color w:val="000000"/>
                <w:sz w:val="20"/>
                <w:szCs w:val="20"/>
              </w:rPr>
              <w:t xml:space="preserve">        13.6 </w:t>
            </w:r>
          </w:p>
        </w:tc>
        <w:tc>
          <w:tcPr>
            <w:tcW w:w="1172" w:type="dxa"/>
            <w:tcBorders>
              <w:top w:val="nil"/>
              <w:left w:val="nil"/>
              <w:bottom w:val="nil"/>
              <w:right w:val="single" w:sz="4" w:space="0" w:color="auto"/>
            </w:tcBorders>
            <w:shd w:val="clear" w:color="000000" w:fill="FFFFFF"/>
            <w:vAlign w:val="center"/>
            <w:hideMark/>
          </w:tcPr>
          <w:p w14:paraId="108BE53E" w14:textId="1A494A32" w:rsidR="00705303" w:rsidRPr="00BF68D4" w:rsidRDefault="00705303" w:rsidP="00705303">
            <w:pPr>
              <w:jc w:val="center"/>
              <w:rPr>
                <w:rFonts w:ascii="Arial" w:hAnsi="Arial" w:cs="Arial"/>
                <w:color w:val="000000"/>
                <w:sz w:val="20"/>
                <w:szCs w:val="20"/>
              </w:rPr>
            </w:pPr>
            <w:r>
              <w:rPr>
                <w:rFonts w:ascii="Arial" w:hAnsi="Arial" w:cs="Arial"/>
                <w:color w:val="000000"/>
                <w:sz w:val="20"/>
                <w:szCs w:val="20"/>
              </w:rPr>
              <w:t xml:space="preserve">         1.3 </w:t>
            </w:r>
          </w:p>
        </w:tc>
        <w:tc>
          <w:tcPr>
            <w:tcW w:w="1094" w:type="dxa"/>
            <w:tcBorders>
              <w:top w:val="nil"/>
              <w:left w:val="nil"/>
              <w:bottom w:val="nil"/>
              <w:right w:val="single" w:sz="4" w:space="0" w:color="auto"/>
            </w:tcBorders>
            <w:shd w:val="clear" w:color="000000" w:fill="FFFFFF"/>
            <w:vAlign w:val="center"/>
            <w:hideMark/>
          </w:tcPr>
          <w:p w14:paraId="61E6385D" w14:textId="77777777" w:rsidR="00705303" w:rsidRPr="00BF68D4" w:rsidRDefault="00705303" w:rsidP="00705303">
            <w:pPr>
              <w:jc w:val="right"/>
              <w:rPr>
                <w:rFonts w:ascii="Arial" w:hAnsi="Arial" w:cs="Arial"/>
                <w:color w:val="000000"/>
                <w:sz w:val="20"/>
                <w:szCs w:val="20"/>
              </w:rPr>
            </w:pPr>
            <w:r w:rsidRPr="00BF68D4">
              <w:rPr>
                <w:rFonts w:ascii="Arial" w:hAnsi="Arial" w:cs="Arial"/>
                <w:color w:val="000000"/>
                <w:sz w:val="20"/>
                <w:szCs w:val="20"/>
              </w:rPr>
              <w:t>8.8%</w:t>
            </w:r>
          </w:p>
        </w:tc>
      </w:tr>
      <w:tr w:rsidR="00705303" w:rsidRPr="00BF68D4" w14:paraId="73D28826" w14:textId="77777777" w:rsidTr="00D67BC6">
        <w:trPr>
          <w:trHeight w:val="264"/>
          <w:jc w:val="center"/>
        </w:trPr>
        <w:tc>
          <w:tcPr>
            <w:tcW w:w="3687" w:type="dxa"/>
            <w:tcBorders>
              <w:top w:val="nil"/>
              <w:left w:val="single" w:sz="4" w:space="0" w:color="auto"/>
              <w:bottom w:val="nil"/>
              <w:right w:val="single" w:sz="4" w:space="0" w:color="auto"/>
            </w:tcBorders>
            <w:shd w:val="clear" w:color="000000" w:fill="FFFFFF"/>
            <w:noWrap/>
            <w:vAlign w:val="center"/>
            <w:hideMark/>
          </w:tcPr>
          <w:p w14:paraId="0DA42836" w14:textId="77777777" w:rsidR="00705303" w:rsidRPr="00BF68D4" w:rsidRDefault="00705303" w:rsidP="00705303">
            <w:pPr>
              <w:rPr>
                <w:rFonts w:ascii="Arial" w:hAnsi="Arial" w:cs="Arial"/>
                <w:color w:val="000000"/>
                <w:sz w:val="20"/>
                <w:szCs w:val="20"/>
              </w:rPr>
            </w:pPr>
            <w:r w:rsidRPr="00BF68D4">
              <w:rPr>
                <w:rFonts w:ascii="Arial" w:hAnsi="Arial" w:cs="Arial"/>
                <w:color w:val="000000"/>
                <w:sz w:val="20"/>
                <w:szCs w:val="20"/>
              </w:rPr>
              <w:t>Offices, Hotels, Finance, Services</w:t>
            </w:r>
          </w:p>
        </w:tc>
        <w:tc>
          <w:tcPr>
            <w:tcW w:w="1017" w:type="dxa"/>
            <w:tcBorders>
              <w:top w:val="nil"/>
              <w:left w:val="nil"/>
              <w:bottom w:val="nil"/>
              <w:right w:val="single" w:sz="4" w:space="0" w:color="auto"/>
            </w:tcBorders>
            <w:shd w:val="clear" w:color="auto" w:fill="000000" w:themeFill="text1"/>
            <w:vAlign w:val="center"/>
          </w:tcPr>
          <w:p w14:paraId="6DA74FF2" w14:textId="1E2B22DB" w:rsidR="00705303" w:rsidRPr="00BF68D4" w:rsidRDefault="00705303" w:rsidP="00705303">
            <w:pPr>
              <w:jc w:val="right"/>
              <w:rPr>
                <w:rFonts w:ascii="Arial" w:hAnsi="Arial" w:cs="Arial"/>
                <w:color w:val="000000"/>
                <w:sz w:val="20"/>
                <w:szCs w:val="20"/>
              </w:rPr>
            </w:pPr>
          </w:p>
        </w:tc>
        <w:tc>
          <w:tcPr>
            <w:tcW w:w="1184" w:type="dxa"/>
            <w:tcBorders>
              <w:top w:val="nil"/>
              <w:left w:val="nil"/>
              <w:bottom w:val="nil"/>
              <w:right w:val="single" w:sz="4" w:space="0" w:color="auto"/>
            </w:tcBorders>
            <w:shd w:val="clear" w:color="auto" w:fill="000000" w:themeFill="text1"/>
            <w:vAlign w:val="center"/>
          </w:tcPr>
          <w:p w14:paraId="46B2D6D2" w14:textId="5D54ED94" w:rsidR="00705303" w:rsidRPr="00BF68D4" w:rsidRDefault="00705303" w:rsidP="00705303">
            <w:pPr>
              <w:jc w:val="center"/>
              <w:rPr>
                <w:rFonts w:ascii="Arial" w:hAnsi="Arial" w:cs="Arial"/>
                <w:color w:val="000000"/>
                <w:sz w:val="20"/>
                <w:szCs w:val="20"/>
              </w:rPr>
            </w:pPr>
          </w:p>
        </w:tc>
        <w:tc>
          <w:tcPr>
            <w:tcW w:w="1139" w:type="dxa"/>
            <w:tcBorders>
              <w:top w:val="nil"/>
              <w:left w:val="nil"/>
              <w:bottom w:val="nil"/>
              <w:right w:val="single" w:sz="4" w:space="0" w:color="auto"/>
            </w:tcBorders>
            <w:shd w:val="clear" w:color="auto" w:fill="000000" w:themeFill="text1"/>
            <w:vAlign w:val="center"/>
          </w:tcPr>
          <w:p w14:paraId="55E8234F" w14:textId="5FE7DEA3" w:rsidR="00705303" w:rsidRPr="00BF68D4" w:rsidRDefault="00705303" w:rsidP="00705303">
            <w:pPr>
              <w:jc w:val="right"/>
              <w:rPr>
                <w:rFonts w:ascii="Arial" w:hAnsi="Arial" w:cs="Arial"/>
                <w:color w:val="000000"/>
                <w:sz w:val="20"/>
                <w:szCs w:val="20"/>
              </w:rPr>
            </w:pPr>
          </w:p>
        </w:tc>
        <w:tc>
          <w:tcPr>
            <w:tcW w:w="1172" w:type="dxa"/>
            <w:tcBorders>
              <w:top w:val="nil"/>
              <w:left w:val="nil"/>
              <w:bottom w:val="nil"/>
              <w:right w:val="single" w:sz="4" w:space="0" w:color="auto"/>
            </w:tcBorders>
            <w:shd w:val="clear" w:color="auto" w:fill="000000" w:themeFill="text1"/>
            <w:vAlign w:val="center"/>
          </w:tcPr>
          <w:p w14:paraId="459F728D" w14:textId="430CDF86" w:rsidR="00705303" w:rsidRPr="00BF68D4" w:rsidRDefault="00705303" w:rsidP="00705303">
            <w:pPr>
              <w:jc w:val="center"/>
              <w:rPr>
                <w:rFonts w:ascii="Arial" w:hAnsi="Arial" w:cs="Arial"/>
                <w:color w:val="000000"/>
                <w:sz w:val="20"/>
                <w:szCs w:val="20"/>
              </w:rPr>
            </w:pPr>
          </w:p>
        </w:tc>
        <w:tc>
          <w:tcPr>
            <w:tcW w:w="1094" w:type="dxa"/>
            <w:tcBorders>
              <w:top w:val="nil"/>
              <w:left w:val="nil"/>
              <w:bottom w:val="nil"/>
              <w:right w:val="single" w:sz="4" w:space="0" w:color="auto"/>
            </w:tcBorders>
            <w:shd w:val="clear" w:color="auto" w:fill="000000" w:themeFill="text1"/>
            <w:vAlign w:val="center"/>
          </w:tcPr>
          <w:p w14:paraId="10FA77CC" w14:textId="644EEDFD" w:rsidR="00705303" w:rsidRPr="00BF68D4" w:rsidRDefault="00705303" w:rsidP="00705303">
            <w:pPr>
              <w:jc w:val="right"/>
              <w:rPr>
                <w:rFonts w:ascii="Arial" w:hAnsi="Arial" w:cs="Arial"/>
                <w:color w:val="000000"/>
                <w:sz w:val="20"/>
                <w:szCs w:val="20"/>
              </w:rPr>
            </w:pPr>
          </w:p>
        </w:tc>
      </w:tr>
      <w:tr w:rsidR="00705303" w:rsidRPr="00BF68D4" w14:paraId="0D195739" w14:textId="77777777" w:rsidTr="00D67BC6">
        <w:trPr>
          <w:trHeight w:val="264"/>
          <w:jc w:val="center"/>
        </w:trPr>
        <w:tc>
          <w:tcPr>
            <w:tcW w:w="3687" w:type="dxa"/>
            <w:tcBorders>
              <w:top w:val="nil"/>
              <w:left w:val="single" w:sz="4" w:space="0" w:color="auto"/>
              <w:bottom w:val="nil"/>
              <w:right w:val="single" w:sz="4" w:space="0" w:color="auto"/>
            </w:tcBorders>
            <w:shd w:val="clear" w:color="000000" w:fill="FFFFFF"/>
            <w:noWrap/>
            <w:vAlign w:val="center"/>
            <w:hideMark/>
          </w:tcPr>
          <w:p w14:paraId="6EBE1F19" w14:textId="77777777" w:rsidR="00705303" w:rsidRPr="00BF68D4" w:rsidRDefault="00705303" w:rsidP="00705303">
            <w:pPr>
              <w:rPr>
                <w:rFonts w:ascii="Arial" w:hAnsi="Arial" w:cs="Arial"/>
                <w:color w:val="000000"/>
                <w:sz w:val="20"/>
                <w:szCs w:val="20"/>
              </w:rPr>
            </w:pPr>
            <w:r w:rsidRPr="00BF68D4">
              <w:rPr>
                <w:rFonts w:ascii="Arial" w:hAnsi="Arial" w:cs="Arial"/>
                <w:color w:val="000000"/>
                <w:sz w:val="20"/>
                <w:szCs w:val="20"/>
              </w:rPr>
              <w:t>Schools</w:t>
            </w:r>
          </w:p>
        </w:tc>
        <w:tc>
          <w:tcPr>
            <w:tcW w:w="1017" w:type="dxa"/>
            <w:tcBorders>
              <w:top w:val="nil"/>
              <w:left w:val="nil"/>
              <w:bottom w:val="nil"/>
              <w:right w:val="single" w:sz="4" w:space="0" w:color="auto"/>
            </w:tcBorders>
            <w:shd w:val="clear" w:color="auto" w:fill="000000" w:themeFill="text1"/>
            <w:vAlign w:val="center"/>
          </w:tcPr>
          <w:p w14:paraId="0EBC07AF" w14:textId="65D73995" w:rsidR="00705303" w:rsidRPr="00BF68D4" w:rsidRDefault="00705303" w:rsidP="00705303">
            <w:pPr>
              <w:jc w:val="right"/>
              <w:rPr>
                <w:rFonts w:ascii="Arial" w:hAnsi="Arial" w:cs="Arial"/>
                <w:color w:val="000000"/>
                <w:sz w:val="20"/>
                <w:szCs w:val="20"/>
              </w:rPr>
            </w:pPr>
          </w:p>
        </w:tc>
        <w:tc>
          <w:tcPr>
            <w:tcW w:w="1184" w:type="dxa"/>
            <w:tcBorders>
              <w:top w:val="nil"/>
              <w:left w:val="nil"/>
              <w:bottom w:val="nil"/>
              <w:right w:val="single" w:sz="4" w:space="0" w:color="auto"/>
            </w:tcBorders>
            <w:shd w:val="clear" w:color="auto" w:fill="000000" w:themeFill="text1"/>
            <w:vAlign w:val="center"/>
          </w:tcPr>
          <w:p w14:paraId="5E7F72F4" w14:textId="4B64672E" w:rsidR="00705303" w:rsidRPr="00BF68D4" w:rsidRDefault="00705303" w:rsidP="00705303">
            <w:pPr>
              <w:jc w:val="center"/>
              <w:rPr>
                <w:rFonts w:ascii="Arial" w:hAnsi="Arial" w:cs="Arial"/>
                <w:color w:val="000000"/>
                <w:sz w:val="20"/>
                <w:szCs w:val="20"/>
              </w:rPr>
            </w:pPr>
          </w:p>
        </w:tc>
        <w:tc>
          <w:tcPr>
            <w:tcW w:w="1139" w:type="dxa"/>
            <w:tcBorders>
              <w:top w:val="nil"/>
              <w:left w:val="nil"/>
              <w:bottom w:val="nil"/>
              <w:right w:val="single" w:sz="4" w:space="0" w:color="auto"/>
            </w:tcBorders>
            <w:shd w:val="clear" w:color="auto" w:fill="000000" w:themeFill="text1"/>
            <w:vAlign w:val="center"/>
          </w:tcPr>
          <w:p w14:paraId="5A69E530" w14:textId="25305CCA" w:rsidR="00705303" w:rsidRPr="00BF68D4" w:rsidRDefault="00705303" w:rsidP="00705303">
            <w:pPr>
              <w:jc w:val="right"/>
              <w:rPr>
                <w:rFonts w:ascii="Arial" w:hAnsi="Arial" w:cs="Arial"/>
                <w:color w:val="000000"/>
                <w:sz w:val="20"/>
                <w:szCs w:val="20"/>
              </w:rPr>
            </w:pPr>
          </w:p>
        </w:tc>
        <w:tc>
          <w:tcPr>
            <w:tcW w:w="1172" w:type="dxa"/>
            <w:tcBorders>
              <w:top w:val="nil"/>
              <w:left w:val="nil"/>
              <w:bottom w:val="nil"/>
              <w:right w:val="single" w:sz="4" w:space="0" w:color="auto"/>
            </w:tcBorders>
            <w:shd w:val="clear" w:color="auto" w:fill="000000" w:themeFill="text1"/>
            <w:vAlign w:val="center"/>
          </w:tcPr>
          <w:p w14:paraId="2B8A4784" w14:textId="23A8FE4C" w:rsidR="00705303" w:rsidRPr="00BF68D4" w:rsidRDefault="00705303" w:rsidP="00705303">
            <w:pPr>
              <w:jc w:val="center"/>
              <w:rPr>
                <w:rFonts w:ascii="Arial" w:hAnsi="Arial" w:cs="Arial"/>
                <w:color w:val="000000"/>
                <w:sz w:val="20"/>
                <w:szCs w:val="20"/>
              </w:rPr>
            </w:pPr>
          </w:p>
        </w:tc>
        <w:tc>
          <w:tcPr>
            <w:tcW w:w="1094" w:type="dxa"/>
            <w:tcBorders>
              <w:top w:val="nil"/>
              <w:left w:val="nil"/>
              <w:bottom w:val="nil"/>
              <w:right w:val="single" w:sz="4" w:space="0" w:color="auto"/>
            </w:tcBorders>
            <w:shd w:val="clear" w:color="auto" w:fill="000000" w:themeFill="text1"/>
            <w:vAlign w:val="center"/>
          </w:tcPr>
          <w:p w14:paraId="72E66E10" w14:textId="77E4E819" w:rsidR="00705303" w:rsidRPr="00BF68D4" w:rsidRDefault="00705303" w:rsidP="00705303">
            <w:pPr>
              <w:jc w:val="right"/>
              <w:rPr>
                <w:rFonts w:ascii="Arial" w:hAnsi="Arial" w:cs="Arial"/>
                <w:color w:val="000000"/>
                <w:sz w:val="20"/>
                <w:szCs w:val="20"/>
              </w:rPr>
            </w:pPr>
          </w:p>
        </w:tc>
      </w:tr>
      <w:tr w:rsidR="00705303" w:rsidRPr="00BF68D4" w14:paraId="3CCD68F6" w14:textId="77777777" w:rsidTr="00D67BC6">
        <w:trPr>
          <w:trHeight w:val="264"/>
          <w:jc w:val="center"/>
        </w:trPr>
        <w:tc>
          <w:tcPr>
            <w:tcW w:w="3687" w:type="dxa"/>
            <w:tcBorders>
              <w:top w:val="nil"/>
              <w:left w:val="single" w:sz="4" w:space="0" w:color="auto"/>
              <w:bottom w:val="nil"/>
              <w:right w:val="single" w:sz="4" w:space="0" w:color="auto"/>
            </w:tcBorders>
            <w:shd w:val="clear" w:color="000000" w:fill="FFFFFF"/>
            <w:noWrap/>
            <w:vAlign w:val="center"/>
            <w:hideMark/>
          </w:tcPr>
          <w:p w14:paraId="2033DF7B" w14:textId="77777777" w:rsidR="00705303" w:rsidRPr="00BF68D4" w:rsidRDefault="00705303" w:rsidP="00705303">
            <w:pPr>
              <w:rPr>
                <w:rFonts w:ascii="Arial" w:hAnsi="Arial" w:cs="Arial"/>
                <w:color w:val="000000"/>
                <w:sz w:val="20"/>
                <w:szCs w:val="20"/>
              </w:rPr>
            </w:pPr>
            <w:r w:rsidRPr="00BF68D4">
              <w:rPr>
                <w:rFonts w:ascii="Arial" w:hAnsi="Arial" w:cs="Arial"/>
                <w:color w:val="000000"/>
                <w:sz w:val="20"/>
                <w:szCs w:val="20"/>
              </w:rPr>
              <w:t>Institutional/Government</w:t>
            </w:r>
          </w:p>
        </w:tc>
        <w:tc>
          <w:tcPr>
            <w:tcW w:w="1017" w:type="dxa"/>
            <w:tcBorders>
              <w:top w:val="nil"/>
              <w:left w:val="nil"/>
              <w:bottom w:val="nil"/>
              <w:right w:val="single" w:sz="4" w:space="0" w:color="auto"/>
            </w:tcBorders>
            <w:shd w:val="clear" w:color="auto" w:fill="000000" w:themeFill="text1"/>
            <w:vAlign w:val="center"/>
          </w:tcPr>
          <w:p w14:paraId="011126E3" w14:textId="3862E685" w:rsidR="00705303" w:rsidRPr="00BF68D4" w:rsidRDefault="00705303" w:rsidP="00705303">
            <w:pPr>
              <w:jc w:val="right"/>
              <w:rPr>
                <w:rFonts w:ascii="Arial" w:hAnsi="Arial" w:cs="Arial"/>
                <w:color w:val="000000"/>
                <w:sz w:val="20"/>
                <w:szCs w:val="20"/>
              </w:rPr>
            </w:pPr>
          </w:p>
        </w:tc>
        <w:tc>
          <w:tcPr>
            <w:tcW w:w="1184" w:type="dxa"/>
            <w:tcBorders>
              <w:top w:val="nil"/>
              <w:left w:val="nil"/>
              <w:bottom w:val="nil"/>
              <w:right w:val="single" w:sz="4" w:space="0" w:color="auto"/>
            </w:tcBorders>
            <w:shd w:val="clear" w:color="auto" w:fill="000000" w:themeFill="text1"/>
            <w:vAlign w:val="center"/>
          </w:tcPr>
          <w:p w14:paraId="0A0D8498" w14:textId="1148FEC8" w:rsidR="00705303" w:rsidRPr="00BF68D4" w:rsidRDefault="00705303" w:rsidP="00705303">
            <w:pPr>
              <w:jc w:val="center"/>
              <w:rPr>
                <w:rFonts w:ascii="Arial" w:hAnsi="Arial" w:cs="Arial"/>
                <w:color w:val="000000"/>
                <w:sz w:val="20"/>
                <w:szCs w:val="20"/>
              </w:rPr>
            </w:pPr>
          </w:p>
        </w:tc>
        <w:tc>
          <w:tcPr>
            <w:tcW w:w="1139" w:type="dxa"/>
            <w:tcBorders>
              <w:top w:val="nil"/>
              <w:left w:val="nil"/>
              <w:bottom w:val="nil"/>
              <w:right w:val="single" w:sz="4" w:space="0" w:color="auto"/>
            </w:tcBorders>
            <w:shd w:val="clear" w:color="auto" w:fill="000000" w:themeFill="text1"/>
            <w:vAlign w:val="center"/>
          </w:tcPr>
          <w:p w14:paraId="43A4828D" w14:textId="08D93EC0" w:rsidR="00705303" w:rsidRPr="00BF68D4" w:rsidRDefault="00705303" w:rsidP="00705303">
            <w:pPr>
              <w:jc w:val="right"/>
              <w:rPr>
                <w:rFonts w:ascii="Arial" w:hAnsi="Arial" w:cs="Arial"/>
                <w:color w:val="000000"/>
                <w:sz w:val="20"/>
                <w:szCs w:val="20"/>
              </w:rPr>
            </w:pPr>
          </w:p>
        </w:tc>
        <w:tc>
          <w:tcPr>
            <w:tcW w:w="1172" w:type="dxa"/>
            <w:tcBorders>
              <w:top w:val="nil"/>
              <w:left w:val="nil"/>
              <w:bottom w:val="nil"/>
              <w:right w:val="single" w:sz="4" w:space="0" w:color="auto"/>
            </w:tcBorders>
            <w:shd w:val="clear" w:color="auto" w:fill="000000" w:themeFill="text1"/>
            <w:vAlign w:val="center"/>
          </w:tcPr>
          <w:p w14:paraId="19313D92" w14:textId="1580CA30" w:rsidR="00705303" w:rsidRPr="00BF68D4" w:rsidRDefault="00705303" w:rsidP="00705303">
            <w:pPr>
              <w:jc w:val="center"/>
              <w:rPr>
                <w:rFonts w:ascii="Arial" w:hAnsi="Arial" w:cs="Arial"/>
                <w:color w:val="000000"/>
                <w:sz w:val="20"/>
                <w:szCs w:val="20"/>
              </w:rPr>
            </w:pPr>
          </w:p>
        </w:tc>
        <w:tc>
          <w:tcPr>
            <w:tcW w:w="1094" w:type="dxa"/>
            <w:tcBorders>
              <w:top w:val="nil"/>
              <w:left w:val="nil"/>
              <w:bottom w:val="nil"/>
              <w:right w:val="single" w:sz="4" w:space="0" w:color="auto"/>
            </w:tcBorders>
            <w:shd w:val="clear" w:color="auto" w:fill="000000" w:themeFill="text1"/>
            <w:vAlign w:val="center"/>
          </w:tcPr>
          <w:p w14:paraId="1113B9D9" w14:textId="0CC8FC39" w:rsidR="00705303" w:rsidRPr="00BF68D4" w:rsidRDefault="00705303" w:rsidP="00705303">
            <w:pPr>
              <w:jc w:val="right"/>
              <w:rPr>
                <w:rFonts w:ascii="Arial" w:hAnsi="Arial" w:cs="Arial"/>
                <w:color w:val="000000"/>
                <w:sz w:val="20"/>
                <w:szCs w:val="20"/>
              </w:rPr>
            </w:pPr>
          </w:p>
        </w:tc>
      </w:tr>
      <w:tr w:rsidR="00705303" w:rsidRPr="00BF68D4" w14:paraId="0878586D" w14:textId="77777777" w:rsidTr="00705303">
        <w:trPr>
          <w:trHeight w:val="264"/>
          <w:jc w:val="center"/>
        </w:trPr>
        <w:tc>
          <w:tcPr>
            <w:tcW w:w="3687" w:type="dxa"/>
            <w:tcBorders>
              <w:top w:val="nil"/>
              <w:left w:val="single" w:sz="4" w:space="0" w:color="auto"/>
              <w:bottom w:val="single" w:sz="4" w:space="0" w:color="auto"/>
              <w:right w:val="single" w:sz="4" w:space="0" w:color="auto"/>
            </w:tcBorders>
            <w:shd w:val="clear" w:color="000000" w:fill="FFFFFF"/>
            <w:noWrap/>
            <w:vAlign w:val="center"/>
            <w:hideMark/>
          </w:tcPr>
          <w:p w14:paraId="2F4088E0" w14:textId="77777777" w:rsidR="00705303" w:rsidRPr="00BF68D4" w:rsidRDefault="00705303" w:rsidP="00705303">
            <w:pPr>
              <w:rPr>
                <w:rFonts w:ascii="Arial" w:hAnsi="Arial" w:cs="Arial"/>
                <w:b/>
                <w:bCs/>
                <w:color w:val="000000"/>
                <w:sz w:val="20"/>
                <w:szCs w:val="20"/>
              </w:rPr>
            </w:pPr>
            <w:r w:rsidRPr="00BF68D4">
              <w:rPr>
                <w:rFonts w:ascii="Arial" w:hAnsi="Arial" w:cs="Arial"/>
                <w:b/>
                <w:bCs/>
                <w:color w:val="000000"/>
                <w:sz w:val="20"/>
                <w:szCs w:val="20"/>
              </w:rPr>
              <w:t>Total</w:t>
            </w:r>
          </w:p>
        </w:tc>
        <w:tc>
          <w:tcPr>
            <w:tcW w:w="1017" w:type="dxa"/>
            <w:tcBorders>
              <w:top w:val="nil"/>
              <w:left w:val="nil"/>
              <w:bottom w:val="single" w:sz="4" w:space="0" w:color="auto"/>
              <w:right w:val="single" w:sz="4" w:space="0" w:color="auto"/>
            </w:tcBorders>
            <w:shd w:val="clear" w:color="000000" w:fill="FFFFFF"/>
            <w:vAlign w:val="center"/>
            <w:hideMark/>
          </w:tcPr>
          <w:p w14:paraId="59CFB53E" w14:textId="77777777" w:rsidR="00705303" w:rsidRPr="00BF68D4" w:rsidRDefault="00705303" w:rsidP="00705303">
            <w:pPr>
              <w:jc w:val="right"/>
              <w:rPr>
                <w:rFonts w:ascii="Arial" w:hAnsi="Arial" w:cs="Arial"/>
                <w:b/>
                <w:bCs/>
                <w:color w:val="000000"/>
                <w:sz w:val="20"/>
                <w:szCs w:val="20"/>
              </w:rPr>
            </w:pPr>
            <w:r w:rsidRPr="00BF68D4">
              <w:rPr>
                <w:rFonts w:ascii="Arial" w:hAnsi="Arial" w:cs="Arial"/>
                <w:b/>
                <w:bCs/>
                <w:color w:val="000000"/>
                <w:sz w:val="20"/>
                <w:szCs w:val="20"/>
              </w:rPr>
              <w:t>571</w:t>
            </w:r>
          </w:p>
        </w:tc>
        <w:tc>
          <w:tcPr>
            <w:tcW w:w="1184" w:type="dxa"/>
            <w:tcBorders>
              <w:top w:val="nil"/>
              <w:left w:val="nil"/>
              <w:bottom w:val="single" w:sz="4" w:space="0" w:color="auto"/>
              <w:right w:val="single" w:sz="4" w:space="0" w:color="auto"/>
            </w:tcBorders>
            <w:shd w:val="clear" w:color="000000" w:fill="FFFFFF"/>
            <w:vAlign w:val="center"/>
            <w:hideMark/>
          </w:tcPr>
          <w:p w14:paraId="1068EA63" w14:textId="77777777" w:rsidR="00705303" w:rsidRPr="00BF68D4" w:rsidRDefault="00705303" w:rsidP="00705303">
            <w:pPr>
              <w:jc w:val="center"/>
              <w:rPr>
                <w:rFonts w:ascii="Arial" w:hAnsi="Arial" w:cs="Arial"/>
                <w:b/>
                <w:bCs/>
                <w:color w:val="000000"/>
                <w:sz w:val="20"/>
                <w:szCs w:val="20"/>
              </w:rPr>
            </w:pPr>
            <w:r w:rsidRPr="00BF68D4">
              <w:rPr>
                <w:rFonts w:ascii="Arial" w:hAnsi="Arial" w:cs="Arial"/>
                <w:b/>
                <w:bCs/>
                <w:color w:val="000000"/>
                <w:sz w:val="20"/>
                <w:szCs w:val="20"/>
              </w:rPr>
              <w:t xml:space="preserve">       789.5 </w:t>
            </w:r>
          </w:p>
        </w:tc>
        <w:tc>
          <w:tcPr>
            <w:tcW w:w="1139" w:type="dxa"/>
            <w:tcBorders>
              <w:top w:val="nil"/>
              <w:left w:val="nil"/>
              <w:bottom w:val="single" w:sz="4" w:space="0" w:color="auto"/>
              <w:right w:val="single" w:sz="4" w:space="0" w:color="auto"/>
            </w:tcBorders>
            <w:shd w:val="clear" w:color="000000" w:fill="FFFFFF"/>
            <w:vAlign w:val="center"/>
            <w:hideMark/>
          </w:tcPr>
          <w:p w14:paraId="23F489CB" w14:textId="77777777" w:rsidR="00705303" w:rsidRPr="00BF68D4" w:rsidRDefault="00705303" w:rsidP="00705303">
            <w:pPr>
              <w:jc w:val="right"/>
              <w:rPr>
                <w:rFonts w:ascii="Arial" w:hAnsi="Arial" w:cs="Arial"/>
                <w:b/>
                <w:bCs/>
                <w:color w:val="000000"/>
                <w:sz w:val="20"/>
                <w:szCs w:val="20"/>
              </w:rPr>
            </w:pPr>
            <w:r w:rsidRPr="00BF68D4">
              <w:rPr>
                <w:rFonts w:ascii="Arial" w:hAnsi="Arial" w:cs="Arial"/>
                <w:b/>
                <w:bCs/>
                <w:color w:val="000000"/>
                <w:sz w:val="20"/>
                <w:szCs w:val="20"/>
              </w:rPr>
              <w:t xml:space="preserve">      174.8 </w:t>
            </w:r>
          </w:p>
        </w:tc>
        <w:tc>
          <w:tcPr>
            <w:tcW w:w="1172" w:type="dxa"/>
            <w:tcBorders>
              <w:top w:val="nil"/>
              <w:left w:val="nil"/>
              <w:bottom w:val="single" w:sz="4" w:space="0" w:color="auto"/>
              <w:right w:val="single" w:sz="4" w:space="0" w:color="auto"/>
            </w:tcBorders>
            <w:shd w:val="clear" w:color="000000" w:fill="FFFFFF"/>
            <w:vAlign w:val="center"/>
            <w:hideMark/>
          </w:tcPr>
          <w:p w14:paraId="77570291" w14:textId="3B8BF367" w:rsidR="00705303" w:rsidRPr="00BF68D4" w:rsidRDefault="00705303" w:rsidP="00705303">
            <w:pPr>
              <w:jc w:val="center"/>
              <w:rPr>
                <w:rFonts w:ascii="Arial" w:hAnsi="Arial" w:cs="Arial"/>
                <w:b/>
                <w:bCs/>
                <w:color w:val="000000"/>
                <w:sz w:val="20"/>
                <w:szCs w:val="20"/>
              </w:rPr>
            </w:pPr>
            <w:r>
              <w:rPr>
                <w:rFonts w:ascii="Arial" w:hAnsi="Arial" w:cs="Arial"/>
                <w:b/>
                <w:bCs/>
                <w:color w:val="000000"/>
                <w:sz w:val="20"/>
                <w:szCs w:val="20"/>
              </w:rPr>
              <w:t xml:space="preserve">     614.7 </w:t>
            </w:r>
          </w:p>
        </w:tc>
        <w:tc>
          <w:tcPr>
            <w:tcW w:w="1094" w:type="dxa"/>
            <w:tcBorders>
              <w:top w:val="nil"/>
              <w:left w:val="nil"/>
              <w:bottom w:val="single" w:sz="4" w:space="0" w:color="auto"/>
              <w:right w:val="single" w:sz="4" w:space="0" w:color="auto"/>
            </w:tcBorders>
            <w:shd w:val="clear" w:color="000000" w:fill="FFFFFF"/>
            <w:vAlign w:val="center"/>
            <w:hideMark/>
          </w:tcPr>
          <w:p w14:paraId="600A5C00" w14:textId="77777777" w:rsidR="00705303" w:rsidRPr="00BF68D4" w:rsidRDefault="00705303" w:rsidP="00705303">
            <w:pPr>
              <w:jc w:val="right"/>
              <w:rPr>
                <w:rFonts w:ascii="Arial" w:hAnsi="Arial" w:cs="Arial"/>
                <w:b/>
                <w:bCs/>
                <w:color w:val="000000"/>
                <w:sz w:val="20"/>
                <w:szCs w:val="20"/>
              </w:rPr>
            </w:pPr>
            <w:r w:rsidRPr="00BF68D4">
              <w:rPr>
                <w:rFonts w:ascii="Arial" w:hAnsi="Arial" w:cs="Arial"/>
                <w:b/>
                <w:bCs/>
                <w:color w:val="000000"/>
                <w:sz w:val="20"/>
                <w:szCs w:val="20"/>
              </w:rPr>
              <w:t>77.9%</w:t>
            </w:r>
          </w:p>
        </w:tc>
      </w:tr>
    </w:tbl>
    <w:p w14:paraId="14C5D4F4" w14:textId="77777777" w:rsidR="00BF68D4" w:rsidRDefault="00BF68D4" w:rsidP="00BF68D4">
      <w:pPr>
        <w:pStyle w:val="TableCaption"/>
        <w:keepNext/>
        <w:keepLines/>
      </w:pPr>
    </w:p>
    <w:p w14:paraId="629D0D8C" w14:textId="46B90668" w:rsidR="00321E09" w:rsidRDefault="001D1814" w:rsidP="00C70F01">
      <w:r>
        <w:t>T</w:t>
      </w:r>
      <w:r w:rsidRPr="00CE21AB">
        <w:t>able 4.</w:t>
      </w:r>
      <w:r>
        <w:t>7</w:t>
      </w:r>
      <w:r w:rsidRPr="00CE21AB">
        <w:t xml:space="preserve"> compares the </w:t>
      </w:r>
      <w:r>
        <w:t xml:space="preserve">observed loads and FSLs for the </w:t>
      </w:r>
      <w:r w:rsidR="008102F7">
        <w:t>May 3</w:t>
      </w:r>
      <w:r w:rsidR="008102F7" w:rsidRPr="008102F7">
        <w:rPr>
          <w:vertAlign w:val="superscript"/>
        </w:rPr>
        <w:t>rd</w:t>
      </w:r>
      <w:r w:rsidR="008102F7">
        <w:t xml:space="preserve"> </w:t>
      </w:r>
      <w:r>
        <w:t xml:space="preserve">event day. In aggregate, SCE’s BIP program achieved </w:t>
      </w:r>
      <w:r w:rsidR="00A219D7">
        <w:t>89</w:t>
      </w:r>
      <w:r>
        <w:t xml:space="preserve"> percent of the reduction required to meet its FSL. </w:t>
      </w:r>
    </w:p>
    <w:p w14:paraId="5FDB5242" w14:textId="77777777" w:rsidR="001D1814" w:rsidRDefault="001D1814" w:rsidP="00C70F01"/>
    <w:p w14:paraId="3E1D95F1" w14:textId="7361DAEE" w:rsidR="00321E09" w:rsidRPr="00852320" w:rsidRDefault="00321E09" w:rsidP="00413FAA">
      <w:pPr>
        <w:pStyle w:val="TableCaption"/>
        <w:keepNext/>
        <w:keepLines/>
      </w:pPr>
      <w:bookmarkStart w:id="88" w:name="_Toc508800221"/>
      <w:r w:rsidRPr="00852320">
        <w:t>Table 4.</w:t>
      </w:r>
      <w:r w:rsidR="006C0BBF" w:rsidRPr="00852320">
        <w:t>7</w:t>
      </w:r>
      <w:r w:rsidRPr="00852320">
        <w:t xml:space="preserve">: </w:t>
      </w:r>
      <w:r w:rsidR="009D6A24" w:rsidRPr="00852320">
        <w:t xml:space="preserve">Average </w:t>
      </w:r>
      <w:r w:rsidR="00D47984">
        <w:t>Event-hour</w:t>
      </w:r>
      <w:r w:rsidR="00D47984" w:rsidRPr="00852320">
        <w:t xml:space="preserve"> </w:t>
      </w:r>
      <w:r w:rsidR="009D6A24">
        <w:t>Observed Loads and FSLs</w:t>
      </w:r>
      <w:r w:rsidRPr="00852320">
        <w:rPr>
          <w:i/>
        </w:rPr>
        <w:t>, SCE</w:t>
      </w:r>
      <w:bookmarkEnd w:id="8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995"/>
        <w:gridCol w:w="1406"/>
        <w:gridCol w:w="1238"/>
        <w:gridCol w:w="1417"/>
        <w:gridCol w:w="1517"/>
      </w:tblGrid>
      <w:tr w:rsidR="009D6A24" w14:paraId="565887A1" w14:textId="77777777" w:rsidTr="006B55F6">
        <w:trPr>
          <w:jc w:val="center"/>
        </w:trPr>
        <w:tc>
          <w:tcPr>
            <w:tcW w:w="0" w:type="auto"/>
            <w:tcBorders>
              <w:right w:val="single" w:sz="4" w:space="0" w:color="FFFFFF" w:themeColor="background1"/>
            </w:tcBorders>
            <w:shd w:val="clear" w:color="auto" w:fill="0C2577"/>
            <w:vAlign w:val="center"/>
          </w:tcPr>
          <w:p w14:paraId="06747565" w14:textId="77777777" w:rsidR="009D6A24" w:rsidRPr="007E0A27" w:rsidRDefault="009D6A24" w:rsidP="009D6A24">
            <w:pPr>
              <w:keepNext/>
              <w:keepLines/>
              <w:jc w:val="center"/>
              <w:rPr>
                <w:rFonts w:ascii="Arial" w:hAnsi="Arial" w:cs="Arial"/>
                <w:b/>
                <w:sz w:val="20"/>
                <w:szCs w:val="20"/>
              </w:rPr>
            </w:pPr>
            <w:r w:rsidRPr="007E0A27">
              <w:rPr>
                <w:rFonts w:ascii="Arial" w:hAnsi="Arial" w:cs="Arial"/>
                <w:b/>
                <w:sz w:val="20"/>
                <w:szCs w:val="20"/>
              </w:rPr>
              <w:t>Event</w:t>
            </w:r>
          </w:p>
        </w:tc>
        <w:tc>
          <w:tcPr>
            <w:tcW w:w="0" w:type="auto"/>
            <w:tcBorders>
              <w:left w:val="single" w:sz="4" w:space="0" w:color="FFFFFF" w:themeColor="background1"/>
              <w:right w:val="single" w:sz="4" w:space="0" w:color="FFFFFF" w:themeColor="background1"/>
            </w:tcBorders>
            <w:shd w:val="clear" w:color="auto" w:fill="0C2577"/>
            <w:vAlign w:val="center"/>
          </w:tcPr>
          <w:p w14:paraId="3CC84E67" w14:textId="77777777" w:rsidR="009D6A24" w:rsidRPr="007E0A27" w:rsidRDefault="009D6A24" w:rsidP="009D6A24">
            <w:pPr>
              <w:keepNext/>
              <w:keepLines/>
              <w:jc w:val="center"/>
              <w:rPr>
                <w:rFonts w:ascii="Arial" w:hAnsi="Arial" w:cs="Arial"/>
                <w:b/>
                <w:sz w:val="20"/>
                <w:szCs w:val="20"/>
              </w:rPr>
            </w:pPr>
            <w:r w:rsidRPr="007E0A27">
              <w:rPr>
                <w:rFonts w:ascii="Arial" w:hAnsi="Arial" w:cs="Arial"/>
                <w:b/>
                <w:sz w:val="20"/>
                <w:szCs w:val="20"/>
              </w:rPr>
              <w:t>Date</w:t>
            </w:r>
          </w:p>
        </w:tc>
        <w:tc>
          <w:tcPr>
            <w:tcW w:w="0" w:type="auto"/>
            <w:tcBorders>
              <w:left w:val="single" w:sz="4" w:space="0" w:color="FFFFFF" w:themeColor="background1"/>
              <w:right w:val="single" w:sz="4" w:space="0" w:color="FFFFFF" w:themeColor="background1"/>
            </w:tcBorders>
            <w:shd w:val="clear" w:color="auto" w:fill="0C2577"/>
            <w:vAlign w:val="center"/>
          </w:tcPr>
          <w:p w14:paraId="6B748D6C" w14:textId="77777777" w:rsidR="009D6A24" w:rsidRPr="007E0A27" w:rsidRDefault="009D6A24" w:rsidP="009D6A24">
            <w:pPr>
              <w:keepNext/>
              <w:keepLines/>
              <w:jc w:val="center"/>
              <w:rPr>
                <w:rFonts w:ascii="Arial" w:hAnsi="Arial" w:cs="Arial"/>
                <w:b/>
                <w:sz w:val="20"/>
                <w:szCs w:val="20"/>
              </w:rPr>
            </w:pPr>
            <w:r w:rsidRPr="007E0A27">
              <w:rPr>
                <w:rFonts w:ascii="Arial" w:hAnsi="Arial" w:cs="Arial"/>
                <w:b/>
                <w:sz w:val="20"/>
                <w:szCs w:val="20"/>
              </w:rPr>
              <w:t>Day of Week</w:t>
            </w:r>
          </w:p>
        </w:tc>
        <w:tc>
          <w:tcPr>
            <w:tcW w:w="0" w:type="auto"/>
            <w:tcBorders>
              <w:left w:val="single" w:sz="4" w:space="0" w:color="FFFFFF" w:themeColor="background1"/>
              <w:right w:val="single" w:sz="4" w:space="0" w:color="FFFFFF" w:themeColor="background1"/>
            </w:tcBorders>
            <w:shd w:val="clear" w:color="auto" w:fill="0C2577"/>
          </w:tcPr>
          <w:p w14:paraId="3F66AA5C" w14:textId="532A9B65" w:rsidR="009D6A24" w:rsidRDefault="009D6A24" w:rsidP="009D6A24">
            <w:pPr>
              <w:keepNext/>
              <w:keepLines/>
              <w:jc w:val="center"/>
              <w:rPr>
                <w:rFonts w:ascii="Arial" w:hAnsi="Arial" w:cs="Arial"/>
                <w:b/>
                <w:sz w:val="20"/>
                <w:szCs w:val="20"/>
              </w:rPr>
            </w:pPr>
            <w:r>
              <w:rPr>
                <w:rFonts w:ascii="Arial" w:hAnsi="Arial" w:cs="Arial"/>
                <w:b/>
                <w:sz w:val="20"/>
                <w:szCs w:val="20"/>
              </w:rPr>
              <w:t xml:space="preserve">Observed </w:t>
            </w:r>
          </w:p>
          <w:p w14:paraId="7162576D" w14:textId="60A2600D" w:rsidR="009D6A24" w:rsidRPr="007E0A27" w:rsidRDefault="009D6A24" w:rsidP="009D6A24">
            <w:pPr>
              <w:keepNext/>
              <w:keepLines/>
              <w:jc w:val="center"/>
              <w:rPr>
                <w:rFonts w:ascii="Arial" w:hAnsi="Arial" w:cs="Arial"/>
                <w:b/>
                <w:sz w:val="20"/>
                <w:szCs w:val="20"/>
              </w:rPr>
            </w:pPr>
            <w:r>
              <w:rPr>
                <w:rFonts w:ascii="Arial" w:hAnsi="Arial" w:cs="Arial"/>
                <w:b/>
                <w:sz w:val="20"/>
                <w:szCs w:val="20"/>
              </w:rPr>
              <w:t>Load</w:t>
            </w:r>
            <w:r w:rsidRPr="007E0A27">
              <w:rPr>
                <w:rFonts w:ascii="Arial" w:hAnsi="Arial" w:cs="Arial"/>
                <w:b/>
                <w:sz w:val="20"/>
                <w:szCs w:val="20"/>
              </w:rPr>
              <w:t xml:space="preserve"> (MW)</w:t>
            </w:r>
          </w:p>
        </w:tc>
        <w:tc>
          <w:tcPr>
            <w:tcW w:w="0" w:type="auto"/>
            <w:tcBorders>
              <w:left w:val="single" w:sz="4" w:space="0" w:color="FFFFFF" w:themeColor="background1"/>
              <w:right w:val="single" w:sz="4" w:space="0" w:color="FFFFFF" w:themeColor="background1"/>
            </w:tcBorders>
            <w:shd w:val="clear" w:color="auto" w:fill="0C2577"/>
            <w:vAlign w:val="center"/>
          </w:tcPr>
          <w:p w14:paraId="05F65626" w14:textId="22359522" w:rsidR="009D6A24" w:rsidRDefault="009D6A24" w:rsidP="009D6A24">
            <w:pPr>
              <w:keepNext/>
              <w:keepLines/>
              <w:jc w:val="center"/>
              <w:rPr>
                <w:rFonts w:ascii="Arial" w:hAnsi="Arial" w:cs="Arial"/>
                <w:b/>
                <w:sz w:val="20"/>
                <w:szCs w:val="20"/>
              </w:rPr>
            </w:pPr>
            <w:r>
              <w:rPr>
                <w:rFonts w:ascii="Arial" w:hAnsi="Arial" w:cs="Arial"/>
                <w:b/>
                <w:sz w:val="20"/>
                <w:szCs w:val="20"/>
              </w:rPr>
              <w:t xml:space="preserve">Firm Service </w:t>
            </w:r>
          </w:p>
          <w:p w14:paraId="64C0DFB7" w14:textId="565392DF" w:rsidR="009D6A24" w:rsidRPr="007E0A27" w:rsidRDefault="009D6A24" w:rsidP="009D6A24">
            <w:pPr>
              <w:keepNext/>
              <w:keepLines/>
              <w:jc w:val="center"/>
              <w:rPr>
                <w:rFonts w:ascii="Arial" w:hAnsi="Arial" w:cs="Arial"/>
                <w:b/>
                <w:sz w:val="20"/>
                <w:szCs w:val="20"/>
              </w:rPr>
            </w:pPr>
            <w:r>
              <w:rPr>
                <w:rFonts w:ascii="Arial" w:hAnsi="Arial" w:cs="Arial"/>
                <w:b/>
                <w:sz w:val="20"/>
                <w:szCs w:val="20"/>
              </w:rPr>
              <w:t>Level</w:t>
            </w:r>
            <w:r w:rsidRPr="007E0A27">
              <w:rPr>
                <w:rFonts w:ascii="Arial" w:hAnsi="Arial" w:cs="Arial"/>
                <w:b/>
                <w:sz w:val="20"/>
                <w:szCs w:val="20"/>
              </w:rPr>
              <w:t xml:space="preserve"> (MW)</w:t>
            </w:r>
          </w:p>
        </w:tc>
        <w:tc>
          <w:tcPr>
            <w:tcW w:w="0" w:type="auto"/>
            <w:tcBorders>
              <w:left w:val="single" w:sz="4" w:space="0" w:color="FFFFFF" w:themeColor="background1"/>
            </w:tcBorders>
            <w:shd w:val="clear" w:color="auto" w:fill="0C2577"/>
          </w:tcPr>
          <w:p w14:paraId="4187525A" w14:textId="77777777" w:rsidR="009D6A24" w:rsidRDefault="009D6A24" w:rsidP="009D6A24">
            <w:pPr>
              <w:keepNext/>
              <w:keepLines/>
              <w:jc w:val="center"/>
              <w:rPr>
                <w:rFonts w:ascii="Arial" w:hAnsi="Arial" w:cs="Arial"/>
                <w:b/>
                <w:sz w:val="20"/>
                <w:szCs w:val="20"/>
              </w:rPr>
            </w:pPr>
            <w:r>
              <w:rPr>
                <w:rFonts w:ascii="Arial" w:hAnsi="Arial" w:cs="Arial"/>
                <w:b/>
                <w:sz w:val="20"/>
                <w:szCs w:val="20"/>
              </w:rPr>
              <w:t xml:space="preserve">Estimated LI / </w:t>
            </w:r>
          </w:p>
          <w:p w14:paraId="565357B4" w14:textId="7F6F0F99" w:rsidR="009D6A24" w:rsidRPr="007E0A27" w:rsidRDefault="009D6A24" w:rsidP="009D6A24">
            <w:pPr>
              <w:keepNext/>
              <w:keepLines/>
              <w:jc w:val="center"/>
              <w:rPr>
                <w:rFonts w:ascii="Arial" w:hAnsi="Arial" w:cs="Arial"/>
                <w:b/>
                <w:sz w:val="20"/>
                <w:szCs w:val="20"/>
              </w:rPr>
            </w:pPr>
            <w:r>
              <w:rPr>
                <w:rFonts w:ascii="Arial" w:hAnsi="Arial" w:cs="Arial"/>
                <w:b/>
                <w:sz w:val="20"/>
                <w:szCs w:val="20"/>
              </w:rPr>
              <w:t>LI at FSL</w:t>
            </w:r>
          </w:p>
        </w:tc>
      </w:tr>
      <w:tr w:rsidR="009D6A24" w14:paraId="13312CFF" w14:textId="77777777" w:rsidTr="009D6A24">
        <w:trPr>
          <w:jc w:val="center"/>
        </w:trPr>
        <w:tc>
          <w:tcPr>
            <w:tcW w:w="0" w:type="auto"/>
            <w:vAlign w:val="center"/>
          </w:tcPr>
          <w:p w14:paraId="56E7E122" w14:textId="77777777" w:rsidR="009D6A24" w:rsidRPr="007E0A27" w:rsidRDefault="009D6A24" w:rsidP="009D6A24">
            <w:pPr>
              <w:keepNext/>
              <w:keepLines/>
              <w:jc w:val="center"/>
              <w:rPr>
                <w:rFonts w:ascii="Arial" w:hAnsi="Arial" w:cs="Arial"/>
                <w:sz w:val="20"/>
                <w:szCs w:val="20"/>
              </w:rPr>
            </w:pPr>
            <w:r w:rsidRPr="007E0A27">
              <w:rPr>
                <w:rFonts w:ascii="Arial" w:hAnsi="Arial" w:cs="Arial"/>
                <w:sz w:val="20"/>
                <w:szCs w:val="20"/>
              </w:rPr>
              <w:t>1</w:t>
            </w:r>
          </w:p>
        </w:tc>
        <w:tc>
          <w:tcPr>
            <w:tcW w:w="0" w:type="auto"/>
            <w:vAlign w:val="center"/>
          </w:tcPr>
          <w:p w14:paraId="18B4AF7E" w14:textId="4895B9AE" w:rsidR="009D6A24" w:rsidRPr="007E0A27" w:rsidRDefault="008102F7" w:rsidP="00125E01">
            <w:pPr>
              <w:keepNext/>
              <w:keepLines/>
              <w:jc w:val="center"/>
              <w:rPr>
                <w:rFonts w:ascii="Arial" w:hAnsi="Arial" w:cs="Arial"/>
                <w:sz w:val="20"/>
                <w:szCs w:val="20"/>
              </w:rPr>
            </w:pPr>
            <w:r>
              <w:rPr>
                <w:rFonts w:ascii="Arial" w:hAnsi="Arial" w:cs="Arial"/>
                <w:sz w:val="20"/>
                <w:szCs w:val="20"/>
              </w:rPr>
              <w:t>5</w:t>
            </w:r>
            <w:r w:rsidR="009D6A24">
              <w:rPr>
                <w:rFonts w:ascii="Arial" w:hAnsi="Arial" w:cs="Arial"/>
                <w:sz w:val="20"/>
                <w:szCs w:val="20"/>
              </w:rPr>
              <w:t>/</w:t>
            </w:r>
            <w:r>
              <w:rPr>
                <w:rFonts w:ascii="Arial" w:hAnsi="Arial" w:cs="Arial"/>
                <w:sz w:val="20"/>
                <w:szCs w:val="20"/>
              </w:rPr>
              <w:t>3</w:t>
            </w:r>
            <w:r w:rsidR="009D6A24">
              <w:rPr>
                <w:rFonts w:ascii="Arial" w:hAnsi="Arial" w:cs="Arial"/>
                <w:sz w:val="20"/>
                <w:szCs w:val="20"/>
              </w:rPr>
              <w:t>/201</w:t>
            </w:r>
            <w:r>
              <w:rPr>
                <w:rFonts w:ascii="Arial" w:hAnsi="Arial" w:cs="Arial"/>
                <w:sz w:val="20"/>
                <w:szCs w:val="20"/>
              </w:rPr>
              <w:t>7</w:t>
            </w:r>
          </w:p>
        </w:tc>
        <w:tc>
          <w:tcPr>
            <w:tcW w:w="0" w:type="auto"/>
            <w:vAlign w:val="center"/>
          </w:tcPr>
          <w:p w14:paraId="66BD3BF4" w14:textId="13781A64" w:rsidR="009D6A24" w:rsidRPr="007E0A27" w:rsidRDefault="008102F7" w:rsidP="009D6A24">
            <w:pPr>
              <w:keepNext/>
              <w:keepLines/>
              <w:jc w:val="center"/>
              <w:rPr>
                <w:rFonts w:ascii="Arial" w:hAnsi="Arial" w:cs="Arial"/>
                <w:sz w:val="20"/>
                <w:szCs w:val="20"/>
              </w:rPr>
            </w:pPr>
            <w:r>
              <w:rPr>
                <w:rFonts w:ascii="Arial" w:hAnsi="Arial" w:cs="Arial"/>
                <w:sz w:val="20"/>
                <w:szCs w:val="20"/>
              </w:rPr>
              <w:t>Wednes</w:t>
            </w:r>
            <w:r w:rsidR="009D6A24">
              <w:rPr>
                <w:rFonts w:ascii="Arial" w:hAnsi="Arial" w:cs="Arial"/>
                <w:sz w:val="20"/>
                <w:szCs w:val="20"/>
              </w:rPr>
              <w:t>day</w:t>
            </w:r>
          </w:p>
        </w:tc>
        <w:tc>
          <w:tcPr>
            <w:tcW w:w="0" w:type="auto"/>
            <w:vAlign w:val="center"/>
          </w:tcPr>
          <w:p w14:paraId="04B1EEEA" w14:textId="4C05ED26" w:rsidR="009D6A24" w:rsidRPr="000E113A" w:rsidRDefault="008102F7" w:rsidP="00125E01">
            <w:pPr>
              <w:jc w:val="right"/>
              <w:rPr>
                <w:rFonts w:ascii="Arial" w:hAnsi="Arial" w:cs="Arial"/>
                <w:sz w:val="20"/>
                <w:szCs w:val="20"/>
              </w:rPr>
            </w:pPr>
            <w:r>
              <w:rPr>
                <w:rFonts w:ascii="Arial" w:hAnsi="Arial" w:cs="Arial"/>
                <w:sz w:val="20"/>
                <w:szCs w:val="20"/>
              </w:rPr>
              <w:t>174</w:t>
            </w:r>
            <w:r w:rsidR="009D6A24">
              <w:rPr>
                <w:rFonts w:ascii="Arial" w:hAnsi="Arial" w:cs="Arial"/>
                <w:sz w:val="20"/>
                <w:szCs w:val="20"/>
              </w:rPr>
              <w:t>.</w:t>
            </w:r>
            <w:r>
              <w:rPr>
                <w:rFonts w:ascii="Arial" w:hAnsi="Arial" w:cs="Arial"/>
                <w:sz w:val="20"/>
                <w:szCs w:val="20"/>
              </w:rPr>
              <w:t>8</w:t>
            </w:r>
          </w:p>
        </w:tc>
        <w:tc>
          <w:tcPr>
            <w:tcW w:w="0" w:type="auto"/>
            <w:vAlign w:val="center"/>
          </w:tcPr>
          <w:p w14:paraId="3927305E" w14:textId="311B23E0" w:rsidR="009D6A24" w:rsidRPr="000E113A" w:rsidRDefault="00D47984" w:rsidP="00125E01">
            <w:pPr>
              <w:jc w:val="right"/>
              <w:rPr>
                <w:rFonts w:ascii="Arial" w:hAnsi="Arial" w:cs="Arial"/>
                <w:sz w:val="20"/>
                <w:szCs w:val="20"/>
              </w:rPr>
            </w:pPr>
            <w:r>
              <w:rPr>
                <w:rFonts w:ascii="Arial" w:hAnsi="Arial" w:cs="Arial"/>
                <w:sz w:val="20"/>
                <w:szCs w:val="20"/>
              </w:rPr>
              <w:t>98.0</w:t>
            </w:r>
          </w:p>
        </w:tc>
        <w:tc>
          <w:tcPr>
            <w:tcW w:w="0" w:type="auto"/>
            <w:vAlign w:val="center"/>
          </w:tcPr>
          <w:p w14:paraId="2F776A2E" w14:textId="7DA43AFD" w:rsidR="009D6A24" w:rsidRPr="000E113A" w:rsidRDefault="00D47984" w:rsidP="00125E01">
            <w:pPr>
              <w:jc w:val="right"/>
              <w:rPr>
                <w:rFonts w:ascii="Arial" w:hAnsi="Arial" w:cs="Arial"/>
                <w:sz w:val="20"/>
                <w:szCs w:val="20"/>
              </w:rPr>
            </w:pPr>
            <w:r>
              <w:rPr>
                <w:rFonts w:ascii="Arial" w:hAnsi="Arial" w:cs="Arial"/>
                <w:sz w:val="20"/>
                <w:szCs w:val="20"/>
              </w:rPr>
              <w:t>89</w:t>
            </w:r>
            <w:r w:rsidR="00366340">
              <w:rPr>
                <w:rFonts w:ascii="Arial" w:hAnsi="Arial" w:cs="Arial"/>
                <w:sz w:val="20"/>
                <w:szCs w:val="20"/>
              </w:rPr>
              <w:t>%</w:t>
            </w:r>
          </w:p>
        </w:tc>
      </w:tr>
    </w:tbl>
    <w:p w14:paraId="037103A9" w14:textId="77777777" w:rsidR="00321E09" w:rsidRDefault="00321E09" w:rsidP="00DF6FCB"/>
    <w:p w14:paraId="21A62298" w14:textId="36AC8E3E" w:rsidR="00321E09" w:rsidRDefault="00321E09" w:rsidP="00C70F01">
      <w:r>
        <w:t>Table 4.</w:t>
      </w:r>
      <w:r w:rsidR="00B3661A">
        <w:t>8</w:t>
      </w:r>
      <w:r>
        <w:t xml:space="preserve"> summarize</w:t>
      </w:r>
      <w:r w:rsidR="001D1814">
        <w:t>s</w:t>
      </w:r>
      <w:r>
        <w:t xml:space="preserve"> average hourly load impacts</w:t>
      </w:r>
      <w:r w:rsidR="001D1814">
        <w:t xml:space="preserve"> by</w:t>
      </w:r>
      <w:r>
        <w:t xml:space="preserve"> LCA</w:t>
      </w:r>
      <w:r w:rsidR="001D1814">
        <w:t xml:space="preserve"> and location (South Orange County, South of Lugo, and elsewhere)</w:t>
      </w:r>
      <w:r>
        <w:t>.</w:t>
      </w:r>
      <w:r w:rsidR="008A6AC6">
        <w:t xml:space="preserve"> </w:t>
      </w:r>
      <w:r w:rsidR="001D1814">
        <w:t>The majority of the load impact comes from customers in the LA Basin.</w:t>
      </w:r>
    </w:p>
    <w:p w14:paraId="7D89DD88" w14:textId="35EFC8DA" w:rsidR="00670145" w:rsidRDefault="00670145" w:rsidP="00C70F01"/>
    <w:p w14:paraId="089CE25C" w14:textId="0A52F1EC" w:rsidR="00321E09" w:rsidRDefault="00321E09" w:rsidP="00D6448E">
      <w:pPr>
        <w:pStyle w:val="TableCaption"/>
        <w:keepNext/>
        <w:keepLines/>
        <w:rPr>
          <w:i/>
        </w:rPr>
      </w:pPr>
      <w:bookmarkStart w:id="89" w:name="_Toc508800222"/>
      <w:r w:rsidRPr="00852320">
        <w:lastRenderedPageBreak/>
        <w:t>Table 4.</w:t>
      </w:r>
      <w:r w:rsidR="001D1814">
        <w:t>8</w:t>
      </w:r>
      <w:r w:rsidRPr="00852320">
        <w:t>: Average</w:t>
      </w:r>
      <w:r w:rsidR="00742A4F">
        <w:t xml:space="preserve"> Event-</w:t>
      </w:r>
      <w:r w:rsidR="00B32EAB">
        <w:t xml:space="preserve">hour </w:t>
      </w:r>
      <w:r w:rsidR="009D6A24">
        <w:t xml:space="preserve">Load Impacts – SCE </w:t>
      </w:r>
      <w:r w:rsidRPr="00852320">
        <w:t>B</w:t>
      </w:r>
      <w:r w:rsidR="009D6A24">
        <w:t>I</w:t>
      </w:r>
      <w:r w:rsidRPr="00852320">
        <w:t xml:space="preserve">P, </w:t>
      </w:r>
      <w:r w:rsidRPr="00852320">
        <w:rPr>
          <w:i/>
        </w:rPr>
        <w:t>by LCA</w:t>
      </w:r>
      <w:bookmarkEnd w:id="89"/>
    </w:p>
    <w:tbl>
      <w:tblPr>
        <w:tblW w:w="8630" w:type="dxa"/>
        <w:tblLook w:val="04A0" w:firstRow="1" w:lastRow="0" w:firstColumn="1" w:lastColumn="0" w:noHBand="0" w:noVBand="1"/>
      </w:tblPr>
      <w:tblGrid>
        <w:gridCol w:w="3055"/>
        <w:gridCol w:w="1130"/>
        <w:gridCol w:w="1184"/>
        <w:gridCol w:w="1139"/>
        <w:gridCol w:w="1172"/>
        <w:gridCol w:w="950"/>
      </w:tblGrid>
      <w:tr w:rsidR="00D6448E" w:rsidRPr="00D6448E" w14:paraId="006174D4" w14:textId="77777777" w:rsidTr="006B55F6">
        <w:trPr>
          <w:trHeight w:val="1020"/>
        </w:trPr>
        <w:tc>
          <w:tcPr>
            <w:tcW w:w="3055" w:type="dxa"/>
            <w:tcBorders>
              <w:top w:val="single" w:sz="4" w:space="0" w:color="auto"/>
              <w:left w:val="single" w:sz="4" w:space="0" w:color="auto"/>
              <w:bottom w:val="single" w:sz="4" w:space="0" w:color="auto"/>
              <w:right w:val="single" w:sz="4" w:space="0" w:color="FFFFFF"/>
            </w:tcBorders>
            <w:shd w:val="clear" w:color="auto" w:fill="0C2577"/>
            <w:vAlign w:val="center"/>
            <w:hideMark/>
          </w:tcPr>
          <w:p w14:paraId="583ECC6C" w14:textId="77777777" w:rsidR="00D6448E" w:rsidRPr="00D6448E" w:rsidRDefault="00D6448E" w:rsidP="008B2D4A">
            <w:pPr>
              <w:keepNext/>
              <w:jc w:val="center"/>
              <w:rPr>
                <w:rFonts w:ascii="Arial" w:hAnsi="Arial" w:cs="Arial"/>
                <w:b/>
                <w:bCs/>
                <w:color w:val="FFFFFF"/>
                <w:sz w:val="20"/>
                <w:szCs w:val="20"/>
              </w:rPr>
            </w:pPr>
            <w:r w:rsidRPr="00D6448E">
              <w:rPr>
                <w:rFonts w:ascii="Arial" w:hAnsi="Arial" w:cs="Arial"/>
                <w:b/>
                <w:bCs/>
                <w:color w:val="FFFFFF"/>
                <w:sz w:val="20"/>
                <w:szCs w:val="20"/>
              </w:rPr>
              <w:t>Industry Group</w:t>
            </w:r>
          </w:p>
        </w:tc>
        <w:tc>
          <w:tcPr>
            <w:tcW w:w="1204" w:type="dxa"/>
            <w:tcBorders>
              <w:top w:val="single" w:sz="4" w:space="0" w:color="auto"/>
              <w:left w:val="nil"/>
              <w:bottom w:val="single" w:sz="4" w:space="0" w:color="auto"/>
              <w:right w:val="single" w:sz="4" w:space="0" w:color="FFFFFF"/>
            </w:tcBorders>
            <w:shd w:val="clear" w:color="auto" w:fill="0C2577"/>
            <w:vAlign w:val="center"/>
            <w:hideMark/>
          </w:tcPr>
          <w:p w14:paraId="7C3538B4" w14:textId="77777777" w:rsidR="00D6448E" w:rsidRPr="00D6448E" w:rsidRDefault="00D6448E" w:rsidP="008B2D4A">
            <w:pPr>
              <w:keepNext/>
              <w:jc w:val="center"/>
              <w:rPr>
                <w:rFonts w:ascii="Arial" w:hAnsi="Arial" w:cs="Arial"/>
                <w:b/>
                <w:bCs/>
                <w:color w:val="FFFFFF"/>
                <w:sz w:val="20"/>
                <w:szCs w:val="20"/>
              </w:rPr>
            </w:pPr>
            <w:r w:rsidRPr="00D6448E">
              <w:rPr>
                <w:rFonts w:ascii="Arial" w:hAnsi="Arial" w:cs="Arial"/>
                <w:b/>
                <w:bCs/>
                <w:color w:val="FFFFFF"/>
                <w:sz w:val="20"/>
                <w:szCs w:val="20"/>
              </w:rPr>
              <w:t>Enrolled</w:t>
            </w:r>
          </w:p>
        </w:tc>
        <w:tc>
          <w:tcPr>
            <w:tcW w:w="1164" w:type="dxa"/>
            <w:tcBorders>
              <w:top w:val="single" w:sz="4" w:space="0" w:color="auto"/>
              <w:left w:val="nil"/>
              <w:bottom w:val="single" w:sz="4" w:space="0" w:color="auto"/>
              <w:right w:val="single" w:sz="4" w:space="0" w:color="FFFFFF"/>
            </w:tcBorders>
            <w:shd w:val="clear" w:color="auto" w:fill="0C2577"/>
            <w:vAlign w:val="center"/>
            <w:hideMark/>
          </w:tcPr>
          <w:p w14:paraId="20CD39B1" w14:textId="77777777" w:rsidR="00D6448E" w:rsidRPr="00D6448E" w:rsidRDefault="00D6448E" w:rsidP="008B2D4A">
            <w:pPr>
              <w:keepNext/>
              <w:jc w:val="center"/>
              <w:rPr>
                <w:rFonts w:ascii="Arial" w:hAnsi="Arial" w:cs="Arial"/>
                <w:b/>
                <w:bCs/>
                <w:color w:val="FFFFFF"/>
                <w:sz w:val="20"/>
                <w:szCs w:val="20"/>
              </w:rPr>
            </w:pPr>
            <w:r w:rsidRPr="00D6448E">
              <w:rPr>
                <w:rFonts w:ascii="Arial" w:hAnsi="Arial" w:cs="Arial"/>
                <w:b/>
                <w:bCs/>
                <w:color w:val="FFFFFF"/>
                <w:sz w:val="20"/>
                <w:szCs w:val="20"/>
              </w:rPr>
              <w:t>Estimated Reference Load (MWh/h)</w:t>
            </w:r>
          </w:p>
        </w:tc>
        <w:tc>
          <w:tcPr>
            <w:tcW w:w="1120" w:type="dxa"/>
            <w:tcBorders>
              <w:top w:val="single" w:sz="4" w:space="0" w:color="auto"/>
              <w:left w:val="nil"/>
              <w:bottom w:val="single" w:sz="4" w:space="0" w:color="auto"/>
              <w:right w:val="single" w:sz="4" w:space="0" w:color="FFFFFF"/>
            </w:tcBorders>
            <w:shd w:val="clear" w:color="auto" w:fill="0C2577"/>
            <w:vAlign w:val="center"/>
            <w:hideMark/>
          </w:tcPr>
          <w:p w14:paraId="7C2B0F24" w14:textId="77777777" w:rsidR="00D6448E" w:rsidRPr="00D6448E" w:rsidRDefault="00D6448E" w:rsidP="008B2D4A">
            <w:pPr>
              <w:keepNext/>
              <w:jc w:val="center"/>
              <w:rPr>
                <w:rFonts w:ascii="Arial" w:hAnsi="Arial" w:cs="Arial"/>
                <w:b/>
                <w:bCs/>
                <w:color w:val="FFFFFF"/>
                <w:sz w:val="20"/>
                <w:szCs w:val="20"/>
              </w:rPr>
            </w:pPr>
            <w:r w:rsidRPr="00D6448E">
              <w:rPr>
                <w:rFonts w:ascii="Arial" w:hAnsi="Arial" w:cs="Arial"/>
                <w:b/>
                <w:bCs/>
                <w:color w:val="FFFFFF"/>
                <w:sz w:val="20"/>
                <w:szCs w:val="20"/>
              </w:rPr>
              <w:t>Observed Load (MWh/h)</w:t>
            </w:r>
          </w:p>
        </w:tc>
        <w:tc>
          <w:tcPr>
            <w:tcW w:w="1152" w:type="dxa"/>
            <w:tcBorders>
              <w:top w:val="single" w:sz="4" w:space="0" w:color="auto"/>
              <w:left w:val="nil"/>
              <w:bottom w:val="nil"/>
              <w:right w:val="single" w:sz="4" w:space="0" w:color="auto"/>
            </w:tcBorders>
            <w:shd w:val="clear" w:color="auto" w:fill="0C2577"/>
            <w:vAlign w:val="center"/>
            <w:hideMark/>
          </w:tcPr>
          <w:p w14:paraId="1AF0E219" w14:textId="77777777" w:rsidR="00D6448E" w:rsidRPr="00D6448E" w:rsidRDefault="00D6448E" w:rsidP="008B2D4A">
            <w:pPr>
              <w:keepNext/>
              <w:jc w:val="center"/>
              <w:rPr>
                <w:rFonts w:ascii="Arial" w:hAnsi="Arial" w:cs="Arial"/>
                <w:b/>
                <w:bCs/>
                <w:color w:val="FFFFFF"/>
                <w:sz w:val="20"/>
                <w:szCs w:val="20"/>
              </w:rPr>
            </w:pPr>
            <w:r w:rsidRPr="00D6448E">
              <w:rPr>
                <w:rFonts w:ascii="Arial" w:hAnsi="Arial" w:cs="Arial"/>
                <w:b/>
                <w:bCs/>
                <w:color w:val="FFFFFF"/>
                <w:sz w:val="20"/>
                <w:szCs w:val="20"/>
              </w:rPr>
              <w:t>Estimated Load Impact (MWh/h)</w:t>
            </w:r>
          </w:p>
        </w:tc>
        <w:tc>
          <w:tcPr>
            <w:tcW w:w="935" w:type="dxa"/>
            <w:tcBorders>
              <w:top w:val="single" w:sz="4" w:space="0" w:color="auto"/>
              <w:left w:val="nil"/>
              <w:bottom w:val="nil"/>
              <w:right w:val="single" w:sz="4" w:space="0" w:color="auto"/>
            </w:tcBorders>
            <w:shd w:val="clear" w:color="auto" w:fill="0C2577"/>
            <w:vAlign w:val="center"/>
            <w:hideMark/>
          </w:tcPr>
          <w:p w14:paraId="261EA30A" w14:textId="77777777" w:rsidR="00D6448E" w:rsidRPr="00D6448E" w:rsidRDefault="00D6448E" w:rsidP="008B2D4A">
            <w:pPr>
              <w:keepNext/>
              <w:jc w:val="center"/>
              <w:rPr>
                <w:rFonts w:ascii="Arial" w:hAnsi="Arial" w:cs="Arial"/>
                <w:b/>
                <w:bCs/>
                <w:color w:val="FFFFFF"/>
                <w:sz w:val="20"/>
                <w:szCs w:val="20"/>
              </w:rPr>
            </w:pPr>
            <w:r w:rsidRPr="00D6448E">
              <w:rPr>
                <w:rFonts w:ascii="Arial" w:hAnsi="Arial" w:cs="Arial"/>
                <w:b/>
                <w:bCs/>
                <w:color w:val="FFFFFF"/>
                <w:sz w:val="20"/>
                <w:szCs w:val="20"/>
              </w:rPr>
              <w:t>Percent Load Impact</w:t>
            </w:r>
          </w:p>
        </w:tc>
      </w:tr>
      <w:tr w:rsidR="00D6448E" w:rsidRPr="00D6448E" w14:paraId="620FA48D" w14:textId="77777777" w:rsidTr="00A219D7">
        <w:trPr>
          <w:trHeight w:val="300"/>
        </w:trPr>
        <w:tc>
          <w:tcPr>
            <w:tcW w:w="3055" w:type="dxa"/>
            <w:tcBorders>
              <w:top w:val="nil"/>
              <w:left w:val="single" w:sz="4" w:space="0" w:color="auto"/>
              <w:bottom w:val="nil"/>
              <w:right w:val="single" w:sz="4" w:space="0" w:color="auto"/>
            </w:tcBorders>
            <w:shd w:val="clear" w:color="000000" w:fill="FFFFFF"/>
            <w:noWrap/>
            <w:vAlign w:val="center"/>
            <w:hideMark/>
          </w:tcPr>
          <w:p w14:paraId="35CB935A" w14:textId="77777777" w:rsidR="00D6448E" w:rsidRPr="00D6448E" w:rsidRDefault="00D6448E" w:rsidP="008B2D4A">
            <w:pPr>
              <w:keepNext/>
              <w:rPr>
                <w:rFonts w:ascii="Arial" w:hAnsi="Arial" w:cs="Arial"/>
                <w:color w:val="000000"/>
                <w:sz w:val="20"/>
                <w:szCs w:val="20"/>
              </w:rPr>
            </w:pPr>
            <w:r w:rsidRPr="00D6448E">
              <w:rPr>
                <w:rFonts w:ascii="Arial" w:hAnsi="Arial" w:cs="Arial"/>
                <w:color w:val="000000"/>
                <w:sz w:val="20"/>
                <w:szCs w:val="20"/>
              </w:rPr>
              <w:t>LA Basin</w:t>
            </w:r>
          </w:p>
        </w:tc>
        <w:tc>
          <w:tcPr>
            <w:tcW w:w="1204" w:type="dxa"/>
            <w:tcBorders>
              <w:top w:val="nil"/>
              <w:left w:val="nil"/>
              <w:bottom w:val="nil"/>
              <w:right w:val="single" w:sz="4" w:space="0" w:color="auto"/>
            </w:tcBorders>
            <w:shd w:val="clear" w:color="000000" w:fill="FFFFFF"/>
            <w:vAlign w:val="center"/>
            <w:hideMark/>
          </w:tcPr>
          <w:p w14:paraId="5DE0AF39" w14:textId="77777777" w:rsidR="00D6448E" w:rsidRPr="00D6448E" w:rsidRDefault="00D6448E" w:rsidP="008B2D4A">
            <w:pPr>
              <w:keepNext/>
              <w:jc w:val="right"/>
              <w:rPr>
                <w:rFonts w:ascii="Arial" w:hAnsi="Arial" w:cs="Arial"/>
                <w:color w:val="000000"/>
                <w:sz w:val="20"/>
                <w:szCs w:val="20"/>
              </w:rPr>
            </w:pPr>
            <w:r w:rsidRPr="00D6448E">
              <w:rPr>
                <w:rFonts w:ascii="Arial" w:hAnsi="Arial" w:cs="Arial"/>
                <w:color w:val="000000"/>
                <w:sz w:val="20"/>
                <w:szCs w:val="20"/>
              </w:rPr>
              <w:t>480</w:t>
            </w:r>
          </w:p>
        </w:tc>
        <w:tc>
          <w:tcPr>
            <w:tcW w:w="1164" w:type="dxa"/>
            <w:tcBorders>
              <w:top w:val="nil"/>
              <w:left w:val="nil"/>
              <w:bottom w:val="nil"/>
              <w:right w:val="single" w:sz="4" w:space="0" w:color="auto"/>
            </w:tcBorders>
            <w:shd w:val="clear" w:color="000000" w:fill="FFFFFF"/>
            <w:vAlign w:val="center"/>
            <w:hideMark/>
          </w:tcPr>
          <w:p w14:paraId="0FAF0988" w14:textId="77777777" w:rsidR="00D6448E" w:rsidRPr="00D6448E" w:rsidRDefault="00D6448E" w:rsidP="008B2D4A">
            <w:pPr>
              <w:keepNext/>
              <w:jc w:val="center"/>
              <w:rPr>
                <w:rFonts w:ascii="Arial" w:hAnsi="Arial" w:cs="Arial"/>
                <w:color w:val="000000"/>
                <w:sz w:val="20"/>
                <w:szCs w:val="20"/>
              </w:rPr>
            </w:pPr>
            <w:r w:rsidRPr="00D6448E">
              <w:rPr>
                <w:rFonts w:ascii="Arial" w:hAnsi="Arial" w:cs="Arial"/>
                <w:color w:val="000000"/>
                <w:sz w:val="20"/>
                <w:szCs w:val="20"/>
              </w:rPr>
              <w:t xml:space="preserve">       582.5 </w:t>
            </w:r>
          </w:p>
        </w:tc>
        <w:tc>
          <w:tcPr>
            <w:tcW w:w="1120" w:type="dxa"/>
            <w:tcBorders>
              <w:top w:val="nil"/>
              <w:left w:val="nil"/>
              <w:bottom w:val="nil"/>
              <w:right w:val="single" w:sz="4" w:space="0" w:color="auto"/>
            </w:tcBorders>
            <w:shd w:val="clear" w:color="000000" w:fill="FFFFFF"/>
            <w:vAlign w:val="center"/>
            <w:hideMark/>
          </w:tcPr>
          <w:p w14:paraId="490D687E" w14:textId="77777777" w:rsidR="00D6448E" w:rsidRPr="00D6448E" w:rsidRDefault="00D6448E" w:rsidP="008B2D4A">
            <w:pPr>
              <w:keepNext/>
              <w:jc w:val="right"/>
              <w:rPr>
                <w:rFonts w:ascii="Arial" w:hAnsi="Arial" w:cs="Arial"/>
                <w:color w:val="000000"/>
                <w:sz w:val="20"/>
                <w:szCs w:val="20"/>
              </w:rPr>
            </w:pPr>
            <w:r w:rsidRPr="00D6448E">
              <w:rPr>
                <w:rFonts w:ascii="Arial" w:hAnsi="Arial" w:cs="Arial"/>
                <w:color w:val="000000"/>
                <w:sz w:val="20"/>
                <w:szCs w:val="20"/>
              </w:rPr>
              <w:t xml:space="preserve">      147.3 </w:t>
            </w:r>
          </w:p>
        </w:tc>
        <w:tc>
          <w:tcPr>
            <w:tcW w:w="1152" w:type="dxa"/>
            <w:tcBorders>
              <w:top w:val="single" w:sz="4" w:space="0" w:color="auto"/>
              <w:left w:val="nil"/>
              <w:bottom w:val="nil"/>
              <w:right w:val="single" w:sz="4" w:space="0" w:color="auto"/>
            </w:tcBorders>
            <w:shd w:val="clear" w:color="000000" w:fill="FFFFFF"/>
            <w:vAlign w:val="center"/>
            <w:hideMark/>
          </w:tcPr>
          <w:p w14:paraId="226E8B8F" w14:textId="77777777" w:rsidR="00D6448E" w:rsidRPr="00D6448E" w:rsidRDefault="00D6448E" w:rsidP="008B2D4A">
            <w:pPr>
              <w:keepNext/>
              <w:jc w:val="center"/>
              <w:rPr>
                <w:rFonts w:ascii="Arial" w:hAnsi="Arial" w:cs="Arial"/>
                <w:color w:val="000000"/>
                <w:sz w:val="20"/>
                <w:szCs w:val="20"/>
              </w:rPr>
            </w:pPr>
            <w:r w:rsidRPr="00D6448E">
              <w:rPr>
                <w:rFonts w:ascii="Arial" w:hAnsi="Arial" w:cs="Arial"/>
                <w:color w:val="000000"/>
                <w:sz w:val="20"/>
                <w:szCs w:val="20"/>
              </w:rPr>
              <w:t xml:space="preserve">     435.1 </w:t>
            </w:r>
          </w:p>
        </w:tc>
        <w:tc>
          <w:tcPr>
            <w:tcW w:w="935" w:type="dxa"/>
            <w:tcBorders>
              <w:top w:val="single" w:sz="4" w:space="0" w:color="auto"/>
              <w:left w:val="nil"/>
              <w:bottom w:val="nil"/>
              <w:right w:val="single" w:sz="4" w:space="0" w:color="auto"/>
            </w:tcBorders>
            <w:shd w:val="clear" w:color="000000" w:fill="FFFFFF"/>
            <w:vAlign w:val="center"/>
            <w:hideMark/>
          </w:tcPr>
          <w:p w14:paraId="05ECA201" w14:textId="77777777" w:rsidR="00D6448E" w:rsidRPr="00D6448E" w:rsidRDefault="00D6448E" w:rsidP="008B2D4A">
            <w:pPr>
              <w:keepNext/>
              <w:jc w:val="right"/>
              <w:rPr>
                <w:rFonts w:ascii="Arial" w:hAnsi="Arial" w:cs="Arial"/>
                <w:color w:val="000000"/>
                <w:sz w:val="20"/>
                <w:szCs w:val="20"/>
              </w:rPr>
            </w:pPr>
            <w:r w:rsidRPr="00D6448E">
              <w:rPr>
                <w:rFonts w:ascii="Arial" w:hAnsi="Arial" w:cs="Arial"/>
                <w:color w:val="000000"/>
                <w:sz w:val="20"/>
                <w:szCs w:val="20"/>
              </w:rPr>
              <w:t>74.7%</w:t>
            </w:r>
          </w:p>
        </w:tc>
      </w:tr>
      <w:tr w:rsidR="00D6448E" w:rsidRPr="00D6448E" w14:paraId="47BB7ABB" w14:textId="77777777" w:rsidTr="00D67BC6">
        <w:trPr>
          <w:trHeight w:val="300"/>
        </w:trPr>
        <w:tc>
          <w:tcPr>
            <w:tcW w:w="3055" w:type="dxa"/>
            <w:tcBorders>
              <w:top w:val="nil"/>
              <w:left w:val="single" w:sz="4" w:space="0" w:color="auto"/>
              <w:bottom w:val="nil"/>
              <w:right w:val="single" w:sz="4" w:space="0" w:color="auto"/>
            </w:tcBorders>
            <w:shd w:val="clear" w:color="000000" w:fill="FFFFFF"/>
            <w:noWrap/>
            <w:vAlign w:val="center"/>
            <w:hideMark/>
          </w:tcPr>
          <w:p w14:paraId="0D28AB2A" w14:textId="77777777" w:rsidR="00D6448E" w:rsidRPr="00D6448E" w:rsidRDefault="00D6448E" w:rsidP="008B2D4A">
            <w:pPr>
              <w:keepNext/>
              <w:rPr>
                <w:rFonts w:ascii="Arial" w:hAnsi="Arial" w:cs="Arial"/>
                <w:color w:val="000000"/>
                <w:sz w:val="20"/>
                <w:szCs w:val="20"/>
              </w:rPr>
            </w:pPr>
            <w:r w:rsidRPr="00D6448E">
              <w:rPr>
                <w:rFonts w:ascii="Arial" w:hAnsi="Arial" w:cs="Arial"/>
                <w:color w:val="000000"/>
                <w:sz w:val="20"/>
                <w:szCs w:val="20"/>
              </w:rPr>
              <w:t>Outside Basin</w:t>
            </w:r>
          </w:p>
        </w:tc>
        <w:tc>
          <w:tcPr>
            <w:tcW w:w="1204" w:type="dxa"/>
            <w:tcBorders>
              <w:top w:val="nil"/>
              <w:left w:val="nil"/>
              <w:bottom w:val="nil"/>
              <w:right w:val="single" w:sz="4" w:space="0" w:color="auto"/>
            </w:tcBorders>
            <w:shd w:val="clear" w:color="auto" w:fill="000000" w:themeFill="text1"/>
            <w:vAlign w:val="center"/>
          </w:tcPr>
          <w:p w14:paraId="6C3B19FC" w14:textId="261523AE" w:rsidR="00D6448E" w:rsidRPr="00D6448E" w:rsidRDefault="00D6448E" w:rsidP="008B2D4A">
            <w:pPr>
              <w:keepNext/>
              <w:jc w:val="right"/>
              <w:rPr>
                <w:rFonts w:ascii="Arial" w:hAnsi="Arial" w:cs="Arial"/>
                <w:color w:val="000000"/>
                <w:sz w:val="20"/>
                <w:szCs w:val="20"/>
              </w:rPr>
            </w:pPr>
          </w:p>
        </w:tc>
        <w:tc>
          <w:tcPr>
            <w:tcW w:w="1164" w:type="dxa"/>
            <w:tcBorders>
              <w:top w:val="nil"/>
              <w:left w:val="nil"/>
              <w:bottom w:val="nil"/>
              <w:right w:val="single" w:sz="4" w:space="0" w:color="auto"/>
            </w:tcBorders>
            <w:shd w:val="clear" w:color="auto" w:fill="000000" w:themeFill="text1"/>
            <w:vAlign w:val="center"/>
          </w:tcPr>
          <w:p w14:paraId="3260CD70" w14:textId="180F82AF" w:rsidR="00D6448E" w:rsidRPr="00D6448E" w:rsidRDefault="00D6448E" w:rsidP="008B2D4A">
            <w:pPr>
              <w:keepNext/>
              <w:jc w:val="center"/>
              <w:rPr>
                <w:rFonts w:ascii="Arial" w:hAnsi="Arial" w:cs="Arial"/>
                <w:color w:val="000000"/>
                <w:sz w:val="20"/>
                <w:szCs w:val="20"/>
              </w:rPr>
            </w:pPr>
          </w:p>
        </w:tc>
        <w:tc>
          <w:tcPr>
            <w:tcW w:w="1120" w:type="dxa"/>
            <w:tcBorders>
              <w:top w:val="nil"/>
              <w:left w:val="nil"/>
              <w:bottom w:val="nil"/>
              <w:right w:val="single" w:sz="4" w:space="0" w:color="auto"/>
            </w:tcBorders>
            <w:shd w:val="clear" w:color="auto" w:fill="000000" w:themeFill="text1"/>
            <w:vAlign w:val="center"/>
          </w:tcPr>
          <w:p w14:paraId="46B602F3" w14:textId="53C06C81" w:rsidR="00D6448E" w:rsidRPr="00D6448E" w:rsidRDefault="00D6448E" w:rsidP="008B2D4A">
            <w:pPr>
              <w:keepNext/>
              <w:jc w:val="right"/>
              <w:rPr>
                <w:rFonts w:ascii="Arial" w:hAnsi="Arial" w:cs="Arial"/>
                <w:color w:val="000000"/>
                <w:sz w:val="20"/>
                <w:szCs w:val="20"/>
              </w:rPr>
            </w:pPr>
          </w:p>
        </w:tc>
        <w:tc>
          <w:tcPr>
            <w:tcW w:w="1152" w:type="dxa"/>
            <w:tcBorders>
              <w:top w:val="nil"/>
              <w:left w:val="nil"/>
              <w:bottom w:val="nil"/>
              <w:right w:val="single" w:sz="4" w:space="0" w:color="auto"/>
            </w:tcBorders>
            <w:shd w:val="clear" w:color="auto" w:fill="000000" w:themeFill="text1"/>
            <w:vAlign w:val="center"/>
          </w:tcPr>
          <w:p w14:paraId="4F9C0622" w14:textId="3C2ADF2C" w:rsidR="00D6448E" w:rsidRPr="00D6448E" w:rsidRDefault="00D6448E" w:rsidP="008B2D4A">
            <w:pPr>
              <w:keepNext/>
              <w:jc w:val="center"/>
              <w:rPr>
                <w:rFonts w:ascii="Arial" w:hAnsi="Arial" w:cs="Arial"/>
                <w:color w:val="000000"/>
                <w:sz w:val="20"/>
                <w:szCs w:val="20"/>
              </w:rPr>
            </w:pPr>
          </w:p>
        </w:tc>
        <w:tc>
          <w:tcPr>
            <w:tcW w:w="935" w:type="dxa"/>
            <w:tcBorders>
              <w:top w:val="nil"/>
              <w:left w:val="nil"/>
              <w:bottom w:val="nil"/>
              <w:right w:val="single" w:sz="4" w:space="0" w:color="auto"/>
            </w:tcBorders>
            <w:shd w:val="clear" w:color="auto" w:fill="000000" w:themeFill="text1"/>
            <w:vAlign w:val="center"/>
          </w:tcPr>
          <w:p w14:paraId="2FA428BC" w14:textId="14B6997C" w:rsidR="00D6448E" w:rsidRPr="00D6448E" w:rsidRDefault="00D6448E" w:rsidP="008B2D4A">
            <w:pPr>
              <w:keepNext/>
              <w:jc w:val="right"/>
              <w:rPr>
                <w:rFonts w:ascii="Arial" w:hAnsi="Arial" w:cs="Arial"/>
                <w:color w:val="000000"/>
                <w:sz w:val="20"/>
                <w:szCs w:val="20"/>
              </w:rPr>
            </w:pPr>
          </w:p>
        </w:tc>
      </w:tr>
      <w:tr w:rsidR="00D6448E" w:rsidRPr="00D6448E" w14:paraId="66155EEE" w14:textId="77777777" w:rsidTr="00D67BC6">
        <w:trPr>
          <w:trHeight w:val="300"/>
        </w:trPr>
        <w:tc>
          <w:tcPr>
            <w:tcW w:w="3055" w:type="dxa"/>
            <w:tcBorders>
              <w:top w:val="nil"/>
              <w:left w:val="single" w:sz="4" w:space="0" w:color="auto"/>
              <w:right w:val="single" w:sz="4" w:space="0" w:color="auto"/>
            </w:tcBorders>
            <w:shd w:val="clear" w:color="000000" w:fill="FFFFFF"/>
            <w:noWrap/>
            <w:vAlign w:val="center"/>
            <w:hideMark/>
          </w:tcPr>
          <w:p w14:paraId="7E6027E1" w14:textId="77777777" w:rsidR="00D6448E" w:rsidRPr="00D6448E" w:rsidRDefault="00D6448E" w:rsidP="008B2D4A">
            <w:pPr>
              <w:keepNext/>
              <w:rPr>
                <w:rFonts w:ascii="Arial" w:hAnsi="Arial" w:cs="Arial"/>
                <w:color w:val="000000"/>
                <w:sz w:val="20"/>
                <w:szCs w:val="20"/>
              </w:rPr>
            </w:pPr>
            <w:r w:rsidRPr="00D6448E">
              <w:rPr>
                <w:rFonts w:ascii="Arial" w:hAnsi="Arial" w:cs="Arial"/>
                <w:color w:val="000000"/>
                <w:sz w:val="20"/>
                <w:szCs w:val="20"/>
              </w:rPr>
              <w:t>Ventura</w:t>
            </w:r>
          </w:p>
        </w:tc>
        <w:tc>
          <w:tcPr>
            <w:tcW w:w="1204" w:type="dxa"/>
            <w:tcBorders>
              <w:top w:val="nil"/>
              <w:left w:val="nil"/>
              <w:right w:val="single" w:sz="4" w:space="0" w:color="auto"/>
            </w:tcBorders>
            <w:shd w:val="clear" w:color="auto" w:fill="000000" w:themeFill="text1"/>
            <w:vAlign w:val="center"/>
          </w:tcPr>
          <w:p w14:paraId="49E6DBAC" w14:textId="457AE540" w:rsidR="00D6448E" w:rsidRPr="00D6448E" w:rsidRDefault="00D6448E" w:rsidP="008B2D4A">
            <w:pPr>
              <w:keepNext/>
              <w:jc w:val="right"/>
              <w:rPr>
                <w:rFonts w:ascii="Arial" w:hAnsi="Arial" w:cs="Arial"/>
                <w:color w:val="000000"/>
                <w:sz w:val="20"/>
                <w:szCs w:val="20"/>
              </w:rPr>
            </w:pPr>
          </w:p>
        </w:tc>
        <w:tc>
          <w:tcPr>
            <w:tcW w:w="1164" w:type="dxa"/>
            <w:tcBorders>
              <w:top w:val="nil"/>
              <w:left w:val="nil"/>
              <w:right w:val="single" w:sz="4" w:space="0" w:color="auto"/>
            </w:tcBorders>
            <w:shd w:val="clear" w:color="auto" w:fill="000000" w:themeFill="text1"/>
            <w:vAlign w:val="center"/>
          </w:tcPr>
          <w:p w14:paraId="388635EB" w14:textId="30298FB5" w:rsidR="00D6448E" w:rsidRPr="00D6448E" w:rsidRDefault="00D6448E" w:rsidP="008B2D4A">
            <w:pPr>
              <w:keepNext/>
              <w:jc w:val="center"/>
              <w:rPr>
                <w:rFonts w:ascii="Arial" w:hAnsi="Arial" w:cs="Arial"/>
                <w:color w:val="000000"/>
                <w:sz w:val="20"/>
                <w:szCs w:val="20"/>
              </w:rPr>
            </w:pPr>
          </w:p>
        </w:tc>
        <w:tc>
          <w:tcPr>
            <w:tcW w:w="1120" w:type="dxa"/>
            <w:tcBorders>
              <w:top w:val="nil"/>
              <w:left w:val="nil"/>
              <w:right w:val="single" w:sz="4" w:space="0" w:color="auto"/>
            </w:tcBorders>
            <w:shd w:val="clear" w:color="auto" w:fill="000000" w:themeFill="text1"/>
            <w:vAlign w:val="center"/>
          </w:tcPr>
          <w:p w14:paraId="0FCF4972" w14:textId="52660DBB" w:rsidR="00D6448E" w:rsidRPr="00D6448E" w:rsidRDefault="00D6448E" w:rsidP="008B2D4A">
            <w:pPr>
              <w:keepNext/>
              <w:jc w:val="right"/>
              <w:rPr>
                <w:rFonts w:ascii="Arial" w:hAnsi="Arial" w:cs="Arial"/>
                <w:color w:val="000000"/>
                <w:sz w:val="20"/>
                <w:szCs w:val="20"/>
              </w:rPr>
            </w:pPr>
          </w:p>
        </w:tc>
        <w:tc>
          <w:tcPr>
            <w:tcW w:w="1152" w:type="dxa"/>
            <w:tcBorders>
              <w:top w:val="nil"/>
              <w:left w:val="nil"/>
              <w:right w:val="single" w:sz="4" w:space="0" w:color="auto"/>
            </w:tcBorders>
            <w:shd w:val="clear" w:color="auto" w:fill="000000" w:themeFill="text1"/>
            <w:vAlign w:val="center"/>
          </w:tcPr>
          <w:p w14:paraId="1E41626C" w14:textId="5B973200" w:rsidR="00D6448E" w:rsidRPr="00D6448E" w:rsidRDefault="00D6448E" w:rsidP="008B2D4A">
            <w:pPr>
              <w:keepNext/>
              <w:jc w:val="center"/>
              <w:rPr>
                <w:rFonts w:ascii="Arial" w:hAnsi="Arial" w:cs="Arial"/>
                <w:color w:val="000000"/>
                <w:sz w:val="20"/>
                <w:szCs w:val="20"/>
              </w:rPr>
            </w:pPr>
          </w:p>
        </w:tc>
        <w:tc>
          <w:tcPr>
            <w:tcW w:w="935" w:type="dxa"/>
            <w:tcBorders>
              <w:top w:val="nil"/>
              <w:left w:val="nil"/>
              <w:right w:val="single" w:sz="4" w:space="0" w:color="auto"/>
            </w:tcBorders>
            <w:shd w:val="clear" w:color="auto" w:fill="000000" w:themeFill="text1"/>
            <w:vAlign w:val="center"/>
          </w:tcPr>
          <w:p w14:paraId="4D699210" w14:textId="14069538" w:rsidR="00D6448E" w:rsidRPr="00D6448E" w:rsidRDefault="00D6448E" w:rsidP="008B2D4A">
            <w:pPr>
              <w:keepNext/>
              <w:jc w:val="right"/>
              <w:rPr>
                <w:rFonts w:ascii="Arial" w:hAnsi="Arial" w:cs="Arial"/>
                <w:color w:val="000000"/>
                <w:sz w:val="20"/>
                <w:szCs w:val="20"/>
              </w:rPr>
            </w:pPr>
          </w:p>
        </w:tc>
      </w:tr>
      <w:tr w:rsidR="00D6448E" w:rsidRPr="00D6448E" w14:paraId="234D9745" w14:textId="77777777" w:rsidTr="00A219D7">
        <w:trPr>
          <w:trHeight w:val="300"/>
        </w:trPr>
        <w:tc>
          <w:tcPr>
            <w:tcW w:w="3055" w:type="dxa"/>
            <w:tcBorders>
              <w:top w:val="nil"/>
              <w:left w:val="single" w:sz="4" w:space="0" w:color="auto"/>
              <w:bottom w:val="single" w:sz="4" w:space="0" w:color="auto"/>
              <w:right w:val="single" w:sz="4" w:space="0" w:color="auto"/>
            </w:tcBorders>
            <w:shd w:val="clear" w:color="000000" w:fill="FFFFFF"/>
            <w:noWrap/>
            <w:vAlign w:val="center"/>
            <w:hideMark/>
          </w:tcPr>
          <w:p w14:paraId="5CE7B89C" w14:textId="77777777" w:rsidR="00D6448E" w:rsidRPr="00D6448E" w:rsidRDefault="00D6448E" w:rsidP="008B2D4A">
            <w:pPr>
              <w:keepNext/>
              <w:rPr>
                <w:rFonts w:ascii="Arial" w:hAnsi="Arial" w:cs="Arial"/>
                <w:b/>
                <w:bCs/>
                <w:color w:val="000000"/>
                <w:sz w:val="20"/>
                <w:szCs w:val="20"/>
              </w:rPr>
            </w:pPr>
            <w:r w:rsidRPr="00D6448E">
              <w:rPr>
                <w:rFonts w:ascii="Arial" w:hAnsi="Arial" w:cs="Arial"/>
                <w:b/>
                <w:bCs/>
                <w:color w:val="000000"/>
                <w:sz w:val="20"/>
                <w:szCs w:val="20"/>
              </w:rPr>
              <w:t>Total</w:t>
            </w:r>
          </w:p>
        </w:tc>
        <w:tc>
          <w:tcPr>
            <w:tcW w:w="1204" w:type="dxa"/>
            <w:tcBorders>
              <w:top w:val="nil"/>
              <w:left w:val="nil"/>
              <w:bottom w:val="single" w:sz="4" w:space="0" w:color="auto"/>
              <w:right w:val="single" w:sz="4" w:space="0" w:color="auto"/>
            </w:tcBorders>
            <w:shd w:val="clear" w:color="000000" w:fill="FFFFFF"/>
            <w:vAlign w:val="center"/>
            <w:hideMark/>
          </w:tcPr>
          <w:p w14:paraId="40A224F2" w14:textId="77777777" w:rsidR="00D6448E" w:rsidRPr="00A219D7" w:rsidRDefault="00D6448E" w:rsidP="008B2D4A">
            <w:pPr>
              <w:keepNext/>
              <w:jc w:val="right"/>
              <w:rPr>
                <w:rFonts w:ascii="Arial" w:hAnsi="Arial" w:cs="Arial"/>
                <w:b/>
                <w:color w:val="000000"/>
                <w:sz w:val="20"/>
                <w:szCs w:val="20"/>
              </w:rPr>
            </w:pPr>
            <w:r w:rsidRPr="00A219D7">
              <w:rPr>
                <w:rFonts w:ascii="Arial" w:hAnsi="Arial" w:cs="Arial"/>
                <w:b/>
                <w:color w:val="000000"/>
                <w:sz w:val="20"/>
                <w:szCs w:val="20"/>
              </w:rPr>
              <w:t>571</w:t>
            </w:r>
          </w:p>
        </w:tc>
        <w:tc>
          <w:tcPr>
            <w:tcW w:w="1164" w:type="dxa"/>
            <w:tcBorders>
              <w:top w:val="nil"/>
              <w:left w:val="nil"/>
              <w:bottom w:val="single" w:sz="4" w:space="0" w:color="auto"/>
              <w:right w:val="single" w:sz="4" w:space="0" w:color="auto"/>
            </w:tcBorders>
            <w:shd w:val="clear" w:color="000000" w:fill="FFFFFF"/>
            <w:vAlign w:val="center"/>
            <w:hideMark/>
          </w:tcPr>
          <w:p w14:paraId="27701D73" w14:textId="77777777" w:rsidR="00D6448E" w:rsidRPr="00A219D7" w:rsidRDefault="00D6448E" w:rsidP="008B2D4A">
            <w:pPr>
              <w:keepNext/>
              <w:jc w:val="center"/>
              <w:rPr>
                <w:rFonts w:ascii="Arial" w:hAnsi="Arial" w:cs="Arial"/>
                <w:b/>
                <w:color w:val="000000"/>
                <w:sz w:val="20"/>
                <w:szCs w:val="20"/>
              </w:rPr>
            </w:pPr>
            <w:r w:rsidRPr="00A219D7">
              <w:rPr>
                <w:rFonts w:ascii="Arial" w:hAnsi="Arial" w:cs="Arial"/>
                <w:b/>
                <w:color w:val="000000"/>
                <w:sz w:val="20"/>
                <w:szCs w:val="20"/>
              </w:rPr>
              <w:t xml:space="preserve">       789.5 </w:t>
            </w:r>
          </w:p>
        </w:tc>
        <w:tc>
          <w:tcPr>
            <w:tcW w:w="1120" w:type="dxa"/>
            <w:tcBorders>
              <w:top w:val="nil"/>
              <w:left w:val="nil"/>
              <w:bottom w:val="single" w:sz="4" w:space="0" w:color="auto"/>
              <w:right w:val="single" w:sz="4" w:space="0" w:color="auto"/>
            </w:tcBorders>
            <w:shd w:val="clear" w:color="000000" w:fill="FFFFFF"/>
            <w:vAlign w:val="center"/>
            <w:hideMark/>
          </w:tcPr>
          <w:p w14:paraId="13268DD6" w14:textId="77777777" w:rsidR="00D6448E" w:rsidRPr="00A219D7" w:rsidRDefault="00D6448E" w:rsidP="008B2D4A">
            <w:pPr>
              <w:keepNext/>
              <w:jc w:val="right"/>
              <w:rPr>
                <w:rFonts w:ascii="Arial" w:hAnsi="Arial" w:cs="Arial"/>
                <w:b/>
                <w:color w:val="000000"/>
                <w:sz w:val="20"/>
                <w:szCs w:val="20"/>
              </w:rPr>
            </w:pPr>
            <w:r w:rsidRPr="00A219D7">
              <w:rPr>
                <w:rFonts w:ascii="Arial" w:hAnsi="Arial" w:cs="Arial"/>
                <w:b/>
                <w:color w:val="000000"/>
                <w:sz w:val="20"/>
                <w:szCs w:val="20"/>
              </w:rPr>
              <w:t xml:space="preserve">      174.8 </w:t>
            </w:r>
          </w:p>
        </w:tc>
        <w:tc>
          <w:tcPr>
            <w:tcW w:w="1152" w:type="dxa"/>
            <w:tcBorders>
              <w:top w:val="nil"/>
              <w:left w:val="nil"/>
              <w:bottom w:val="single" w:sz="4" w:space="0" w:color="auto"/>
              <w:right w:val="single" w:sz="4" w:space="0" w:color="auto"/>
            </w:tcBorders>
            <w:shd w:val="clear" w:color="000000" w:fill="FFFFFF"/>
            <w:vAlign w:val="center"/>
            <w:hideMark/>
          </w:tcPr>
          <w:p w14:paraId="491C020A" w14:textId="77777777" w:rsidR="00D6448E" w:rsidRPr="00A219D7" w:rsidRDefault="00D6448E" w:rsidP="008B2D4A">
            <w:pPr>
              <w:keepNext/>
              <w:jc w:val="center"/>
              <w:rPr>
                <w:rFonts w:ascii="Arial" w:hAnsi="Arial" w:cs="Arial"/>
                <w:b/>
                <w:color w:val="000000"/>
                <w:sz w:val="20"/>
                <w:szCs w:val="20"/>
              </w:rPr>
            </w:pPr>
            <w:r w:rsidRPr="00A219D7">
              <w:rPr>
                <w:rFonts w:ascii="Arial" w:hAnsi="Arial" w:cs="Arial"/>
                <w:b/>
                <w:color w:val="000000"/>
                <w:sz w:val="20"/>
                <w:szCs w:val="20"/>
              </w:rPr>
              <w:t xml:space="preserve">     614.7 </w:t>
            </w:r>
          </w:p>
        </w:tc>
        <w:tc>
          <w:tcPr>
            <w:tcW w:w="935" w:type="dxa"/>
            <w:tcBorders>
              <w:top w:val="nil"/>
              <w:left w:val="nil"/>
              <w:bottom w:val="single" w:sz="4" w:space="0" w:color="auto"/>
              <w:right w:val="single" w:sz="4" w:space="0" w:color="auto"/>
            </w:tcBorders>
            <w:shd w:val="clear" w:color="000000" w:fill="FFFFFF"/>
            <w:vAlign w:val="center"/>
            <w:hideMark/>
          </w:tcPr>
          <w:p w14:paraId="5287156B" w14:textId="77777777" w:rsidR="00D6448E" w:rsidRPr="00A219D7" w:rsidRDefault="00D6448E" w:rsidP="008B2D4A">
            <w:pPr>
              <w:keepNext/>
              <w:jc w:val="right"/>
              <w:rPr>
                <w:rFonts w:ascii="Arial" w:hAnsi="Arial" w:cs="Arial"/>
                <w:b/>
                <w:color w:val="000000"/>
                <w:sz w:val="20"/>
                <w:szCs w:val="20"/>
              </w:rPr>
            </w:pPr>
            <w:r w:rsidRPr="00A219D7">
              <w:rPr>
                <w:rFonts w:ascii="Arial" w:hAnsi="Arial" w:cs="Arial"/>
                <w:b/>
                <w:color w:val="000000"/>
                <w:sz w:val="20"/>
                <w:szCs w:val="20"/>
              </w:rPr>
              <w:t>77.9%</w:t>
            </w:r>
          </w:p>
        </w:tc>
      </w:tr>
      <w:tr w:rsidR="00D6448E" w:rsidRPr="00D6448E" w14:paraId="402E2101" w14:textId="77777777" w:rsidTr="00D67BC6">
        <w:trPr>
          <w:trHeight w:val="300"/>
        </w:trPr>
        <w:tc>
          <w:tcPr>
            <w:tcW w:w="3055" w:type="dxa"/>
            <w:tcBorders>
              <w:top w:val="single" w:sz="4" w:space="0" w:color="auto"/>
              <w:left w:val="single" w:sz="4" w:space="0" w:color="auto"/>
              <w:bottom w:val="nil"/>
              <w:right w:val="single" w:sz="4" w:space="0" w:color="auto"/>
            </w:tcBorders>
            <w:shd w:val="clear" w:color="000000" w:fill="FFFFFF"/>
            <w:noWrap/>
            <w:vAlign w:val="center"/>
            <w:hideMark/>
          </w:tcPr>
          <w:p w14:paraId="72B0ED08" w14:textId="77777777" w:rsidR="00D6448E" w:rsidRPr="00D6448E" w:rsidRDefault="00D6448E" w:rsidP="008B2D4A">
            <w:pPr>
              <w:keepNext/>
              <w:rPr>
                <w:rFonts w:ascii="Arial" w:hAnsi="Arial" w:cs="Arial"/>
                <w:color w:val="000000"/>
                <w:sz w:val="20"/>
                <w:szCs w:val="20"/>
              </w:rPr>
            </w:pPr>
            <w:r w:rsidRPr="00D6448E">
              <w:rPr>
                <w:rFonts w:ascii="Arial" w:hAnsi="Arial" w:cs="Arial"/>
                <w:color w:val="000000"/>
                <w:sz w:val="20"/>
                <w:szCs w:val="20"/>
              </w:rPr>
              <w:t>South OC</w:t>
            </w:r>
          </w:p>
        </w:tc>
        <w:tc>
          <w:tcPr>
            <w:tcW w:w="1204" w:type="dxa"/>
            <w:tcBorders>
              <w:top w:val="single" w:sz="4" w:space="0" w:color="auto"/>
              <w:left w:val="nil"/>
              <w:bottom w:val="nil"/>
              <w:right w:val="single" w:sz="4" w:space="0" w:color="auto"/>
            </w:tcBorders>
            <w:shd w:val="clear" w:color="auto" w:fill="000000" w:themeFill="text1"/>
            <w:vAlign w:val="center"/>
          </w:tcPr>
          <w:p w14:paraId="08824A3D" w14:textId="351B3868" w:rsidR="00D6448E" w:rsidRPr="00D6448E" w:rsidRDefault="00D6448E" w:rsidP="008B2D4A">
            <w:pPr>
              <w:keepNext/>
              <w:jc w:val="right"/>
              <w:rPr>
                <w:rFonts w:ascii="Arial" w:hAnsi="Arial" w:cs="Arial"/>
                <w:color w:val="000000"/>
                <w:sz w:val="20"/>
                <w:szCs w:val="20"/>
              </w:rPr>
            </w:pPr>
          </w:p>
        </w:tc>
        <w:tc>
          <w:tcPr>
            <w:tcW w:w="1164" w:type="dxa"/>
            <w:tcBorders>
              <w:top w:val="single" w:sz="4" w:space="0" w:color="auto"/>
              <w:left w:val="nil"/>
              <w:bottom w:val="nil"/>
              <w:right w:val="single" w:sz="4" w:space="0" w:color="auto"/>
            </w:tcBorders>
            <w:shd w:val="clear" w:color="auto" w:fill="000000" w:themeFill="text1"/>
            <w:vAlign w:val="center"/>
          </w:tcPr>
          <w:p w14:paraId="0966C33B" w14:textId="24AA5212" w:rsidR="00D6448E" w:rsidRPr="00D6448E" w:rsidRDefault="00D6448E" w:rsidP="008B2D4A">
            <w:pPr>
              <w:keepNext/>
              <w:jc w:val="center"/>
              <w:rPr>
                <w:rFonts w:ascii="Arial" w:hAnsi="Arial" w:cs="Arial"/>
                <w:color w:val="000000"/>
                <w:sz w:val="20"/>
                <w:szCs w:val="20"/>
              </w:rPr>
            </w:pPr>
          </w:p>
        </w:tc>
        <w:tc>
          <w:tcPr>
            <w:tcW w:w="1120" w:type="dxa"/>
            <w:tcBorders>
              <w:top w:val="single" w:sz="4" w:space="0" w:color="auto"/>
              <w:left w:val="nil"/>
              <w:bottom w:val="nil"/>
              <w:right w:val="single" w:sz="4" w:space="0" w:color="auto"/>
            </w:tcBorders>
            <w:shd w:val="clear" w:color="auto" w:fill="000000" w:themeFill="text1"/>
            <w:vAlign w:val="center"/>
          </w:tcPr>
          <w:p w14:paraId="465C6355" w14:textId="78AD1FCF" w:rsidR="00D6448E" w:rsidRPr="00D6448E" w:rsidRDefault="00D6448E" w:rsidP="008B2D4A">
            <w:pPr>
              <w:keepNext/>
              <w:jc w:val="right"/>
              <w:rPr>
                <w:rFonts w:ascii="Arial" w:hAnsi="Arial" w:cs="Arial"/>
                <w:color w:val="000000"/>
                <w:sz w:val="20"/>
                <w:szCs w:val="20"/>
              </w:rPr>
            </w:pPr>
          </w:p>
        </w:tc>
        <w:tc>
          <w:tcPr>
            <w:tcW w:w="1152" w:type="dxa"/>
            <w:tcBorders>
              <w:top w:val="single" w:sz="4" w:space="0" w:color="auto"/>
              <w:left w:val="nil"/>
              <w:bottom w:val="nil"/>
              <w:right w:val="single" w:sz="4" w:space="0" w:color="auto"/>
            </w:tcBorders>
            <w:shd w:val="clear" w:color="auto" w:fill="000000" w:themeFill="text1"/>
            <w:vAlign w:val="center"/>
          </w:tcPr>
          <w:p w14:paraId="615B96DC" w14:textId="62A1EA79" w:rsidR="00D6448E" w:rsidRPr="00D6448E" w:rsidRDefault="00D6448E" w:rsidP="008B2D4A">
            <w:pPr>
              <w:keepNext/>
              <w:jc w:val="center"/>
              <w:rPr>
                <w:rFonts w:ascii="Arial" w:hAnsi="Arial" w:cs="Arial"/>
                <w:color w:val="000000"/>
                <w:sz w:val="20"/>
                <w:szCs w:val="20"/>
              </w:rPr>
            </w:pPr>
          </w:p>
        </w:tc>
        <w:tc>
          <w:tcPr>
            <w:tcW w:w="935" w:type="dxa"/>
            <w:tcBorders>
              <w:top w:val="single" w:sz="4" w:space="0" w:color="auto"/>
              <w:left w:val="nil"/>
              <w:bottom w:val="nil"/>
              <w:right w:val="single" w:sz="4" w:space="0" w:color="auto"/>
            </w:tcBorders>
            <w:shd w:val="clear" w:color="auto" w:fill="000000" w:themeFill="text1"/>
            <w:vAlign w:val="center"/>
          </w:tcPr>
          <w:p w14:paraId="11B74DBE" w14:textId="2AA3A29B" w:rsidR="00D6448E" w:rsidRPr="00D6448E" w:rsidRDefault="00D6448E" w:rsidP="008B2D4A">
            <w:pPr>
              <w:keepNext/>
              <w:jc w:val="right"/>
              <w:rPr>
                <w:rFonts w:ascii="Arial" w:hAnsi="Arial" w:cs="Arial"/>
                <w:color w:val="000000"/>
                <w:sz w:val="20"/>
                <w:szCs w:val="20"/>
              </w:rPr>
            </w:pPr>
          </w:p>
        </w:tc>
      </w:tr>
      <w:tr w:rsidR="00D6448E" w:rsidRPr="00D6448E" w14:paraId="03A4F944" w14:textId="77777777" w:rsidTr="00A219D7">
        <w:trPr>
          <w:trHeight w:val="300"/>
        </w:trPr>
        <w:tc>
          <w:tcPr>
            <w:tcW w:w="3055" w:type="dxa"/>
            <w:tcBorders>
              <w:top w:val="nil"/>
              <w:left w:val="single" w:sz="4" w:space="0" w:color="auto"/>
              <w:bottom w:val="nil"/>
              <w:right w:val="single" w:sz="4" w:space="0" w:color="auto"/>
            </w:tcBorders>
            <w:shd w:val="clear" w:color="000000" w:fill="FFFFFF"/>
            <w:noWrap/>
            <w:vAlign w:val="center"/>
            <w:hideMark/>
          </w:tcPr>
          <w:p w14:paraId="44B4F8EE" w14:textId="77777777" w:rsidR="00D6448E" w:rsidRPr="00D6448E" w:rsidRDefault="00D6448E" w:rsidP="008B2D4A">
            <w:pPr>
              <w:keepNext/>
              <w:rPr>
                <w:rFonts w:ascii="Arial" w:hAnsi="Arial" w:cs="Arial"/>
                <w:color w:val="000000"/>
                <w:sz w:val="20"/>
                <w:szCs w:val="20"/>
              </w:rPr>
            </w:pPr>
            <w:r w:rsidRPr="00D6448E">
              <w:rPr>
                <w:rFonts w:ascii="Arial" w:hAnsi="Arial" w:cs="Arial"/>
                <w:color w:val="000000"/>
                <w:sz w:val="20"/>
                <w:szCs w:val="20"/>
              </w:rPr>
              <w:t>South of Lugo</w:t>
            </w:r>
          </w:p>
        </w:tc>
        <w:tc>
          <w:tcPr>
            <w:tcW w:w="1204" w:type="dxa"/>
            <w:tcBorders>
              <w:top w:val="nil"/>
              <w:left w:val="nil"/>
              <w:bottom w:val="nil"/>
              <w:right w:val="single" w:sz="4" w:space="0" w:color="auto"/>
            </w:tcBorders>
            <w:shd w:val="clear" w:color="000000" w:fill="FFFFFF"/>
            <w:vAlign w:val="center"/>
            <w:hideMark/>
          </w:tcPr>
          <w:p w14:paraId="6DBEACEE" w14:textId="77777777" w:rsidR="00D6448E" w:rsidRPr="00D6448E" w:rsidRDefault="00D6448E" w:rsidP="008B2D4A">
            <w:pPr>
              <w:keepNext/>
              <w:jc w:val="right"/>
              <w:rPr>
                <w:rFonts w:ascii="Arial" w:hAnsi="Arial" w:cs="Arial"/>
                <w:color w:val="000000"/>
                <w:sz w:val="20"/>
                <w:szCs w:val="20"/>
              </w:rPr>
            </w:pPr>
            <w:r w:rsidRPr="00D6448E">
              <w:rPr>
                <w:rFonts w:ascii="Arial" w:hAnsi="Arial" w:cs="Arial"/>
                <w:color w:val="000000"/>
                <w:sz w:val="20"/>
                <w:szCs w:val="20"/>
              </w:rPr>
              <w:t>201</w:t>
            </w:r>
          </w:p>
        </w:tc>
        <w:tc>
          <w:tcPr>
            <w:tcW w:w="1164" w:type="dxa"/>
            <w:tcBorders>
              <w:top w:val="nil"/>
              <w:left w:val="nil"/>
              <w:bottom w:val="nil"/>
              <w:right w:val="single" w:sz="4" w:space="0" w:color="auto"/>
            </w:tcBorders>
            <w:shd w:val="clear" w:color="000000" w:fill="FFFFFF"/>
            <w:vAlign w:val="center"/>
            <w:hideMark/>
          </w:tcPr>
          <w:p w14:paraId="46FD2AEF" w14:textId="77777777" w:rsidR="00D6448E" w:rsidRPr="00D6448E" w:rsidRDefault="00D6448E" w:rsidP="008B2D4A">
            <w:pPr>
              <w:keepNext/>
              <w:jc w:val="right"/>
              <w:rPr>
                <w:rFonts w:ascii="Arial" w:hAnsi="Arial" w:cs="Arial"/>
                <w:color w:val="000000"/>
                <w:sz w:val="20"/>
                <w:szCs w:val="20"/>
              </w:rPr>
            </w:pPr>
            <w:r w:rsidRPr="00D6448E">
              <w:rPr>
                <w:rFonts w:ascii="Arial" w:hAnsi="Arial" w:cs="Arial"/>
                <w:color w:val="000000"/>
                <w:sz w:val="20"/>
                <w:szCs w:val="20"/>
              </w:rPr>
              <w:t>275.1</w:t>
            </w:r>
          </w:p>
        </w:tc>
        <w:tc>
          <w:tcPr>
            <w:tcW w:w="1120" w:type="dxa"/>
            <w:tcBorders>
              <w:top w:val="nil"/>
              <w:left w:val="nil"/>
              <w:bottom w:val="nil"/>
              <w:right w:val="single" w:sz="4" w:space="0" w:color="auto"/>
            </w:tcBorders>
            <w:shd w:val="clear" w:color="000000" w:fill="FFFFFF"/>
            <w:vAlign w:val="center"/>
            <w:hideMark/>
          </w:tcPr>
          <w:p w14:paraId="7964F20E" w14:textId="77777777" w:rsidR="00D6448E" w:rsidRPr="00D6448E" w:rsidRDefault="00D6448E" w:rsidP="008B2D4A">
            <w:pPr>
              <w:keepNext/>
              <w:jc w:val="right"/>
              <w:rPr>
                <w:rFonts w:ascii="Arial" w:hAnsi="Arial" w:cs="Arial"/>
                <w:color w:val="000000"/>
                <w:sz w:val="20"/>
                <w:szCs w:val="20"/>
              </w:rPr>
            </w:pPr>
            <w:r w:rsidRPr="00D6448E">
              <w:rPr>
                <w:rFonts w:ascii="Arial" w:hAnsi="Arial" w:cs="Arial"/>
                <w:color w:val="000000"/>
                <w:sz w:val="20"/>
                <w:szCs w:val="20"/>
              </w:rPr>
              <w:t>63.1</w:t>
            </w:r>
          </w:p>
        </w:tc>
        <w:tc>
          <w:tcPr>
            <w:tcW w:w="1152" w:type="dxa"/>
            <w:tcBorders>
              <w:top w:val="nil"/>
              <w:left w:val="nil"/>
              <w:bottom w:val="nil"/>
              <w:right w:val="single" w:sz="4" w:space="0" w:color="auto"/>
            </w:tcBorders>
            <w:shd w:val="clear" w:color="000000" w:fill="FFFFFF"/>
            <w:vAlign w:val="center"/>
            <w:hideMark/>
          </w:tcPr>
          <w:p w14:paraId="30A6FE1F" w14:textId="77777777" w:rsidR="00D6448E" w:rsidRPr="00D6448E" w:rsidRDefault="00D6448E" w:rsidP="008B2D4A">
            <w:pPr>
              <w:keepNext/>
              <w:jc w:val="right"/>
              <w:rPr>
                <w:rFonts w:ascii="Arial" w:hAnsi="Arial" w:cs="Arial"/>
                <w:color w:val="000000"/>
                <w:sz w:val="20"/>
                <w:szCs w:val="20"/>
              </w:rPr>
            </w:pPr>
            <w:r w:rsidRPr="00D6448E">
              <w:rPr>
                <w:rFonts w:ascii="Arial" w:hAnsi="Arial" w:cs="Arial"/>
                <w:color w:val="000000"/>
                <w:sz w:val="20"/>
                <w:szCs w:val="20"/>
              </w:rPr>
              <w:t>212.0</w:t>
            </w:r>
          </w:p>
        </w:tc>
        <w:tc>
          <w:tcPr>
            <w:tcW w:w="935" w:type="dxa"/>
            <w:tcBorders>
              <w:top w:val="nil"/>
              <w:left w:val="nil"/>
              <w:bottom w:val="nil"/>
              <w:right w:val="single" w:sz="4" w:space="0" w:color="auto"/>
            </w:tcBorders>
            <w:shd w:val="clear" w:color="000000" w:fill="FFFFFF"/>
            <w:vAlign w:val="center"/>
            <w:hideMark/>
          </w:tcPr>
          <w:p w14:paraId="116FA8A2" w14:textId="77777777" w:rsidR="00D6448E" w:rsidRPr="00D6448E" w:rsidRDefault="00D6448E" w:rsidP="008B2D4A">
            <w:pPr>
              <w:keepNext/>
              <w:jc w:val="right"/>
              <w:rPr>
                <w:rFonts w:ascii="Arial" w:hAnsi="Arial" w:cs="Arial"/>
                <w:color w:val="000000"/>
                <w:sz w:val="20"/>
                <w:szCs w:val="20"/>
              </w:rPr>
            </w:pPr>
            <w:r w:rsidRPr="00D6448E">
              <w:rPr>
                <w:rFonts w:ascii="Arial" w:hAnsi="Arial" w:cs="Arial"/>
                <w:color w:val="000000"/>
                <w:sz w:val="20"/>
                <w:szCs w:val="20"/>
              </w:rPr>
              <w:t>77.1%</w:t>
            </w:r>
          </w:p>
        </w:tc>
      </w:tr>
      <w:tr w:rsidR="00D6448E" w:rsidRPr="00D6448E" w14:paraId="35C88E9A" w14:textId="77777777" w:rsidTr="00A219D7">
        <w:trPr>
          <w:trHeight w:val="300"/>
        </w:trPr>
        <w:tc>
          <w:tcPr>
            <w:tcW w:w="3055" w:type="dxa"/>
            <w:tcBorders>
              <w:top w:val="nil"/>
              <w:left w:val="single" w:sz="4" w:space="0" w:color="auto"/>
              <w:bottom w:val="single" w:sz="4" w:space="0" w:color="auto"/>
              <w:right w:val="single" w:sz="4" w:space="0" w:color="auto"/>
            </w:tcBorders>
            <w:shd w:val="clear" w:color="000000" w:fill="FFFFFF"/>
            <w:noWrap/>
            <w:vAlign w:val="center"/>
            <w:hideMark/>
          </w:tcPr>
          <w:p w14:paraId="6AFB51D5" w14:textId="77777777" w:rsidR="00D6448E" w:rsidRPr="00D6448E" w:rsidRDefault="00D6448E" w:rsidP="008B2D4A">
            <w:pPr>
              <w:keepNext/>
              <w:rPr>
                <w:rFonts w:ascii="Arial" w:hAnsi="Arial" w:cs="Arial"/>
                <w:color w:val="000000"/>
                <w:sz w:val="20"/>
                <w:szCs w:val="20"/>
              </w:rPr>
            </w:pPr>
            <w:r w:rsidRPr="00D6448E">
              <w:rPr>
                <w:rFonts w:ascii="Arial" w:hAnsi="Arial" w:cs="Arial"/>
                <w:color w:val="000000"/>
                <w:sz w:val="20"/>
                <w:szCs w:val="20"/>
              </w:rPr>
              <w:t>Remainder of System</w:t>
            </w:r>
          </w:p>
        </w:tc>
        <w:tc>
          <w:tcPr>
            <w:tcW w:w="1204" w:type="dxa"/>
            <w:tcBorders>
              <w:top w:val="nil"/>
              <w:left w:val="nil"/>
              <w:bottom w:val="single" w:sz="4" w:space="0" w:color="auto"/>
              <w:right w:val="single" w:sz="4" w:space="0" w:color="auto"/>
            </w:tcBorders>
            <w:shd w:val="clear" w:color="000000" w:fill="FFFFFF"/>
            <w:vAlign w:val="center"/>
            <w:hideMark/>
          </w:tcPr>
          <w:p w14:paraId="467F580F" w14:textId="77777777" w:rsidR="00D6448E" w:rsidRPr="00D6448E" w:rsidRDefault="00D6448E" w:rsidP="008B2D4A">
            <w:pPr>
              <w:keepNext/>
              <w:jc w:val="right"/>
              <w:rPr>
                <w:rFonts w:ascii="Arial" w:hAnsi="Arial" w:cs="Arial"/>
                <w:color w:val="000000"/>
                <w:sz w:val="20"/>
                <w:szCs w:val="20"/>
              </w:rPr>
            </w:pPr>
            <w:r w:rsidRPr="00D6448E">
              <w:rPr>
                <w:rFonts w:ascii="Arial" w:hAnsi="Arial" w:cs="Arial"/>
                <w:color w:val="000000"/>
                <w:sz w:val="20"/>
                <w:szCs w:val="20"/>
              </w:rPr>
              <w:t>315</w:t>
            </w:r>
          </w:p>
        </w:tc>
        <w:tc>
          <w:tcPr>
            <w:tcW w:w="1164" w:type="dxa"/>
            <w:tcBorders>
              <w:top w:val="nil"/>
              <w:left w:val="nil"/>
              <w:bottom w:val="single" w:sz="4" w:space="0" w:color="auto"/>
              <w:right w:val="single" w:sz="4" w:space="0" w:color="auto"/>
            </w:tcBorders>
            <w:shd w:val="clear" w:color="000000" w:fill="FFFFFF"/>
            <w:vAlign w:val="center"/>
            <w:hideMark/>
          </w:tcPr>
          <w:p w14:paraId="1E61FEB5" w14:textId="77777777" w:rsidR="00D6448E" w:rsidRPr="00D6448E" w:rsidRDefault="00D6448E" w:rsidP="008B2D4A">
            <w:pPr>
              <w:keepNext/>
              <w:jc w:val="right"/>
              <w:rPr>
                <w:rFonts w:ascii="Arial" w:hAnsi="Arial" w:cs="Arial"/>
                <w:color w:val="000000"/>
                <w:sz w:val="20"/>
                <w:szCs w:val="20"/>
              </w:rPr>
            </w:pPr>
            <w:r w:rsidRPr="00D6448E">
              <w:rPr>
                <w:rFonts w:ascii="Arial" w:hAnsi="Arial" w:cs="Arial"/>
                <w:color w:val="000000"/>
                <w:sz w:val="20"/>
                <w:szCs w:val="20"/>
              </w:rPr>
              <w:t>407.3</w:t>
            </w:r>
          </w:p>
        </w:tc>
        <w:tc>
          <w:tcPr>
            <w:tcW w:w="1120" w:type="dxa"/>
            <w:tcBorders>
              <w:top w:val="nil"/>
              <w:left w:val="nil"/>
              <w:bottom w:val="single" w:sz="4" w:space="0" w:color="auto"/>
              <w:right w:val="single" w:sz="4" w:space="0" w:color="auto"/>
            </w:tcBorders>
            <w:shd w:val="clear" w:color="000000" w:fill="FFFFFF"/>
            <w:vAlign w:val="center"/>
            <w:hideMark/>
          </w:tcPr>
          <w:p w14:paraId="307535A1" w14:textId="77777777" w:rsidR="00D6448E" w:rsidRPr="00D6448E" w:rsidRDefault="00D6448E" w:rsidP="008B2D4A">
            <w:pPr>
              <w:keepNext/>
              <w:jc w:val="right"/>
              <w:rPr>
                <w:rFonts w:ascii="Arial" w:hAnsi="Arial" w:cs="Arial"/>
                <w:color w:val="000000"/>
                <w:sz w:val="20"/>
                <w:szCs w:val="20"/>
              </w:rPr>
            </w:pPr>
            <w:r w:rsidRPr="00D6448E">
              <w:rPr>
                <w:rFonts w:ascii="Arial" w:hAnsi="Arial" w:cs="Arial"/>
                <w:color w:val="000000"/>
                <w:sz w:val="20"/>
                <w:szCs w:val="20"/>
              </w:rPr>
              <w:t>79.8</w:t>
            </w:r>
          </w:p>
        </w:tc>
        <w:tc>
          <w:tcPr>
            <w:tcW w:w="1152" w:type="dxa"/>
            <w:tcBorders>
              <w:top w:val="nil"/>
              <w:left w:val="nil"/>
              <w:bottom w:val="single" w:sz="4" w:space="0" w:color="auto"/>
              <w:right w:val="single" w:sz="4" w:space="0" w:color="auto"/>
            </w:tcBorders>
            <w:shd w:val="clear" w:color="000000" w:fill="FFFFFF"/>
            <w:vAlign w:val="center"/>
            <w:hideMark/>
          </w:tcPr>
          <w:p w14:paraId="1B972D18" w14:textId="77777777" w:rsidR="00D6448E" w:rsidRPr="00D6448E" w:rsidRDefault="00D6448E" w:rsidP="008B2D4A">
            <w:pPr>
              <w:keepNext/>
              <w:jc w:val="right"/>
              <w:rPr>
                <w:rFonts w:ascii="Arial" w:hAnsi="Arial" w:cs="Arial"/>
                <w:color w:val="000000"/>
                <w:sz w:val="20"/>
                <w:szCs w:val="20"/>
              </w:rPr>
            </w:pPr>
            <w:r w:rsidRPr="00D6448E">
              <w:rPr>
                <w:rFonts w:ascii="Arial" w:hAnsi="Arial" w:cs="Arial"/>
                <w:color w:val="000000"/>
                <w:sz w:val="20"/>
                <w:szCs w:val="20"/>
              </w:rPr>
              <w:t>327.4</w:t>
            </w:r>
          </w:p>
        </w:tc>
        <w:tc>
          <w:tcPr>
            <w:tcW w:w="935" w:type="dxa"/>
            <w:tcBorders>
              <w:top w:val="nil"/>
              <w:left w:val="nil"/>
              <w:bottom w:val="single" w:sz="4" w:space="0" w:color="auto"/>
              <w:right w:val="single" w:sz="4" w:space="0" w:color="auto"/>
            </w:tcBorders>
            <w:shd w:val="clear" w:color="000000" w:fill="FFFFFF"/>
            <w:vAlign w:val="center"/>
            <w:hideMark/>
          </w:tcPr>
          <w:p w14:paraId="11A9AFC3" w14:textId="77777777" w:rsidR="00D6448E" w:rsidRPr="00D6448E" w:rsidRDefault="00D6448E" w:rsidP="008B2D4A">
            <w:pPr>
              <w:keepNext/>
              <w:jc w:val="right"/>
              <w:rPr>
                <w:rFonts w:ascii="Arial" w:hAnsi="Arial" w:cs="Arial"/>
                <w:color w:val="000000"/>
                <w:sz w:val="20"/>
                <w:szCs w:val="20"/>
              </w:rPr>
            </w:pPr>
            <w:r w:rsidRPr="00D6448E">
              <w:rPr>
                <w:rFonts w:ascii="Arial" w:hAnsi="Arial" w:cs="Arial"/>
                <w:color w:val="000000"/>
                <w:sz w:val="20"/>
                <w:szCs w:val="20"/>
              </w:rPr>
              <w:t>80.4%</w:t>
            </w:r>
          </w:p>
        </w:tc>
      </w:tr>
    </w:tbl>
    <w:p w14:paraId="5EF6F6C1" w14:textId="77777777" w:rsidR="00D6448E" w:rsidRDefault="00D6448E" w:rsidP="00D6448E">
      <w:pPr>
        <w:pStyle w:val="TableCaption"/>
        <w:keepNext/>
        <w:keepLines/>
        <w:rPr>
          <w:b w:val="0"/>
        </w:rPr>
      </w:pPr>
    </w:p>
    <w:p w14:paraId="05A48931" w14:textId="77777777" w:rsidR="00321E09" w:rsidRPr="00146E50" w:rsidRDefault="00321E09" w:rsidP="00146E50">
      <w:pPr>
        <w:pStyle w:val="Heading3"/>
        <w:rPr>
          <w:sz w:val="22"/>
          <w:szCs w:val="22"/>
        </w:rPr>
      </w:pPr>
      <w:bookmarkStart w:id="90" w:name="_Toc510091115"/>
      <w:r>
        <w:rPr>
          <w:sz w:val="22"/>
          <w:szCs w:val="22"/>
        </w:rPr>
        <w:t xml:space="preserve">4.2.2 </w:t>
      </w:r>
      <w:r w:rsidRPr="00146E50">
        <w:rPr>
          <w:sz w:val="22"/>
          <w:szCs w:val="22"/>
        </w:rPr>
        <w:t>Hourly Load Impacts</w:t>
      </w:r>
      <w:bookmarkEnd w:id="90"/>
      <w:r w:rsidRPr="00146E50">
        <w:rPr>
          <w:sz w:val="22"/>
          <w:szCs w:val="22"/>
        </w:rPr>
        <w:t xml:space="preserve"> </w:t>
      </w:r>
    </w:p>
    <w:p w14:paraId="142FBEE5" w14:textId="6FCF7A8E" w:rsidR="00321E09" w:rsidRDefault="00321E09" w:rsidP="00C70F01">
      <w:r>
        <w:t>Table 4.</w:t>
      </w:r>
      <w:r w:rsidR="00A34732">
        <w:t>9</w:t>
      </w:r>
      <w:r>
        <w:t xml:space="preserve"> presents hourly load impacts </w:t>
      </w:r>
      <w:r w:rsidR="00CB4E99">
        <w:t xml:space="preserve">for the </w:t>
      </w:r>
      <w:r w:rsidR="00A70C84">
        <w:t>May 3</w:t>
      </w:r>
      <w:r w:rsidR="00A70C84" w:rsidRPr="00A70C84">
        <w:rPr>
          <w:vertAlign w:val="superscript"/>
        </w:rPr>
        <w:t>rd</w:t>
      </w:r>
      <w:r w:rsidR="00A70C84">
        <w:t xml:space="preserve"> </w:t>
      </w:r>
      <w:r>
        <w:t>B</w:t>
      </w:r>
      <w:r w:rsidR="00CB4E99">
        <w:t>I</w:t>
      </w:r>
      <w:r>
        <w:t>P event in the ma</w:t>
      </w:r>
      <w:r w:rsidR="004E445E">
        <w:t>n</w:t>
      </w:r>
      <w:r w:rsidR="00E673EA">
        <w:t xml:space="preserve">ner required by the Protocols. </w:t>
      </w:r>
    </w:p>
    <w:p w14:paraId="06BB2379" w14:textId="3CFE0464" w:rsidR="00321E09" w:rsidRDefault="00321E09" w:rsidP="00747BEF">
      <w:r>
        <w:t xml:space="preserve"> </w:t>
      </w:r>
    </w:p>
    <w:p w14:paraId="544C88FC" w14:textId="292462FD" w:rsidR="00321E09" w:rsidRPr="00852320" w:rsidRDefault="00321E09" w:rsidP="00B3661A">
      <w:pPr>
        <w:pStyle w:val="TableCaption"/>
        <w:keepNext/>
        <w:keepLines/>
      </w:pPr>
      <w:bookmarkStart w:id="91" w:name="_Toc508800223"/>
      <w:r w:rsidRPr="00852320">
        <w:t>Table 4.</w:t>
      </w:r>
      <w:r w:rsidR="00A34732">
        <w:t>9</w:t>
      </w:r>
      <w:r w:rsidR="00804C65">
        <w:t xml:space="preserve">: </w:t>
      </w:r>
      <w:r w:rsidRPr="00852320">
        <w:t>B</w:t>
      </w:r>
      <w:r w:rsidR="00804C65">
        <w:t>I</w:t>
      </w:r>
      <w:r w:rsidRPr="00852320">
        <w:t xml:space="preserve">P Hourly Load Impacts for </w:t>
      </w:r>
      <w:r w:rsidR="000C3E81" w:rsidRPr="00852320">
        <w:t xml:space="preserve">the </w:t>
      </w:r>
      <w:r w:rsidR="00A70C84">
        <w:t>May 3</w:t>
      </w:r>
      <w:r w:rsidR="00804C65">
        <w:t>, 201</w:t>
      </w:r>
      <w:r w:rsidR="00A70C84">
        <w:t>7</w:t>
      </w:r>
      <w:r w:rsidRPr="00852320">
        <w:t xml:space="preserve"> Event Day, </w:t>
      </w:r>
      <w:r w:rsidRPr="00852320">
        <w:rPr>
          <w:i/>
        </w:rPr>
        <w:t>SCE</w:t>
      </w:r>
      <w:bookmarkEnd w:id="91"/>
    </w:p>
    <w:p w14:paraId="173015F3" w14:textId="339EFADA" w:rsidR="00321E09" w:rsidRPr="00732632" w:rsidRDefault="00A70C84" w:rsidP="003D2DE7">
      <w:pPr>
        <w:keepNext/>
        <w:keepLines/>
      </w:pPr>
      <w:r w:rsidRPr="00A70C84">
        <w:rPr>
          <w:noProof/>
        </w:rPr>
        <w:drawing>
          <wp:inline distT="0" distB="0" distL="0" distR="0" wp14:anchorId="539E1D73" wp14:editId="3E1F04D2">
            <wp:extent cx="5486400" cy="4336038"/>
            <wp:effectExtent l="0" t="0" r="0" b="762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86400" cy="4336038"/>
                    </a:xfrm>
                    <a:prstGeom prst="rect">
                      <a:avLst/>
                    </a:prstGeom>
                    <a:noFill/>
                    <a:ln>
                      <a:noFill/>
                    </a:ln>
                  </pic:spPr>
                </pic:pic>
              </a:graphicData>
            </a:graphic>
          </wp:inline>
        </w:drawing>
      </w:r>
    </w:p>
    <w:p w14:paraId="68A3955D" w14:textId="718A0700" w:rsidR="004E445E" w:rsidRPr="004E445E" w:rsidRDefault="004E445E" w:rsidP="004E445E">
      <w:pPr>
        <w:rPr>
          <w:rFonts w:ascii="Arial" w:hAnsi="Arial" w:cs="Arial"/>
          <w:sz w:val="16"/>
          <w:szCs w:val="16"/>
        </w:rPr>
      </w:pPr>
      <w:r w:rsidRPr="004E445E">
        <w:rPr>
          <w:rFonts w:ascii="Arial" w:hAnsi="Arial" w:cs="Arial"/>
          <w:sz w:val="16"/>
          <w:szCs w:val="16"/>
        </w:rPr>
        <w:t>* Th</w:t>
      </w:r>
      <w:r w:rsidR="00667C2A">
        <w:rPr>
          <w:rFonts w:ascii="Arial" w:hAnsi="Arial" w:cs="Arial"/>
          <w:sz w:val="16"/>
          <w:szCs w:val="16"/>
        </w:rPr>
        <w:t>e highlighting indicates all hours affect</w:t>
      </w:r>
      <w:r w:rsidR="001F61B5">
        <w:rPr>
          <w:rFonts w:ascii="Arial" w:hAnsi="Arial" w:cs="Arial"/>
          <w:sz w:val="16"/>
          <w:szCs w:val="16"/>
        </w:rPr>
        <w:t>ed</w:t>
      </w:r>
      <w:r w:rsidR="00667C2A">
        <w:rPr>
          <w:rFonts w:ascii="Arial" w:hAnsi="Arial" w:cs="Arial"/>
          <w:sz w:val="16"/>
          <w:szCs w:val="16"/>
        </w:rPr>
        <w:t xml:space="preserve"> by the event. However, hour-ending </w:t>
      </w:r>
      <w:r w:rsidR="00A70C84">
        <w:rPr>
          <w:rFonts w:ascii="Arial" w:hAnsi="Arial" w:cs="Arial"/>
          <w:sz w:val="16"/>
          <w:szCs w:val="16"/>
        </w:rPr>
        <w:t>21</w:t>
      </w:r>
      <w:r w:rsidR="00667C2A">
        <w:rPr>
          <w:rFonts w:ascii="Arial" w:hAnsi="Arial" w:cs="Arial"/>
          <w:sz w:val="16"/>
          <w:szCs w:val="16"/>
        </w:rPr>
        <w:t xml:space="preserve"> was the only hour during which customers were required to respond for the full hour</w:t>
      </w:r>
      <w:r w:rsidRPr="004E445E">
        <w:rPr>
          <w:rFonts w:ascii="Arial" w:hAnsi="Arial" w:cs="Arial"/>
          <w:sz w:val="16"/>
          <w:szCs w:val="16"/>
        </w:rPr>
        <w:t>.</w:t>
      </w:r>
    </w:p>
    <w:p w14:paraId="35CBBC31" w14:textId="77777777" w:rsidR="004E445E" w:rsidRDefault="004E445E" w:rsidP="00C70F01"/>
    <w:p w14:paraId="25294871" w14:textId="54841A1E" w:rsidR="00321E09" w:rsidRDefault="00321E09" w:rsidP="00C70F01">
      <w:r>
        <w:t>Figure 4.</w:t>
      </w:r>
      <w:r w:rsidR="00C23BD6">
        <w:t>3</w:t>
      </w:r>
      <w:r>
        <w:t xml:space="preserve"> illustrates the hourly reference load</w:t>
      </w:r>
      <w:r w:rsidR="00414097">
        <w:t xml:space="preserve">, </w:t>
      </w:r>
      <w:r>
        <w:t>observed load</w:t>
      </w:r>
      <w:r w:rsidR="00414097">
        <w:t>, and load impact</w:t>
      </w:r>
      <w:r>
        <w:t xml:space="preserve"> for the </w:t>
      </w:r>
      <w:r w:rsidR="00A70C84">
        <w:t>May 3</w:t>
      </w:r>
      <w:r w:rsidR="00A70C84" w:rsidRPr="00A70C84">
        <w:rPr>
          <w:vertAlign w:val="superscript"/>
        </w:rPr>
        <w:t>rd</w:t>
      </w:r>
      <w:r w:rsidR="00A70C84">
        <w:t xml:space="preserve"> </w:t>
      </w:r>
      <w:r w:rsidR="00CC542E">
        <w:t>BIP event</w:t>
      </w:r>
      <w:r>
        <w:t>.</w:t>
      </w:r>
      <w:r w:rsidR="00414097">
        <w:t xml:space="preserve"> </w:t>
      </w:r>
    </w:p>
    <w:p w14:paraId="3FAC4064" w14:textId="77777777" w:rsidR="00CC542E" w:rsidRDefault="00CC542E" w:rsidP="00C70F01"/>
    <w:p w14:paraId="3BCCEB58" w14:textId="766BD716" w:rsidR="00321E09" w:rsidRPr="00852320" w:rsidRDefault="00321E09" w:rsidP="0019201F">
      <w:pPr>
        <w:pStyle w:val="FigureCaption"/>
        <w:keepNext/>
        <w:keepLines/>
      </w:pPr>
      <w:bookmarkStart w:id="92" w:name="_Toc508800271"/>
      <w:r w:rsidRPr="00852320">
        <w:t>Figure 4.</w:t>
      </w:r>
      <w:r w:rsidR="00C23BD6" w:rsidRPr="00852320">
        <w:t>3</w:t>
      </w:r>
      <w:r w:rsidRPr="00852320">
        <w:t>: B</w:t>
      </w:r>
      <w:r w:rsidR="00A34732">
        <w:t>I</w:t>
      </w:r>
      <w:r w:rsidRPr="00852320">
        <w:t>P Load Impacts</w:t>
      </w:r>
      <w:r w:rsidR="003A3AC6">
        <w:t xml:space="preserve"> for the </w:t>
      </w:r>
      <w:r w:rsidR="00A70C84">
        <w:t>May 3, 2017</w:t>
      </w:r>
      <w:r w:rsidR="00A34732">
        <w:t xml:space="preserve"> </w:t>
      </w:r>
      <w:r w:rsidR="003A3AC6">
        <w:t>Event Day</w:t>
      </w:r>
      <w:r w:rsidR="00E32794" w:rsidRPr="00852320">
        <w:t xml:space="preserve">, </w:t>
      </w:r>
      <w:r w:rsidRPr="00852320">
        <w:rPr>
          <w:i/>
        </w:rPr>
        <w:t>SCE</w:t>
      </w:r>
      <w:bookmarkEnd w:id="92"/>
    </w:p>
    <w:p w14:paraId="37678686" w14:textId="1BCEB147" w:rsidR="00B32EAB" w:rsidRPr="00B846C5" w:rsidRDefault="00716EE2" w:rsidP="0019201F">
      <w:pPr>
        <w:keepNext/>
        <w:keepLines/>
        <w:jc w:val="center"/>
      </w:pPr>
      <w:r>
        <w:rPr>
          <w:noProof/>
        </w:rPr>
        <w:drawing>
          <wp:inline distT="0" distB="0" distL="0" distR="0" wp14:anchorId="09EB90C0" wp14:editId="2C2E639A">
            <wp:extent cx="4572635" cy="2743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655767FA" w14:textId="77777777" w:rsidR="00321E09" w:rsidRDefault="00321E09" w:rsidP="00C70F01"/>
    <w:p w14:paraId="6C671101" w14:textId="77777777" w:rsidR="00205D5C" w:rsidRDefault="00205D5C" w:rsidP="00205D5C">
      <w:pPr>
        <w:pStyle w:val="Heading2"/>
      </w:pPr>
      <w:bookmarkStart w:id="93" w:name="_Toc510091116"/>
      <w:r w:rsidRPr="00140892">
        <w:t>4.3 SDG&amp;E Load Impacts</w:t>
      </w:r>
      <w:bookmarkEnd w:id="93"/>
    </w:p>
    <w:p w14:paraId="49044315" w14:textId="5430B8C7" w:rsidR="008B552C" w:rsidRPr="00146E50" w:rsidRDefault="008B552C" w:rsidP="008B552C">
      <w:pPr>
        <w:pStyle w:val="Heading3"/>
        <w:rPr>
          <w:sz w:val="22"/>
          <w:szCs w:val="22"/>
        </w:rPr>
      </w:pPr>
      <w:bookmarkStart w:id="94" w:name="_Toc351386683"/>
      <w:bookmarkStart w:id="95" w:name="_Toc510091117"/>
      <w:r>
        <w:rPr>
          <w:sz w:val="22"/>
          <w:szCs w:val="22"/>
        </w:rPr>
        <w:t xml:space="preserve">4.3.1 </w:t>
      </w:r>
      <w:r w:rsidRPr="00146E50">
        <w:rPr>
          <w:sz w:val="22"/>
          <w:szCs w:val="22"/>
        </w:rPr>
        <w:t xml:space="preserve">Average </w:t>
      </w:r>
      <w:r w:rsidR="00B32EAB">
        <w:rPr>
          <w:sz w:val="22"/>
          <w:szCs w:val="22"/>
        </w:rPr>
        <w:t>Event-hour</w:t>
      </w:r>
      <w:r w:rsidR="00B32EAB" w:rsidRPr="00146E50">
        <w:rPr>
          <w:sz w:val="22"/>
          <w:szCs w:val="22"/>
        </w:rPr>
        <w:t xml:space="preserve"> </w:t>
      </w:r>
      <w:r w:rsidRPr="00146E50">
        <w:rPr>
          <w:sz w:val="22"/>
          <w:szCs w:val="22"/>
        </w:rPr>
        <w:t>Load Impacts</w:t>
      </w:r>
      <w:bookmarkEnd w:id="94"/>
      <w:bookmarkEnd w:id="95"/>
    </w:p>
    <w:p w14:paraId="438E4FE0" w14:textId="60A155EF" w:rsidR="00BA15F9" w:rsidRDefault="00531C44" w:rsidP="008B552C">
      <w:r>
        <w:t>A</w:t>
      </w:r>
      <w:r w:rsidR="008B552C">
        <w:t xml:space="preserve">verage </w:t>
      </w:r>
      <w:r w:rsidR="00B32EAB">
        <w:t xml:space="preserve">event-hour </w:t>
      </w:r>
      <w:r w:rsidR="008B552C">
        <w:t>reference loads and load impacts for SDG&amp;E</w:t>
      </w:r>
      <w:r>
        <w:t xml:space="preserve"> single event </w:t>
      </w:r>
      <w:r w:rsidR="00AE79E7">
        <w:t>(</w:t>
      </w:r>
      <w:r>
        <w:t xml:space="preserve">August </w:t>
      </w:r>
      <w:r w:rsidR="00AC726B">
        <w:t>31</w:t>
      </w:r>
      <w:r>
        <w:t>, 201</w:t>
      </w:r>
      <w:r w:rsidR="00AC726B">
        <w:t>7</w:t>
      </w:r>
      <w:r w:rsidR="00AE79E7">
        <w:t>)</w:t>
      </w:r>
      <w:r>
        <w:t xml:space="preserve"> are summarized in Table 4.10</w:t>
      </w:r>
      <w:r w:rsidR="008B552C">
        <w:t xml:space="preserve">. </w:t>
      </w:r>
      <w:r w:rsidR="00D9709F">
        <w:t>The average load impact over the four</w:t>
      </w:r>
      <w:r w:rsidR="009734EB">
        <w:t>-</w:t>
      </w:r>
      <w:r w:rsidR="00D9709F">
        <w:t xml:space="preserve">hour event was </w:t>
      </w:r>
      <w:r w:rsidR="00B64F9F" w:rsidRPr="0086367A">
        <w:t>2</w:t>
      </w:r>
      <w:r w:rsidR="00D9709F" w:rsidRPr="0086367A">
        <w:t>.5 MW</w:t>
      </w:r>
      <w:r w:rsidR="00D9709F">
        <w:t>.</w:t>
      </w:r>
    </w:p>
    <w:p w14:paraId="4A0B2255" w14:textId="77777777" w:rsidR="008B552C" w:rsidRDefault="008B552C" w:rsidP="008B552C"/>
    <w:p w14:paraId="2830EC60" w14:textId="3801DAA6" w:rsidR="008B552C" w:rsidRPr="008B552C" w:rsidRDefault="008B552C" w:rsidP="008B552C">
      <w:pPr>
        <w:pStyle w:val="TableCaption"/>
        <w:keepNext/>
        <w:keepLines/>
      </w:pPr>
      <w:bookmarkStart w:id="96" w:name="_Toc351386735"/>
      <w:bookmarkStart w:id="97" w:name="_Toc508800224"/>
      <w:r w:rsidRPr="008B552C">
        <w:t>Table 4.1</w:t>
      </w:r>
      <w:r w:rsidR="00A34732">
        <w:t>0</w:t>
      </w:r>
      <w:r w:rsidRPr="008B552C">
        <w:t xml:space="preserve">: Average </w:t>
      </w:r>
      <w:r w:rsidR="00B32EAB">
        <w:t>Event-hour</w:t>
      </w:r>
      <w:r w:rsidR="00B32EAB" w:rsidRPr="008B552C">
        <w:t xml:space="preserve"> </w:t>
      </w:r>
      <w:r w:rsidRPr="008B552C">
        <w:t>Load Im</w:t>
      </w:r>
      <w:r w:rsidR="00C12E1B">
        <w:t>pacts</w:t>
      </w:r>
      <w:r w:rsidRPr="008B552C">
        <w:t xml:space="preserve">, </w:t>
      </w:r>
      <w:r w:rsidRPr="008B552C">
        <w:rPr>
          <w:i/>
        </w:rPr>
        <w:t>SDG&amp;E</w:t>
      </w:r>
      <w:bookmarkEnd w:id="96"/>
      <w:bookmarkEnd w:id="9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1260"/>
        <w:gridCol w:w="1350"/>
        <w:gridCol w:w="1348"/>
        <w:gridCol w:w="1473"/>
        <w:gridCol w:w="1723"/>
        <w:gridCol w:w="784"/>
      </w:tblGrid>
      <w:tr w:rsidR="008B552C" w14:paraId="3B3F9AC7" w14:textId="77777777" w:rsidTr="006B55F6">
        <w:trPr>
          <w:jc w:val="center"/>
        </w:trPr>
        <w:tc>
          <w:tcPr>
            <w:tcW w:w="918" w:type="dxa"/>
            <w:tcBorders>
              <w:right w:val="single" w:sz="4" w:space="0" w:color="FFFFFF" w:themeColor="background1"/>
            </w:tcBorders>
            <w:shd w:val="clear" w:color="auto" w:fill="0C2577"/>
            <w:vAlign w:val="center"/>
          </w:tcPr>
          <w:p w14:paraId="77E8DC03" w14:textId="77777777" w:rsidR="008B552C" w:rsidRPr="007E0A27" w:rsidRDefault="008B552C" w:rsidP="00C16302">
            <w:pPr>
              <w:keepNext/>
              <w:keepLines/>
              <w:jc w:val="center"/>
              <w:rPr>
                <w:rFonts w:ascii="Arial" w:hAnsi="Arial" w:cs="Arial"/>
                <w:b/>
                <w:sz w:val="20"/>
                <w:szCs w:val="20"/>
              </w:rPr>
            </w:pPr>
            <w:r w:rsidRPr="007E0A27">
              <w:rPr>
                <w:rFonts w:ascii="Arial" w:hAnsi="Arial" w:cs="Arial"/>
                <w:b/>
                <w:sz w:val="20"/>
                <w:szCs w:val="20"/>
              </w:rPr>
              <w:t>Event</w:t>
            </w:r>
          </w:p>
        </w:tc>
        <w:tc>
          <w:tcPr>
            <w:tcW w:w="1260" w:type="dxa"/>
            <w:tcBorders>
              <w:left w:val="single" w:sz="4" w:space="0" w:color="FFFFFF" w:themeColor="background1"/>
              <w:right w:val="single" w:sz="4" w:space="0" w:color="FFFFFF" w:themeColor="background1"/>
            </w:tcBorders>
            <w:shd w:val="clear" w:color="auto" w:fill="0C2577"/>
            <w:vAlign w:val="center"/>
          </w:tcPr>
          <w:p w14:paraId="3B4D67AF" w14:textId="77777777" w:rsidR="008B552C" w:rsidRPr="007E0A27" w:rsidRDefault="008B552C" w:rsidP="00C16302">
            <w:pPr>
              <w:keepNext/>
              <w:keepLines/>
              <w:jc w:val="center"/>
              <w:rPr>
                <w:rFonts w:ascii="Arial" w:hAnsi="Arial" w:cs="Arial"/>
                <w:b/>
                <w:sz w:val="20"/>
                <w:szCs w:val="20"/>
              </w:rPr>
            </w:pPr>
            <w:r w:rsidRPr="007E0A27">
              <w:rPr>
                <w:rFonts w:ascii="Arial" w:hAnsi="Arial" w:cs="Arial"/>
                <w:b/>
                <w:sz w:val="20"/>
                <w:szCs w:val="20"/>
              </w:rPr>
              <w:t>Date</w:t>
            </w:r>
          </w:p>
        </w:tc>
        <w:tc>
          <w:tcPr>
            <w:tcW w:w="1350" w:type="dxa"/>
            <w:tcBorders>
              <w:left w:val="single" w:sz="4" w:space="0" w:color="FFFFFF" w:themeColor="background1"/>
              <w:right w:val="single" w:sz="4" w:space="0" w:color="FFFFFF" w:themeColor="background1"/>
            </w:tcBorders>
            <w:shd w:val="clear" w:color="auto" w:fill="0C2577"/>
            <w:vAlign w:val="center"/>
          </w:tcPr>
          <w:p w14:paraId="238F8383" w14:textId="77777777" w:rsidR="008B552C" w:rsidRPr="007E0A27" w:rsidRDefault="008B552C" w:rsidP="00C16302">
            <w:pPr>
              <w:keepNext/>
              <w:keepLines/>
              <w:jc w:val="center"/>
              <w:rPr>
                <w:rFonts w:ascii="Arial" w:hAnsi="Arial" w:cs="Arial"/>
                <w:b/>
                <w:sz w:val="20"/>
                <w:szCs w:val="20"/>
              </w:rPr>
            </w:pPr>
            <w:r w:rsidRPr="007E0A27">
              <w:rPr>
                <w:rFonts w:ascii="Arial" w:hAnsi="Arial" w:cs="Arial"/>
                <w:b/>
                <w:sz w:val="20"/>
                <w:szCs w:val="20"/>
              </w:rPr>
              <w:t>Day of Week</w:t>
            </w:r>
          </w:p>
        </w:tc>
        <w:tc>
          <w:tcPr>
            <w:tcW w:w="1348" w:type="dxa"/>
            <w:tcBorders>
              <w:left w:val="single" w:sz="4" w:space="0" w:color="FFFFFF" w:themeColor="background1"/>
              <w:right w:val="single" w:sz="4" w:space="0" w:color="FFFFFF" w:themeColor="background1"/>
            </w:tcBorders>
            <w:shd w:val="clear" w:color="auto" w:fill="0C2577"/>
            <w:vAlign w:val="center"/>
          </w:tcPr>
          <w:p w14:paraId="53B4F162" w14:textId="77777777" w:rsidR="008B552C" w:rsidRPr="007E0A27" w:rsidRDefault="008B552C" w:rsidP="00C16302">
            <w:pPr>
              <w:keepNext/>
              <w:keepLines/>
              <w:jc w:val="center"/>
              <w:rPr>
                <w:rFonts w:ascii="Arial" w:hAnsi="Arial" w:cs="Arial"/>
                <w:b/>
                <w:sz w:val="20"/>
                <w:szCs w:val="20"/>
              </w:rPr>
            </w:pPr>
            <w:r w:rsidRPr="007E0A27">
              <w:rPr>
                <w:rFonts w:ascii="Arial" w:hAnsi="Arial" w:cs="Arial"/>
                <w:b/>
                <w:sz w:val="20"/>
                <w:szCs w:val="20"/>
              </w:rPr>
              <w:t>Estimated Reference Load (MW)</w:t>
            </w:r>
          </w:p>
        </w:tc>
        <w:tc>
          <w:tcPr>
            <w:tcW w:w="1473" w:type="dxa"/>
            <w:tcBorders>
              <w:left w:val="single" w:sz="4" w:space="0" w:color="FFFFFF" w:themeColor="background1"/>
              <w:right w:val="single" w:sz="4" w:space="0" w:color="FFFFFF" w:themeColor="background1"/>
            </w:tcBorders>
            <w:shd w:val="clear" w:color="auto" w:fill="0C2577"/>
            <w:vAlign w:val="center"/>
          </w:tcPr>
          <w:p w14:paraId="5F9D30AA" w14:textId="77777777" w:rsidR="008B552C" w:rsidRPr="007E0A27" w:rsidRDefault="008B552C" w:rsidP="00C16302">
            <w:pPr>
              <w:keepNext/>
              <w:keepLines/>
              <w:jc w:val="center"/>
              <w:rPr>
                <w:rFonts w:ascii="Arial" w:hAnsi="Arial" w:cs="Arial"/>
                <w:b/>
                <w:sz w:val="20"/>
                <w:szCs w:val="20"/>
              </w:rPr>
            </w:pPr>
            <w:r w:rsidRPr="007E0A27">
              <w:rPr>
                <w:rFonts w:ascii="Arial" w:hAnsi="Arial" w:cs="Arial"/>
                <w:b/>
                <w:sz w:val="20"/>
                <w:szCs w:val="20"/>
              </w:rPr>
              <w:t>Observed Load (MW)</w:t>
            </w:r>
          </w:p>
        </w:tc>
        <w:tc>
          <w:tcPr>
            <w:tcW w:w="1723" w:type="dxa"/>
            <w:tcBorders>
              <w:left w:val="single" w:sz="4" w:space="0" w:color="FFFFFF" w:themeColor="background1"/>
              <w:right w:val="single" w:sz="4" w:space="0" w:color="FFFFFF" w:themeColor="background1"/>
            </w:tcBorders>
            <w:shd w:val="clear" w:color="auto" w:fill="0C2577"/>
            <w:vAlign w:val="center"/>
          </w:tcPr>
          <w:p w14:paraId="2C60D176" w14:textId="77777777" w:rsidR="008B552C" w:rsidRPr="007E0A27" w:rsidRDefault="008B552C" w:rsidP="00C16302">
            <w:pPr>
              <w:keepNext/>
              <w:keepLines/>
              <w:jc w:val="center"/>
              <w:rPr>
                <w:rFonts w:ascii="Arial" w:hAnsi="Arial" w:cs="Arial"/>
                <w:b/>
                <w:sz w:val="20"/>
                <w:szCs w:val="20"/>
              </w:rPr>
            </w:pPr>
            <w:r w:rsidRPr="007E0A27">
              <w:rPr>
                <w:rFonts w:ascii="Arial" w:hAnsi="Arial" w:cs="Arial"/>
                <w:b/>
                <w:sz w:val="20"/>
                <w:szCs w:val="20"/>
              </w:rPr>
              <w:t>Estimated Load Impact (MW)</w:t>
            </w:r>
          </w:p>
        </w:tc>
        <w:tc>
          <w:tcPr>
            <w:tcW w:w="784" w:type="dxa"/>
            <w:tcBorders>
              <w:left w:val="single" w:sz="4" w:space="0" w:color="FFFFFF" w:themeColor="background1"/>
            </w:tcBorders>
            <w:shd w:val="clear" w:color="auto" w:fill="0C2577"/>
            <w:vAlign w:val="center"/>
          </w:tcPr>
          <w:p w14:paraId="19505E55" w14:textId="77777777" w:rsidR="008B552C" w:rsidRPr="007E0A27" w:rsidRDefault="008B552C" w:rsidP="00C16302">
            <w:pPr>
              <w:keepNext/>
              <w:keepLines/>
              <w:jc w:val="center"/>
              <w:rPr>
                <w:rFonts w:ascii="Arial" w:hAnsi="Arial" w:cs="Arial"/>
                <w:b/>
                <w:sz w:val="20"/>
                <w:szCs w:val="20"/>
              </w:rPr>
            </w:pPr>
            <w:r w:rsidRPr="007E0A27">
              <w:rPr>
                <w:rFonts w:ascii="Arial" w:hAnsi="Arial" w:cs="Arial"/>
                <w:b/>
                <w:sz w:val="20"/>
                <w:szCs w:val="20"/>
              </w:rPr>
              <w:t>% LI</w:t>
            </w:r>
          </w:p>
        </w:tc>
      </w:tr>
      <w:tr w:rsidR="009940DA" w14:paraId="3FF111BA" w14:textId="77777777" w:rsidTr="0086367A">
        <w:trPr>
          <w:jc w:val="center"/>
        </w:trPr>
        <w:tc>
          <w:tcPr>
            <w:tcW w:w="918" w:type="dxa"/>
          </w:tcPr>
          <w:p w14:paraId="12218B1A" w14:textId="3C7EF242" w:rsidR="009940DA" w:rsidRPr="007E0A27" w:rsidRDefault="009940DA" w:rsidP="009940DA">
            <w:pPr>
              <w:keepNext/>
              <w:keepLines/>
              <w:jc w:val="center"/>
              <w:rPr>
                <w:rFonts w:ascii="Arial" w:hAnsi="Arial" w:cs="Arial"/>
                <w:sz w:val="20"/>
                <w:szCs w:val="20"/>
              </w:rPr>
            </w:pPr>
            <w:r w:rsidRPr="007E0A27">
              <w:rPr>
                <w:rFonts w:ascii="Arial" w:hAnsi="Arial" w:cs="Arial"/>
                <w:sz w:val="20"/>
                <w:szCs w:val="20"/>
              </w:rPr>
              <w:t>1</w:t>
            </w:r>
          </w:p>
        </w:tc>
        <w:tc>
          <w:tcPr>
            <w:tcW w:w="1260" w:type="dxa"/>
          </w:tcPr>
          <w:p w14:paraId="2BE230E0" w14:textId="0BD2D7F2" w:rsidR="009940DA" w:rsidRPr="00E32463" w:rsidRDefault="00531C44" w:rsidP="00531C44">
            <w:pPr>
              <w:keepNext/>
              <w:keepLines/>
              <w:jc w:val="right"/>
              <w:rPr>
                <w:rFonts w:ascii="Arial" w:hAnsi="Arial" w:cs="Arial"/>
                <w:sz w:val="20"/>
                <w:szCs w:val="20"/>
              </w:rPr>
            </w:pPr>
            <w:r>
              <w:rPr>
                <w:rFonts w:ascii="Arial" w:hAnsi="Arial" w:cs="Arial"/>
                <w:sz w:val="20"/>
                <w:szCs w:val="20"/>
              </w:rPr>
              <w:t>8</w:t>
            </w:r>
            <w:r w:rsidR="009940DA" w:rsidRPr="00E32463">
              <w:rPr>
                <w:rFonts w:ascii="Arial" w:hAnsi="Arial" w:cs="Arial"/>
                <w:sz w:val="20"/>
                <w:szCs w:val="20"/>
              </w:rPr>
              <w:t>/</w:t>
            </w:r>
            <w:r w:rsidR="00AC726B">
              <w:rPr>
                <w:rFonts w:ascii="Arial" w:hAnsi="Arial" w:cs="Arial"/>
                <w:sz w:val="20"/>
                <w:szCs w:val="20"/>
              </w:rPr>
              <w:t>31</w:t>
            </w:r>
            <w:r w:rsidR="009940DA" w:rsidRPr="00E32463">
              <w:rPr>
                <w:rFonts w:ascii="Arial" w:hAnsi="Arial" w:cs="Arial"/>
                <w:sz w:val="20"/>
                <w:szCs w:val="20"/>
              </w:rPr>
              <w:t>/201</w:t>
            </w:r>
            <w:r w:rsidR="00AC726B">
              <w:rPr>
                <w:rFonts w:ascii="Arial" w:hAnsi="Arial" w:cs="Arial"/>
                <w:sz w:val="20"/>
                <w:szCs w:val="20"/>
              </w:rPr>
              <w:t>7</w:t>
            </w:r>
          </w:p>
        </w:tc>
        <w:tc>
          <w:tcPr>
            <w:tcW w:w="1350" w:type="dxa"/>
            <w:vAlign w:val="center"/>
          </w:tcPr>
          <w:p w14:paraId="1F79BF58" w14:textId="39055F7A" w:rsidR="009940DA" w:rsidRPr="00E32463" w:rsidRDefault="00AC726B" w:rsidP="009940DA">
            <w:pPr>
              <w:keepNext/>
              <w:keepLines/>
              <w:jc w:val="center"/>
              <w:rPr>
                <w:rFonts w:ascii="Arial" w:hAnsi="Arial" w:cs="Arial"/>
                <w:sz w:val="20"/>
                <w:szCs w:val="20"/>
              </w:rPr>
            </w:pPr>
            <w:r>
              <w:rPr>
                <w:rFonts w:ascii="Arial" w:hAnsi="Arial" w:cs="Arial"/>
                <w:sz w:val="20"/>
                <w:szCs w:val="20"/>
              </w:rPr>
              <w:t>Thursday</w:t>
            </w:r>
          </w:p>
        </w:tc>
        <w:tc>
          <w:tcPr>
            <w:tcW w:w="1348" w:type="dxa"/>
            <w:shd w:val="clear" w:color="auto" w:fill="auto"/>
          </w:tcPr>
          <w:p w14:paraId="1CAE4EC4" w14:textId="5FBBBEE5" w:rsidR="009940DA" w:rsidRPr="00CA44D7" w:rsidRDefault="00B64F9F" w:rsidP="009940DA">
            <w:pPr>
              <w:jc w:val="center"/>
              <w:rPr>
                <w:rFonts w:ascii="Arial" w:hAnsi="Arial" w:cs="Arial"/>
                <w:sz w:val="20"/>
                <w:szCs w:val="20"/>
              </w:rPr>
            </w:pPr>
            <w:r>
              <w:rPr>
                <w:rFonts w:ascii="Arial" w:hAnsi="Arial" w:cs="Arial"/>
                <w:sz w:val="20"/>
                <w:szCs w:val="20"/>
              </w:rPr>
              <w:t>3.6</w:t>
            </w:r>
          </w:p>
        </w:tc>
        <w:tc>
          <w:tcPr>
            <w:tcW w:w="1473" w:type="dxa"/>
            <w:shd w:val="clear" w:color="auto" w:fill="auto"/>
          </w:tcPr>
          <w:p w14:paraId="661066BB" w14:textId="5CC641A0" w:rsidR="009940DA" w:rsidRPr="00CA44D7" w:rsidRDefault="00B64F9F" w:rsidP="009940DA">
            <w:pPr>
              <w:jc w:val="center"/>
              <w:rPr>
                <w:rFonts w:ascii="Arial" w:hAnsi="Arial" w:cs="Arial"/>
                <w:sz w:val="20"/>
                <w:szCs w:val="20"/>
              </w:rPr>
            </w:pPr>
            <w:r>
              <w:rPr>
                <w:rFonts w:ascii="Arial" w:hAnsi="Arial" w:cs="Arial"/>
                <w:sz w:val="20"/>
                <w:szCs w:val="20"/>
              </w:rPr>
              <w:t>1.0</w:t>
            </w:r>
          </w:p>
        </w:tc>
        <w:tc>
          <w:tcPr>
            <w:tcW w:w="1723" w:type="dxa"/>
            <w:shd w:val="clear" w:color="auto" w:fill="auto"/>
          </w:tcPr>
          <w:p w14:paraId="1E41F03F" w14:textId="59D8AAF0" w:rsidR="009940DA" w:rsidRPr="00CA44D7" w:rsidRDefault="00B64F9F" w:rsidP="009940DA">
            <w:pPr>
              <w:jc w:val="center"/>
              <w:rPr>
                <w:rFonts w:ascii="Arial" w:hAnsi="Arial" w:cs="Arial"/>
                <w:sz w:val="20"/>
                <w:szCs w:val="20"/>
              </w:rPr>
            </w:pPr>
            <w:r>
              <w:rPr>
                <w:rFonts w:ascii="Arial" w:hAnsi="Arial" w:cs="Arial"/>
                <w:sz w:val="20"/>
                <w:szCs w:val="20"/>
              </w:rPr>
              <w:t>2.5</w:t>
            </w:r>
          </w:p>
        </w:tc>
        <w:tc>
          <w:tcPr>
            <w:tcW w:w="784" w:type="dxa"/>
            <w:shd w:val="clear" w:color="auto" w:fill="auto"/>
          </w:tcPr>
          <w:p w14:paraId="62AA7255" w14:textId="0A045EF8" w:rsidR="009940DA" w:rsidRPr="00CA44D7" w:rsidRDefault="00B64F9F" w:rsidP="009940DA">
            <w:pPr>
              <w:jc w:val="center"/>
              <w:rPr>
                <w:rFonts w:ascii="Arial" w:hAnsi="Arial" w:cs="Arial"/>
                <w:sz w:val="20"/>
                <w:szCs w:val="20"/>
              </w:rPr>
            </w:pPr>
            <w:r>
              <w:rPr>
                <w:rFonts w:ascii="Arial" w:hAnsi="Arial" w:cs="Arial"/>
                <w:sz w:val="20"/>
                <w:szCs w:val="20"/>
              </w:rPr>
              <w:t>71.1%</w:t>
            </w:r>
          </w:p>
        </w:tc>
      </w:tr>
    </w:tbl>
    <w:p w14:paraId="633D6144" w14:textId="77777777" w:rsidR="008B552C" w:rsidRDefault="008B552C" w:rsidP="008B552C"/>
    <w:p w14:paraId="44C95FBE" w14:textId="61E03745" w:rsidR="008B552C" w:rsidRDefault="009940DA" w:rsidP="008B552C">
      <w:r w:rsidRPr="002D39E4">
        <w:t>Table 4.</w:t>
      </w:r>
      <w:r>
        <w:t xml:space="preserve">11 </w:t>
      </w:r>
      <w:r w:rsidRPr="002D39E4">
        <w:t xml:space="preserve">compares the </w:t>
      </w:r>
      <w:r w:rsidR="00D9709F">
        <w:t>average observed load to the FSL</w:t>
      </w:r>
      <w:r>
        <w:t xml:space="preserve"> </w:t>
      </w:r>
      <w:r w:rsidR="00D9709F">
        <w:t>on the</w:t>
      </w:r>
      <w:r>
        <w:t xml:space="preserve"> event day.</w:t>
      </w:r>
      <w:r w:rsidR="00D9709F">
        <w:t xml:space="preserve"> </w:t>
      </w:r>
      <w:r w:rsidR="00B64F9F">
        <w:t>T</w:t>
      </w:r>
      <w:r w:rsidR="00844AE3">
        <w:t xml:space="preserve">he observed load was </w:t>
      </w:r>
      <w:r w:rsidR="00B64F9F">
        <w:t xml:space="preserve">below </w:t>
      </w:r>
      <w:r w:rsidR="00844AE3">
        <w:t xml:space="preserve">the FSL </w:t>
      </w:r>
      <w:r w:rsidR="00B64F9F">
        <w:t xml:space="preserve">throughout </w:t>
      </w:r>
      <w:r w:rsidR="00844AE3">
        <w:t>the event.</w:t>
      </w:r>
      <w:r w:rsidRPr="002D39E4">
        <w:t xml:space="preserve"> </w:t>
      </w:r>
      <w:r w:rsidR="008B552C" w:rsidRPr="002D39E4">
        <w:t xml:space="preserve"> </w:t>
      </w:r>
    </w:p>
    <w:p w14:paraId="7C6AE764" w14:textId="77777777" w:rsidR="008B552C" w:rsidRDefault="008B552C" w:rsidP="008B552C"/>
    <w:p w14:paraId="2C3BF2B2" w14:textId="30C71B15" w:rsidR="008B552C" w:rsidRPr="008B552C" w:rsidRDefault="008B552C" w:rsidP="008B552C">
      <w:pPr>
        <w:pStyle w:val="TableCaption"/>
        <w:keepNext/>
        <w:keepLines/>
      </w:pPr>
      <w:bookmarkStart w:id="98" w:name="_Toc351386736"/>
      <w:bookmarkStart w:id="99" w:name="_Toc508800225"/>
      <w:r w:rsidRPr="008B552C">
        <w:t>Table 4.1</w:t>
      </w:r>
      <w:r w:rsidR="00A34732">
        <w:t>1</w:t>
      </w:r>
      <w:r w:rsidRPr="008B552C">
        <w:t xml:space="preserve">: </w:t>
      </w:r>
      <w:r w:rsidR="00A34732" w:rsidRPr="00852320">
        <w:t xml:space="preserve">Average </w:t>
      </w:r>
      <w:r w:rsidR="00B32EAB">
        <w:t>Event-hour</w:t>
      </w:r>
      <w:r w:rsidR="00B32EAB" w:rsidRPr="00852320">
        <w:t xml:space="preserve"> </w:t>
      </w:r>
      <w:r w:rsidR="00A34732">
        <w:t>Observed Loads and FSLs</w:t>
      </w:r>
      <w:r w:rsidRPr="008B552C">
        <w:rPr>
          <w:i/>
        </w:rPr>
        <w:t>, SDG&amp;E</w:t>
      </w:r>
      <w:bookmarkEnd w:id="98"/>
      <w:bookmarkEnd w:id="9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1170"/>
        <w:gridCol w:w="1440"/>
        <w:gridCol w:w="1549"/>
        <w:gridCol w:w="1421"/>
        <w:gridCol w:w="1530"/>
      </w:tblGrid>
      <w:tr w:rsidR="00480455" w14:paraId="336CC91B" w14:textId="77777777" w:rsidTr="006B55F6">
        <w:trPr>
          <w:jc w:val="center"/>
        </w:trPr>
        <w:tc>
          <w:tcPr>
            <w:tcW w:w="918" w:type="dxa"/>
            <w:tcBorders>
              <w:right w:val="single" w:sz="4" w:space="0" w:color="FFFFFF" w:themeColor="background1"/>
            </w:tcBorders>
            <w:shd w:val="clear" w:color="auto" w:fill="0C2577"/>
            <w:vAlign w:val="center"/>
          </w:tcPr>
          <w:p w14:paraId="12DA6AD0" w14:textId="77777777" w:rsidR="00480455" w:rsidRPr="007E0A27" w:rsidRDefault="00480455" w:rsidP="00480455">
            <w:pPr>
              <w:keepNext/>
              <w:keepLines/>
              <w:jc w:val="center"/>
              <w:rPr>
                <w:rFonts w:ascii="Arial" w:hAnsi="Arial" w:cs="Arial"/>
                <w:b/>
                <w:sz w:val="20"/>
                <w:szCs w:val="20"/>
              </w:rPr>
            </w:pPr>
            <w:r w:rsidRPr="007E0A27">
              <w:rPr>
                <w:rFonts w:ascii="Arial" w:hAnsi="Arial" w:cs="Arial"/>
                <w:b/>
                <w:sz w:val="20"/>
                <w:szCs w:val="20"/>
              </w:rPr>
              <w:t>Event</w:t>
            </w:r>
          </w:p>
        </w:tc>
        <w:tc>
          <w:tcPr>
            <w:tcW w:w="1170" w:type="dxa"/>
            <w:tcBorders>
              <w:left w:val="single" w:sz="4" w:space="0" w:color="FFFFFF" w:themeColor="background1"/>
              <w:right w:val="single" w:sz="4" w:space="0" w:color="FFFFFF" w:themeColor="background1"/>
            </w:tcBorders>
            <w:shd w:val="clear" w:color="auto" w:fill="0C2577"/>
            <w:vAlign w:val="center"/>
          </w:tcPr>
          <w:p w14:paraId="6040605D" w14:textId="77777777" w:rsidR="00480455" w:rsidRPr="007E0A27" w:rsidRDefault="00480455" w:rsidP="00480455">
            <w:pPr>
              <w:keepNext/>
              <w:keepLines/>
              <w:jc w:val="center"/>
              <w:rPr>
                <w:rFonts w:ascii="Arial" w:hAnsi="Arial" w:cs="Arial"/>
                <w:b/>
                <w:sz w:val="20"/>
                <w:szCs w:val="20"/>
              </w:rPr>
            </w:pPr>
            <w:r w:rsidRPr="007E0A27">
              <w:rPr>
                <w:rFonts w:ascii="Arial" w:hAnsi="Arial" w:cs="Arial"/>
                <w:b/>
                <w:sz w:val="20"/>
                <w:szCs w:val="20"/>
              </w:rPr>
              <w:t>Date</w:t>
            </w:r>
          </w:p>
        </w:tc>
        <w:tc>
          <w:tcPr>
            <w:tcW w:w="1440" w:type="dxa"/>
            <w:tcBorders>
              <w:left w:val="single" w:sz="4" w:space="0" w:color="FFFFFF" w:themeColor="background1"/>
              <w:right w:val="single" w:sz="4" w:space="0" w:color="FFFFFF" w:themeColor="background1"/>
            </w:tcBorders>
            <w:shd w:val="clear" w:color="auto" w:fill="0C2577"/>
            <w:vAlign w:val="center"/>
          </w:tcPr>
          <w:p w14:paraId="20BDAF79" w14:textId="77777777" w:rsidR="00480455" w:rsidRPr="007E0A27" w:rsidRDefault="00480455" w:rsidP="00480455">
            <w:pPr>
              <w:keepNext/>
              <w:keepLines/>
              <w:jc w:val="center"/>
              <w:rPr>
                <w:rFonts w:ascii="Arial" w:hAnsi="Arial" w:cs="Arial"/>
                <w:b/>
                <w:sz w:val="20"/>
                <w:szCs w:val="20"/>
              </w:rPr>
            </w:pPr>
            <w:r w:rsidRPr="007E0A27">
              <w:rPr>
                <w:rFonts w:ascii="Arial" w:hAnsi="Arial" w:cs="Arial"/>
                <w:b/>
                <w:sz w:val="20"/>
                <w:szCs w:val="20"/>
              </w:rPr>
              <w:t>Day of Week</w:t>
            </w:r>
          </w:p>
        </w:tc>
        <w:tc>
          <w:tcPr>
            <w:tcW w:w="1549" w:type="dxa"/>
            <w:tcBorders>
              <w:left w:val="single" w:sz="4" w:space="0" w:color="FFFFFF" w:themeColor="background1"/>
              <w:right w:val="single" w:sz="4" w:space="0" w:color="FFFFFF" w:themeColor="background1"/>
            </w:tcBorders>
            <w:shd w:val="clear" w:color="auto" w:fill="0C2577"/>
            <w:vAlign w:val="center"/>
          </w:tcPr>
          <w:p w14:paraId="529D8F3D" w14:textId="54AA6C47" w:rsidR="00480455" w:rsidRDefault="00480455" w:rsidP="00480455">
            <w:pPr>
              <w:keepNext/>
              <w:keepLines/>
              <w:jc w:val="center"/>
              <w:rPr>
                <w:rFonts w:ascii="Arial" w:hAnsi="Arial" w:cs="Arial"/>
                <w:b/>
                <w:sz w:val="20"/>
                <w:szCs w:val="20"/>
              </w:rPr>
            </w:pPr>
            <w:r>
              <w:rPr>
                <w:rFonts w:ascii="Arial" w:hAnsi="Arial" w:cs="Arial"/>
                <w:b/>
                <w:sz w:val="20"/>
                <w:szCs w:val="20"/>
              </w:rPr>
              <w:t>Observed</w:t>
            </w:r>
          </w:p>
          <w:p w14:paraId="280166B6" w14:textId="018CFBA5" w:rsidR="00480455" w:rsidRPr="007E0A27" w:rsidRDefault="00480455" w:rsidP="00480455">
            <w:pPr>
              <w:keepNext/>
              <w:keepLines/>
              <w:jc w:val="center"/>
              <w:rPr>
                <w:rFonts w:ascii="Arial" w:hAnsi="Arial" w:cs="Arial"/>
                <w:b/>
                <w:sz w:val="20"/>
                <w:szCs w:val="20"/>
              </w:rPr>
            </w:pPr>
            <w:r>
              <w:rPr>
                <w:rFonts w:ascii="Arial" w:hAnsi="Arial" w:cs="Arial"/>
                <w:b/>
                <w:sz w:val="20"/>
                <w:szCs w:val="20"/>
              </w:rPr>
              <w:t>Load</w:t>
            </w:r>
            <w:r w:rsidRPr="007E0A27">
              <w:rPr>
                <w:rFonts w:ascii="Arial" w:hAnsi="Arial" w:cs="Arial"/>
                <w:b/>
                <w:sz w:val="20"/>
                <w:szCs w:val="20"/>
              </w:rPr>
              <w:t xml:space="preserve"> (MW)</w:t>
            </w:r>
          </w:p>
        </w:tc>
        <w:tc>
          <w:tcPr>
            <w:tcW w:w="1421" w:type="dxa"/>
            <w:tcBorders>
              <w:left w:val="single" w:sz="4" w:space="0" w:color="FFFFFF" w:themeColor="background1"/>
              <w:right w:val="single" w:sz="4" w:space="0" w:color="FFFFFF" w:themeColor="background1"/>
            </w:tcBorders>
            <w:shd w:val="clear" w:color="auto" w:fill="0C2577"/>
            <w:vAlign w:val="center"/>
          </w:tcPr>
          <w:p w14:paraId="1579825A" w14:textId="1278F966" w:rsidR="00480455" w:rsidRDefault="00480455" w:rsidP="00480455">
            <w:pPr>
              <w:keepNext/>
              <w:keepLines/>
              <w:jc w:val="center"/>
              <w:rPr>
                <w:rFonts w:ascii="Arial" w:hAnsi="Arial" w:cs="Arial"/>
                <w:b/>
                <w:sz w:val="20"/>
                <w:szCs w:val="20"/>
              </w:rPr>
            </w:pPr>
            <w:r>
              <w:rPr>
                <w:rFonts w:ascii="Arial" w:hAnsi="Arial" w:cs="Arial"/>
                <w:b/>
                <w:sz w:val="20"/>
                <w:szCs w:val="20"/>
              </w:rPr>
              <w:t>Firm Service</w:t>
            </w:r>
          </w:p>
          <w:p w14:paraId="58CE1EF8" w14:textId="718A78E4" w:rsidR="00480455" w:rsidRPr="007E0A27" w:rsidRDefault="00480455" w:rsidP="00480455">
            <w:pPr>
              <w:keepNext/>
              <w:keepLines/>
              <w:jc w:val="center"/>
              <w:rPr>
                <w:rFonts w:ascii="Arial" w:hAnsi="Arial" w:cs="Arial"/>
                <w:b/>
                <w:sz w:val="20"/>
                <w:szCs w:val="20"/>
              </w:rPr>
            </w:pPr>
            <w:r>
              <w:rPr>
                <w:rFonts w:ascii="Arial" w:hAnsi="Arial" w:cs="Arial"/>
                <w:b/>
                <w:sz w:val="20"/>
                <w:szCs w:val="20"/>
              </w:rPr>
              <w:t>Level</w:t>
            </w:r>
            <w:r w:rsidRPr="007E0A27">
              <w:rPr>
                <w:rFonts w:ascii="Arial" w:hAnsi="Arial" w:cs="Arial"/>
                <w:b/>
                <w:sz w:val="20"/>
                <w:szCs w:val="20"/>
              </w:rPr>
              <w:t xml:space="preserve"> (MW)</w:t>
            </w:r>
          </w:p>
        </w:tc>
        <w:tc>
          <w:tcPr>
            <w:tcW w:w="1530" w:type="dxa"/>
            <w:tcBorders>
              <w:left w:val="single" w:sz="4" w:space="0" w:color="FFFFFF" w:themeColor="background1"/>
            </w:tcBorders>
            <w:shd w:val="clear" w:color="auto" w:fill="0C2577"/>
            <w:vAlign w:val="center"/>
          </w:tcPr>
          <w:p w14:paraId="63C4AD0C" w14:textId="4A7402BA" w:rsidR="00480455" w:rsidRDefault="00480455" w:rsidP="00480455">
            <w:pPr>
              <w:keepNext/>
              <w:keepLines/>
              <w:jc w:val="center"/>
              <w:rPr>
                <w:rFonts w:ascii="Arial" w:hAnsi="Arial" w:cs="Arial"/>
                <w:b/>
                <w:sz w:val="20"/>
                <w:szCs w:val="20"/>
              </w:rPr>
            </w:pPr>
            <w:r>
              <w:rPr>
                <w:rFonts w:ascii="Arial" w:hAnsi="Arial" w:cs="Arial"/>
                <w:b/>
                <w:sz w:val="20"/>
                <w:szCs w:val="20"/>
              </w:rPr>
              <w:t>Estimated LI /</w:t>
            </w:r>
          </w:p>
          <w:p w14:paraId="7686FB8A" w14:textId="0B2F8E1D" w:rsidR="00480455" w:rsidRPr="007E0A27" w:rsidRDefault="00480455" w:rsidP="00480455">
            <w:pPr>
              <w:keepNext/>
              <w:keepLines/>
              <w:jc w:val="center"/>
              <w:rPr>
                <w:rFonts w:ascii="Arial" w:hAnsi="Arial" w:cs="Arial"/>
                <w:b/>
                <w:sz w:val="20"/>
                <w:szCs w:val="20"/>
              </w:rPr>
            </w:pPr>
            <w:r>
              <w:rPr>
                <w:rFonts w:ascii="Arial" w:hAnsi="Arial" w:cs="Arial"/>
                <w:b/>
                <w:sz w:val="20"/>
                <w:szCs w:val="20"/>
              </w:rPr>
              <w:t>LI at FSL</w:t>
            </w:r>
          </w:p>
        </w:tc>
      </w:tr>
      <w:tr w:rsidR="00C12E1B" w14:paraId="6BB83E60" w14:textId="77777777" w:rsidTr="0086367A">
        <w:trPr>
          <w:jc w:val="center"/>
        </w:trPr>
        <w:tc>
          <w:tcPr>
            <w:tcW w:w="918" w:type="dxa"/>
          </w:tcPr>
          <w:p w14:paraId="6F6BE0E8" w14:textId="5014C8D7" w:rsidR="00C12E1B" w:rsidRPr="007E0A27" w:rsidRDefault="00C12E1B" w:rsidP="00C12E1B">
            <w:pPr>
              <w:keepNext/>
              <w:keepLines/>
              <w:jc w:val="center"/>
              <w:rPr>
                <w:rFonts w:ascii="Arial" w:hAnsi="Arial" w:cs="Arial"/>
                <w:sz w:val="20"/>
                <w:szCs w:val="20"/>
              </w:rPr>
            </w:pPr>
            <w:r w:rsidRPr="007E0A27">
              <w:rPr>
                <w:rFonts w:ascii="Arial" w:hAnsi="Arial" w:cs="Arial"/>
                <w:sz w:val="20"/>
                <w:szCs w:val="20"/>
              </w:rPr>
              <w:t>1</w:t>
            </w:r>
          </w:p>
        </w:tc>
        <w:tc>
          <w:tcPr>
            <w:tcW w:w="1170" w:type="dxa"/>
          </w:tcPr>
          <w:p w14:paraId="18A004CB" w14:textId="6BEA0076" w:rsidR="00C12E1B" w:rsidRPr="00E32463" w:rsidRDefault="00C12E1B" w:rsidP="00C12E1B">
            <w:pPr>
              <w:keepNext/>
              <w:keepLines/>
              <w:jc w:val="right"/>
              <w:rPr>
                <w:rFonts w:ascii="Arial" w:hAnsi="Arial" w:cs="Arial"/>
                <w:sz w:val="20"/>
                <w:szCs w:val="20"/>
              </w:rPr>
            </w:pPr>
            <w:r>
              <w:rPr>
                <w:rFonts w:ascii="Arial" w:hAnsi="Arial" w:cs="Arial"/>
                <w:sz w:val="20"/>
                <w:szCs w:val="20"/>
              </w:rPr>
              <w:t>8</w:t>
            </w:r>
            <w:r w:rsidRPr="00E32463">
              <w:rPr>
                <w:rFonts w:ascii="Arial" w:hAnsi="Arial" w:cs="Arial"/>
                <w:sz w:val="20"/>
                <w:szCs w:val="20"/>
              </w:rPr>
              <w:t>/</w:t>
            </w:r>
            <w:r w:rsidR="00B64F9F">
              <w:rPr>
                <w:rFonts w:ascii="Arial" w:hAnsi="Arial" w:cs="Arial"/>
                <w:sz w:val="20"/>
                <w:szCs w:val="20"/>
              </w:rPr>
              <w:t>31</w:t>
            </w:r>
            <w:r w:rsidRPr="00E32463">
              <w:rPr>
                <w:rFonts w:ascii="Arial" w:hAnsi="Arial" w:cs="Arial"/>
                <w:sz w:val="20"/>
                <w:szCs w:val="20"/>
              </w:rPr>
              <w:t>/201</w:t>
            </w:r>
            <w:r w:rsidR="00B64F9F">
              <w:rPr>
                <w:rFonts w:ascii="Arial" w:hAnsi="Arial" w:cs="Arial"/>
                <w:sz w:val="20"/>
                <w:szCs w:val="20"/>
              </w:rPr>
              <w:t>7</w:t>
            </w:r>
          </w:p>
        </w:tc>
        <w:tc>
          <w:tcPr>
            <w:tcW w:w="1440" w:type="dxa"/>
            <w:vAlign w:val="center"/>
          </w:tcPr>
          <w:p w14:paraId="4DE4916C" w14:textId="4303F7A6" w:rsidR="00C12E1B" w:rsidRPr="00E32463" w:rsidRDefault="00B64F9F" w:rsidP="00C12E1B">
            <w:pPr>
              <w:keepNext/>
              <w:keepLines/>
              <w:jc w:val="center"/>
              <w:rPr>
                <w:rFonts w:ascii="Arial" w:hAnsi="Arial" w:cs="Arial"/>
                <w:sz w:val="20"/>
                <w:szCs w:val="20"/>
              </w:rPr>
            </w:pPr>
            <w:r>
              <w:rPr>
                <w:rFonts w:ascii="Arial" w:hAnsi="Arial" w:cs="Arial"/>
                <w:sz w:val="20"/>
                <w:szCs w:val="20"/>
              </w:rPr>
              <w:t>Thursday</w:t>
            </w:r>
          </w:p>
        </w:tc>
        <w:tc>
          <w:tcPr>
            <w:tcW w:w="1549" w:type="dxa"/>
            <w:shd w:val="clear" w:color="auto" w:fill="auto"/>
          </w:tcPr>
          <w:p w14:paraId="54ABC67B" w14:textId="685B714F" w:rsidR="00C12E1B" w:rsidRPr="00CA44D7" w:rsidRDefault="00B64F9F" w:rsidP="00C12E1B">
            <w:pPr>
              <w:jc w:val="center"/>
              <w:rPr>
                <w:rFonts w:ascii="Arial" w:hAnsi="Arial" w:cs="Arial"/>
                <w:sz w:val="20"/>
                <w:szCs w:val="20"/>
              </w:rPr>
            </w:pPr>
            <w:r>
              <w:rPr>
                <w:rFonts w:ascii="Arial" w:hAnsi="Arial" w:cs="Arial"/>
                <w:sz w:val="20"/>
                <w:szCs w:val="20"/>
              </w:rPr>
              <w:t>1.0</w:t>
            </w:r>
          </w:p>
        </w:tc>
        <w:tc>
          <w:tcPr>
            <w:tcW w:w="1421" w:type="dxa"/>
            <w:shd w:val="clear" w:color="auto" w:fill="auto"/>
          </w:tcPr>
          <w:p w14:paraId="5CEA4C40" w14:textId="1F38A33A" w:rsidR="00C12E1B" w:rsidRPr="00CA44D7" w:rsidRDefault="00B64F9F" w:rsidP="00C12E1B">
            <w:pPr>
              <w:jc w:val="center"/>
              <w:rPr>
                <w:rFonts w:ascii="Arial" w:hAnsi="Arial" w:cs="Arial"/>
                <w:sz w:val="20"/>
                <w:szCs w:val="20"/>
              </w:rPr>
            </w:pPr>
            <w:r>
              <w:rPr>
                <w:rFonts w:ascii="Arial" w:hAnsi="Arial" w:cs="Arial"/>
                <w:sz w:val="20"/>
                <w:szCs w:val="20"/>
              </w:rPr>
              <w:t>1.2</w:t>
            </w:r>
          </w:p>
        </w:tc>
        <w:tc>
          <w:tcPr>
            <w:tcW w:w="1530" w:type="dxa"/>
            <w:shd w:val="clear" w:color="auto" w:fill="auto"/>
          </w:tcPr>
          <w:p w14:paraId="237C1ED9" w14:textId="3740A69E" w:rsidR="00C12E1B" w:rsidRPr="00CA44D7" w:rsidRDefault="00B64F9F" w:rsidP="00C12E1B">
            <w:pPr>
              <w:jc w:val="center"/>
              <w:rPr>
                <w:rFonts w:ascii="Arial" w:hAnsi="Arial" w:cs="Arial"/>
                <w:sz w:val="20"/>
                <w:szCs w:val="20"/>
              </w:rPr>
            </w:pPr>
            <w:r>
              <w:rPr>
                <w:rFonts w:ascii="Arial" w:hAnsi="Arial" w:cs="Arial"/>
                <w:sz w:val="20"/>
                <w:szCs w:val="20"/>
              </w:rPr>
              <w:t>108%</w:t>
            </w:r>
          </w:p>
        </w:tc>
      </w:tr>
    </w:tbl>
    <w:p w14:paraId="104048AC" w14:textId="77777777" w:rsidR="008B552C" w:rsidRDefault="008B552C" w:rsidP="008B552C"/>
    <w:p w14:paraId="43A7FDCE" w14:textId="363C3220" w:rsidR="00382B60" w:rsidRDefault="00A34732" w:rsidP="008B552C">
      <w:r>
        <w:lastRenderedPageBreak/>
        <w:t xml:space="preserve">Table 4.12 shows the load impacts for the </w:t>
      </w:r>
      <w:r w:rsidR="00844AE3">
        <w:t>August</w:t>
      </w:r>
      <w:r>
        <w:t xml:space="preserve"> </w:t>
      </w:r>
      <w:r w:rsidR="00B64F9F">
        <w:t>31</w:t>
      </w:r>
      <w:r w:rsidR="00B64F9F" w:rsidRPr="00B64F9F">
        <w:rPr>
          <w:vertAlign w:val="superscript"/>
        </w:rPr>
        <w:t>st</w:t>
      </w:r>
      <w:r w:rsidR="00B64F9F">
        <w:t xml:space="preserve"> </w:t>
      </w:r>
      <w:r>
        <w:t xml:space="preserve">event day by industry group. </w:t>
      </w:r>
      <w:r w:rsidRPr="0086367A">
        <w:t>The t</w:t>
      </w:r>
      <w:r w:rsidR="00B64F9F" w:rsidRPr="0086367A">
        <w:t xml:space="preserve">hree </w:t>
      </w:r>
      <w:r w:rsidRPr="0086367A">
        <w:t>service accounts in the agriculture, mining, and construction group accounted for the entire BIP load impact</w:t>
      </w:r>
      <w:r w:rsidR="00382B60" w:rsidRPr="0086367A">
        <w:t>.</w:t>
      </w:r>
      <w:r w:rsidR="00B64F9F" w:rsidRPr="0086367A">
        <w:t xml:space="preserve"> Note that the two retail stores were below their FSL the entire day, which may explain the absence of a load impact. Similarly, the sole manufacturing customer had a load near its FSL the entire day.</w:t>
      </w:r>
    </w:p>
    <w:p w14:paraId="0FC9C46F" w14:textId="77777777" w:rsidR="00382B60" w:rsidRDefault="00382B60" w:rsidP="00382B60"/>
    <w:p w14:paraId="4A819603" w14:textId="0653C5F3" w:rsidR="00382B60" w:rsidRPr="00852320" w:rsidRDefault="00382B60" w:rsidP="00382B60">
      <w:pPr>
        <w:pStyle w:val="TableCaption"/>
        <w:keepNext/>
        <w:keepLines/>
      </w:pPr>
      <w:bookmarkStart w:id="100" w:name="_Toc508800226"/>
      <w:r w:rsidRPr="00852320">
        <w:t>Table 4.</w:t>
      </w:r>
      <w:r w:rsidR="00A34732">
        <w:t>12</w:t>
      </w:r>
      <w:r w:rsidRPr="00852320">
        <w:t xml:space="preserve">: </w:t>
      </w:r>
      <w:r w:rsidR="00B035D4">
        <w:t xml:space="preserve">August </w:t>
      </w:r>
      <w:r w:rsidR="00B64F9F">
        <w:t>31</w:t>
      </w:r>
      <w:r>
        <w:t>, 201</w:t>
      </w:r>
      <w:r w:rsidR="00B64F9F">
        <w:t>7</w:t>
      </w:r>
      <w:r>
        <w:t xml:space="preserve"> </w:t>
      </w:r>
      <w:r w:rsidRPr="00852320">
        <w:t>Load Impacts</w:t>
      </w:r>
      <w:r>
        <w:t xml:space="preserve"> – SDG&amp;E </w:t>
      </w:r>
      <w:r w:rsidRPr="00852320">
        <w:t>B</w:t>
      </w:r>
      <w:r>
        <w:t>I</w:t>
      </w:r>
      <w:r w:rsidRPr="00852320">
        <w:t xml:space="preserve">P, </w:t>
      </w:r>
      <w:r w:rsidRPr="00852320">
        <w:rPr>
          <w:i/>
        </w:rPr>
        <w:t>by Industry Group</w:t>
      </w:r>
      <w:bookmarkEnd w:id="100"/>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1128"/>
        <w:gridCol w:w="1344"/>
        <w:gridCol w:w="1139"/>
        <w:gridCol w:w="1172"/>
        <w:gridCol w:w="784"/>
      </w:tblGrid>
      <w:tr w:rsidR="00382B60" w14:paraId="5CA120CA" w14:textId="77777777" w:rsidTr="006B55F6">
        <w:trPr>
          <w:trHeight w:val="800"/>
          <w:jc w:val="center"/>
        </w:trPr>
        <w:tc>
          <w:tcPr>
            <w:tcW w:w="3637" w:type="dxa"/>
            <w:tcBorders>
              <w:top w:val="single" w:sz="4" w:space="0" w:color="FFFFFF" w:themeColor="background1"/>
              <w:bottom w:val="single" w:sz="4" w:space="0" w:color="auto"/>
              <w:right w:val="single" w:sz="4" w:space="0" w:color="FFFFFF" w:themeColor="background1"/>
            </w:tcBorders>
            <w:shd w:val="clear" w:color="auto" w:fill="0C2577"/>
            <w:vAlign w:val="center"/>
          </w:tcPr>
          <w:p w14:paraId="6864DA10" w14:textId="77777777" w:rsidR="00382B60" w:rsidRPr="007E0A27" w:rsidRDefault="00382B60" w:rsidP="00A34732">
            <w:pPr>
              <w:keepNext/>
              <w:keepLines/>
              <w:jc w:val="center"/>
              <w:rPr>
                <w:rFonts w:ascii="Arial" w:hAnsi="Arial" w:cs="Arial"/>
                <w:b/>
                <w:sz w:val="20"/>
                <w:szCs w:val="20"/>
              </w:rPr>
            </w:pPr>
            <w:r w:rsidRPr="007E0A27">
              <w:rPr>
                <w:rFonts w:ascii="Arial" w:hAnsi="Arial" w:cs="Arial"/>
                <w:b/>
                <w:sz w:val="20"/>
                <w:szCs w:val="20"/>
              </w:rPr>
              <w:t>Industry Group</w:t>
            </w:r>
          </w:p>
        </w:tc>
        <w:tc>
          <w:tcPr>
            <w:tcW w:w="1048"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C2577"/>
            <w:vAlign w:val="center"/>
          </w:tcPr>
          <w:p w14:paraId="000E8403" w14:textId="77777777" w:rsidR="00382B60" w:rsidRPr="007E0A27" w:rsidRDefault="00382B60" w:rsidP="00A34732">
            <w:pPr>
              <w:keepNext/>
              <w:keepLines/>
              <w:jc w:val="center"/>
              <w:rPr>
                <w:rFonts w:ascii="Arial" w:hAnsi="Arial" w:cs="Arial"/>
                <w:b/>
                <w:sz w:val="20"/>
                <w:szCs w:val="20"/>
              </w:rPr>
            </w:pPr>
            <w:r>
              <w:rPr>
                <w:rFonts w:ascii="Arial" w:hAnsi="Arial" w:cs="Arial"/>
                <w:b/>
                <w:sz w:val="20"/>
                <w:szCs w:val="20"/>
              </w:rPr>
              <w:t># of Service Accounts</w:t>
            </w:r>
          </w:p>
        </w:tc>
        <w:tc>
          <w:tcPr>
            <w:tcW w:w="1367"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C2577"/>
            <w:vAlign w:val="center"/>
          </w:tcPr>
          <w:p w14:paraId="47EB25A8" w14:textId="7441F8F0" w:rsidR="00382B60" w:rsidRPr="007E0A27" w:rsidRDefault="00382B60" w:rsidP="00A34732">
            <w:pPr>
              <w:keepNext/>
              <w:keepLines/>
              <w:jc w:val="center"/>
              <w:rPr>
                <w:rFonts w:ascii="Arial" w:hAnsi="Arial" w:cs="Arial"/>
                <w:b/>
                <w:sz w:val="20"/>
                <w:szCs w:val="20"/>
              </w:rPr>
            </w:pPr>
            <w:r w:rsidRPr="007E0A27">
              <w:rPr>
                <w:rFonts w:ascii="Arial" w:hAnsi="Arial" w:cs="Arial"/>
                <w:b/>
                <w:sz w:val="20"/>
                <w:szCs w:val="20"/>
              </w:rPr>
              <w:t>Estimated Reference Load (MW</w:t>
            </w:r>
            <w:r w:rsidR="00DE2A6D">
              <w:rPr>
                <w:rFonts w:ascii="Arial" w:hAnsi="Arial" w:cs="Arial"/>
                <w:b/>
                <w:sz w:val="20"/>
                <w:szCs w:val="20"/>
              </w:rPr>
              <w:t>h/h</w:t>
            </w:r>
            <w:r w:rsidRPr="007E0A27">
              <w:rPr>
                <w:rFonts w:ascii="Arial" w:hAnsi="Arial" w:cs="Arial"/>
                <w:b/>
                <w:sz w:val="20"/>
                <w:szCs w:val="20"/>
              </w:rPr>
              <w:t>)</w:t>
            </w:r>
          </w:p>
        </w:tc>
        <w:tc>
          <w:tcPr>
            <w:tcW w:w="1059"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C2577"/>
            <w:vAlign w:val="center"/>
          </w:tcPr>
          <w:p w14:paraId="23106B36" w14:textId="3FAFFBE2" w:rsidR="00382B60" w:rsidRPr="007E0A27" w:rsidRDefault="00382B60" w:rsidP="00A34732">
            <w:pPr>
              <w:keepNext/>
              <w:keepLines/>
              <w:jc w:val="center"/>
              <w:rPr>
                <w:rFonts w:ascii="Arial" w:hAnsi="Arial" w:cs="Arial"/>
                <w:b/>
                <w:sz w:val="20"/>
                <w:szCs w:val="20"/>
              </w:rPr>
            </w:pPr>
            <w:r w:rsidRPr="007E0A27">
              <w:rPr>
                <w:rFonts w:ascii="Arial" w:hAnsi="Arial" w:cs="Arial"/>
                <w:b/>
                <w:sz w:val="20"/>
                <w:szCs w:val="20"/>
              </w:rPr>
              <w:t>Observed Load (MW</w:t>
            </w:r>
            <w:r w:rsidR="00DE2A6D">
              <w:rPr>
                <w:rFonts w:ascii="Arial" w:hAnsi="Arial" w:cs="Arial"/>
                <w:b/>
                <w:sz w:val="20"/>
                <w:szCs w:val="20"/>
              </w:rPr>
              <w:t>h/h</w:t>
            </w:r>
            <w:r w:rsidRPr="007E0A27">
              <w:rPr>
                <w:rFonts w:ascii="Arial" w:hAnsi="Arial" w:cs="Arial"/>
                <w:b/>
                <w:sz w:val="20"/>
                <w:szCs w:val="20"/>
              </w:rPr>
              <w:t>)</w:t>
            </w:r>
          </w:p>
        </w:tc>
        <w:tc>
          <w:tcPr>
            <w:tcW w:w="1089"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C2577"/>
            <w:vAlign w:val="center"/>
          </w:tcPr>
          <w:p w14:paraId="47EDBB2D" w14:textId="69BF7BEA" w:rsidR="00382B60" w:rsidRPr="007E0A27" w:rsidRDefault="00382B60" w:rsidP="00A34732">
            <w:pPr>
              <w:keepNext/>
              <w:keepLines/>
              <w:jc w:val="center"/>
              <w:rPr>
                <w:rFonts w:ascii="Arial" w:hAnsi="Arial" w:cs="Arial"/>
                <w:b/>
                <w:sz w:val="20"/>
                <w:szCs w:val="20"/>
              </w:rPr>
            </w:pPr>
            <w:r w:rsidRPr="007E0A27">
              <w:rPr>
                <w:rFonts w:ascii="Arial" w:hAnsi="Arial" w:cs="Arial"/>
                <w:b/>
                <w:sz w:val="20"/>
                <w:szCs w:val="20"/>
              </w:rPr>
              <w:t>Estimated Load Impact (MW</w:t>
            </w:r>
            <w:r w:rsidR="00DE2A6D">
              <w:rPr>
                <w:rFonts w:ascii="Arial" w:hAnsi="Arial" w:cs="Arial"/>
                <w:b/>
                <w:sz w:val="20"/>
                <w:szCs w:val="20"/>
              </w:rPr>
              <w:t>h/h</w:t>
            </w:r>
            <w:r w:rsidRPr="007E0A27">
              <w:rPr>
                <w:rFonts w:ascii="Arial" w:hAnsi="Arial" w:cs="Arial"/>
                <w:b/>
                <w:sz w:val="20"/>
                <w:szCs w:val="20"/>
              </w:rPr>
              <w:t>)</w:t>
            </w:r>
          </w:p>
        </w:tc>
        <w:tc>
          <w:tcPr>
            <w:tcW w:w="729" w:type="dxa"/>
            <w:tcBorders>
              <w:top w:val="single" w:sz="4" w:space="0" w:color="FFFFFF" w:themeColor="background1"/>
              <w:left w:val="single" w:sz="4" w:space="0" w:color="FFFFFF" w:themeColor="background1"/>
              <w:bottom w:val="single" w:sz="4" w:space="0" w:color="auto"/>
            </w:tcBorders>
            <w:shd w:val="clear" w:color="auto" w:fill="0C2577"/>
            <w:vAlign w:val="center"/>
          </w:tcPr>
          <w:p w14:paraId="06328EE8" w14:textId="77777777" w:rsidR="00382B60" w:rsidRPr="007E0A27" w:rsidRDefault="00382B60" w:rsidP="00A34732">
            <w:pPr>
              <w:keepNext/>
              <w:keepLines/>
              <w:jc w:val="center"/>
              <w:rPr>
                <w:rFonts w:ascii="Arial" w:hAnsi="Arial" w:cs="Arial"/>
                <w:b/>
                <w:sz w:val="20"/>
                <w:szCs w:val="20"/>
              </w:rPr>
            </w:pPr>
            <w:r w:rsidRPr="007E0A27">
              <w:rPr>
                <w:rFonts w:ascii="Arial" w:hAnsi="Arial" w:cs="Arial"/>
                <w:b/>
                <w:sz w:val="20"/>
                <w:szCs w:val="20"/>
              </w:rPr>
              <w:t>% LI</w:t>
            </w:r>
          </w:p>
        </w:tc>
      </w:tr>
      <w:tr w:rsidR="00DE2A6D" w14:paraId="198B5F32" w14:textId="77777777" w:rsidTr="0086367A">
        <w:trPr>
          <w:trHeight w:val="28"/>
          <w:jc w:val="center"/>
        </w:trPr>
        <w:tc>
          <w:tcPr>
            <w:tcW w:w="3637" w:type="dxa"/>
            <w:tcBorders>
              <w:top w:val="single" w:sz="4" w:space="0" w:color="auto"/>
              <w:left w:val="single" w:sz="4" w:space="0" w:color="auto"/>
              <w:bottom w:val="nil"/>
              <w:right w:val="single" w:sz="4" w:space="0" w:color="auto"/>
            </w:tcBorders>
            <w:vAlign w:val="center"/>
          </w:tcPr>
          <w:p w14:paraId="2C73BC4D" w14:textId="77777777" w:rsidR="009940DA" w:rsidRPr="007E0A27" w:rsidRDefault="009940DA" w:rsidP="009940DA">
            <w:pPr>
              <w:keepNext/>
              <w:keepLines/>
              <w:rPr>
                <w:rFonts w:ascii="Arial" w:hAnsi="Arial" w:cs="Arial"/>
                <w:sz w:val="20"/>
                <w:szCs w:val="20"/>
              </w:rPr>
            </w:pPr>
            <w:r w:rsidRPr="007E0A27">
              <w:rPr>
                <w:rFonts w:ascii="Arial" w:hAnsi="Arial" w:cs="Arial"/>
                <w:sz w:val="20"/>
                <w:szCs w:val="20"/>
              </w:rPr>
              <w:t>Agriculture, Mining, &amp; Construction</w:t>
            </w:r>
          </w:p>
        </w:tc>
        <w:tc>
          <w:tcPr>
            <w:tcW w:w="1048" w:type="dxa"/>
            <w:tcBorders>
              <w:top w:val="single" w:sz="4" w:space="0" w:color="auto"/>
              <w:left w:val="single" w:sz="4" w:space="0" w:color="auto"/>
              <w:bottom w:val="nil"/>
              <w:right w:val="single" w:sz="4" w:space="0" w:color="auto"/>
            </w:tcBorders>
            <w:shd w:val="clear" w:color="auto" w:fill="auto"/>
            <w:vAlign w:val="center"/>
          </w:tcPr>
          <w:p w14:paraId="6F0BA46C" w14:textId="166EBBD6" w:rsidR="009940DA" w:rsidRPr="00382B60" w:rsidRDefault="00B64F9F" w:rsidP="009940DA">
            <w:pPr>
              <w:jc w:val="right"/>
              <w:rPr>
                <w:rFonts w:ascii="Arial" w:hAnsi="Arial" w:cs="Arial"/>
                <w:sz w:val="20"/>
                <w:szCs w:val="20"/>
              </w:rPr>
            </w:pPr>
            <w:r>
              <w:rPr>
                <w:rFonts w:ascii="Arial" w:hAnsi="Arial" w:cs="Arial"/>
                <w:sz w:val="20"/>
                <w:szCs w:val="20"/>
              </w:rPr>
              <w:t>3</w:t>
            </w:r>
          </w:p>
        </w:tc>
        <w:tc>
          <w:tcPr>
            <w:tcW w:w="1367" w:type="dxa"/>
            <w:tcBorders>
              <w:top w:val="single" w:sz="4" w:space="0" w:color="auto"/>
              <w:left w:val="single" w:sz="4" w:space="0" w:color="auto"/>
              <w:bottom w:val="nil"/>
              <w:right w:val="single" w:sz="4" w:space="0" w:color="auto"/>
            </w:tcBorders>
            <w:shd w:val="clear" w:color="auto" w:fill="auto"/>
            <w:vAlign w:val="center"/>
          </w:tcPr>
          <w:p w14:paraId="2CAFA3E5" w14:textId="0677952F" w:rsidR="009940DA" w:rsidRPr="00382B60" w:rsidRDefault="00B64F9F" w:rsidP="00844AE3">
            <w:pPr>
              <w:jc w:val="right"/>
              <w:rPr>
                <w:rFonts w:ascii="Arial" w:hAnsi="Arial" w:cs="Arial"/>
                <w:sz w:val="20"/>
                <w:szCs w:val="20"/>
              </w:rPr>
            </w:pPr>
            <w:r>
              <w:rPr>
                <w:rFonts w:ascii="Arial" w:hAnsi="Arial" w:cs="Arial"/>
                <w:sz w:val="20"/>
                <w:szCs w:val="20"/>
              </w:rPr>
              <w:t>2.9</w:t>
            </w:r>
          </w:p>
        </w:tc>
        <w:tc>
          <w:tcPr>
            <w:tcW w:w="1059" w:type="dxa"/>
            <w:tcBorders>
              <w:top w:val="single" w:sz="4" w:space="0" w:color="auto"/>
              <w:left w:val="single" w:sz="4" w:space="0" w:color="auto"/>
              <w:bottom w:val="nil"/>
              <w:right w:val="single" w:sz="4" w:space="0" w:color="auto"/>
            </w:tcBorders>
            <w:shd w:val="clear" w:color="auto" w:fill="auto"/>
            <w:vAlign w:val="center"/>
          </w:tcPr>
          <w:p w14:paraId="692F47F4" w14:textId="06C0EB3A" w:rsidR="009940DA" w:rsidRPr="00382B60" w:rsidRDefault="00B64F9F" w:rsidP="00844AE3">
            <w:pPr>
              <w:jc w:val="right"/>
              <w:rPr>
                <w:rFonts w:ascii="Arial" w:hAnsi="Arial" w:cs="Arial"/>
                <w:sz w:val="20"/>
                <w:szCs w:val="20"/>
              </w:rPr>
            </w:pPr>
            <w:r>
              <w:rPr>
                <w:rFonts w:ascii="Arial" w:hAnsi="Arial" w:cs="Arial"/>
                <w:sz w:val="20"/>
                <w:szCs w:val="20"/>
              </w:rPr>
              <w:t>0.4</w:t>
            </w:r>
          </w:p>
        </w:tc>
        <w:tc>
          <w:tcPr>
            <w:tcW w:w="1089" w:type="dxa"/>
            <w:tcBorders>
              <w:top w:val="single" w:sz="4" w:space="0" w:color="auto"/>
              <w:left w:val="single" w:sz="4" w:space="0" w:color="auto"/>
              <w:bottom w:val="nil"/>
              <w:right w:val="single" w:sz="4" w:space="0" w:color="auto"/>
            </w:tcBorders>
            <w:shd w:val="clear" w:color="auto" w:fill="auto"/>
            <w:vAlign w:val="center"/>
          </w:tcPr>
          <w:p w14:paraId="55E84B95" w14:textId="384E946A" w:rsidR="009940DA" w:rsidRPr="00382B60" w:rsidRDefault="00B64F9F" w:rsidP="00844AE3">
            <w:pPr>
              <w:jc w:val="right"/>
              <w:rPr>
                <w:rFonts w:ascii="Arial" w:hAnsi="Arial" w:cs="Arial"/>
                <w:sz w:val="20"/>
                <w:szCs w:val="20"/>
              </w:rPr>
            </w:pPr>
            <w:r>
              <w:rPr>
                <w:rFonts w:ascii="Arial" w:hAnsi="Arial" w:cs="Arial"/>
                <w:sz w:val="20"/>
                <w:szCs w:val="20"/>
              </w:rPr>
              <w:t>2.5</w:t>
            </w:r>
          </w:p>
        </w:tc>
        <w:tc>
          <w:tcPr>
            <w:tcW w:w="729" w:type="dxa"/>
            <w:tcBorders>
              <w:top w:val="single" w:sz="4" w:space="0" w:color="auto"/>
              <w:left w:val="single" w:sz="4" w:space="0" w:color="auto"/>
              <w:bottom w:val="nil"/>
              <w:right w:val="single" w:sz="4" w:space="0" w:color="auto"/>
            </w:tcBorders>
            <w:shd w:val="clear" w:color="auto" w:fill="auto"/>
            <w:vAlign w:val="center"/>
          </w:tcPr>
          <w:p w14:paraId="4BA87B34" w14:textId="66E6E3E8" w:rsidR="009940DA" w:rsidRPr="00382B60" w:rsidRDefault="00B64F9F" w:rsidP="00844AE3">
            <w:pPr>
              <w:jc w:val="right"/>
              <w:rPr>
                <w:rFonts w:ascii="Arial" w:hAnsi="Arial" w:cs="Arial"/>
                <w:sz w:val="20"/>
                <w:szCs w:val="20"/>
              </w:rPr>
            </w:pPr>
            <w:r>
              <w:rPr>
                <w:rFonts w:ascii="Arial" w:hAnsi="Arial" w:cs="Arial"/>
                <w:sz w:val="20"/>
                <w:szCs w:val="20"/>
              </w:rPr>
              <w:t>87.7%</w:t>
            </w:r>
          </w:p>
        </w:tc>
      </w:tr>
      <w:tr w:rsidR="00DE2A6D" w14:paraId="1E131A22" w14:textId="77777777" w:rsidTr="0086367A">
        <w:trPr>
          <w:trHeight w:val="28"/>
          <w:jc w:val="center"/>
        </w:trPr>
        <w:tc>
          <w:tcPr>
            <w:tcW w:w="3637" w:type="dxa"/>
            <w:tcBorders>
              <w:top w:val="nil"/>
              <w:left w:val="single" w:sz="4" w:space="0" w:color="auto"/>
              <w:bottom w:val="nil"/>
              <w:right w:val="single" w:sz="4" w:space="0" w:color="auto"/>
            </w:tcBorders>
            <w:vAlign w:val="center"/>
          </w:tcPr>
          <w:p w14:paraId="12CFCAD2" w14:textId="77777777" w:rsidR="009940DA" w:rsidRPr="007E0A27" w:rsidRDefault="009940DA" w:rsidP="009940DA">
            <w:pPr>
              <w:keepNext/>
              <w:keepLines/>
              <w:rPr>
                <w:rFonts w:ascii="Arial" w:hAnsi="Arial" w:cs="Arial"/>
                <w:sz w:val="20"/>
                <w:szCs w:val="20"/>
              </w:rPr>
            </w:pPr>
            <w:r w:rsidRPr="007E0A27">
              <w:rPr>
                <w:rFonts w:ascii="Arial" w:hAnsi="Arial" w:cs="Arial"/>
                <w:sz w:val="20"/>
                <w:szCs w:val="20"/>
              </w:rPr>
              <w:t>Manufacturing</w:t>
            </w:r>
          </w:p>
        </w:tc>
        <w:tc>
          <w:tcPr>
            <w:tcW w:w="1048" w:type="dxa"/>
            <w:tcBorders>
              <w:top w:val="nil"/>
              <w:left w:val="single" w:sz="4" w:space="0" w:color="auto"/>
              <w:bottom w:val="nil"/>
              <w:right w:val="single" w:sz="4" w:space="0" w:color="auto"/>
            </w:tcBorders>
            <w:shd w:val="clear" w:color="auto" w:fill="auto"/>
            <w:vAlign w:val="center"/>
          </w:tcPr>
          <w:p w14:paraId="48A4A2F8" w14:textId="171F1456" w:rsidR="009940DA" w:rsidRPr="00382B60" w:rsidRDefault="00B64F9F" w:rsidP="009940DA">
            <w:pPr>
              <w:jc w:val="right"/>
              <w:rPr>
                <w:rFonts w:ascii="Arial" w:hAnsi="Arial" w:cs="Arial"/>
                <w:sz w:val="20"/>
                <w:szCs w:val="20"/>
              </w:rPr>
            </w:pPr>
            <w:r>
              <w:rPr>
                <w:rFonts w:ascii="Arial" w:hAnsi="Arial" w:cs="Arial"/>
                <w:sz w:val="20"/>
                <w:szCs w:val="20"/>
              </w:rPr>
              <w:t>1</w:t>
            </w:r>
          </w:p>
        </w:tc>
        <w:tc>
          <w:tcPr>
            <w:tcW w:w="1367" w:type="dxa"/>
            <w:tcBorders>
              <w:top w:val="nil"/>
              <w:left w:val="single" w:sz="4" w:space="0" w:color="auto"/>
              <w:bottom w:val="nil"/>
              <w:right w:val="single" w:sz="4" w:space="0" w:color="auto"/>
            </w:tcBorders>
            <w:shd w:val="clear" w:color="auto" w:fill="auto"/>
            <w:vAlign w:val="center"/>
          </w:tcPr>
          <w:p w14:paraId="6F0CE546" w14:textId="754BC0E1" w:rsidR="009940DA" w:rsidRPr="00382B60" w:rsidRDefault="00B64F9F" w:rsidP="00844AE3">
            <w:pPr>
              <w:jc w:val="right"/>
              <w:rPr>
                <w:rFonts w:ascii="Arial" w:hAnsi="Arial" w:cs="Arial"/>
                <w:sz w:val="20"/>
                <w:szCs w:val="20"/>
              </w:rPr>
            </w:pPr>
            <w:r>
              <w:rPr>
                <w:rFonts w:ascii="Arial" w:hAnsi="Arial" w:cs="Arial"/>
                <w:sz w:val="20"/>
                <w:szCs w:val="20"/>
              </w:rPr>
              <w:t>0.4</w:t>
            </w:r>
          </w:p>
        </w:tc>
        <w:tc>
          <w:tcPr>
            <w:tcW w:w="1059" w:type="dxa"/>
            <w:tcBorders>
              <w:top w:val="nil"/>
              <w:left w:val="single" w:sz="4" w:space="0" w:color="auto"/>
              <w:bottom w:val="nil"/>
              <w:right w:val="single" w:sz="4" w:space="0" w:color="auto"/>
            </w:tcBorders>
            <w:shd w:val="clear" w:color="auto" w:fill="auto"/>
            <w:vAlign w:val="center"/>
          </w:tcPr>
          <w:p w14:paraId="5CC49ED2" w14:textId="48CA33E7" w:rsidR="009940DA" w:rsidRPr="00382B60" w:rsidRDefault="00B64F9F" w:rsidP="009940DA">
            <w:pPr>
              <w:jc w:val="right"/>
              <w:rPr>
                <w:rFonts w:ascii="Arial" w:hAnsi="Arial" w:cs="Arial"/>
                <w:sz w:val="20"/>
                <w:szCs w:val="20"/>
              </w:rPr>
            </w:pPr>
            <w:r>
              <w:rPr>
                <w:rFonts w:ascii="Arial" w:hAnsi="Arial" w:cs="Arial"/>
                <w:sz w:val="20"/>
                <w:szCs w:val="20"/>
              </w:rPr>
              <w:t>0.3</w:t>
            </w:r>
          </w:p>
        </w:tc>
        <w:tc>
          <w:tcPr>
            <w:tcW w:w="1089" w:type="dxa"/>
            <w:tcBorders>
              <w:top w:val="nil"/>
              <w:left w:val="single" w:sz="4" w:space="0" w:color="auto"/>
              <w:bottom w:val="nil"/>
              <w:right w:val="single" w:sz="4" w:space="0" w:color="auto"/>
            </w:tcBorders>
            <w:shd w:val="clear" w:color="auto" w:fill="auto"/>
            <w:vAlign w:val="center"/>
          </w:tcPr>
          <w:p w14:paraId="7E0DC9CF" w14:textId="4BA6FB31" w:rsidR="009940DA" w:rsidRPr="00382B60" w:rsidRDefault="00B64F9F" w:rsidP="009940DA">
            <w:pPr>
              <w:jc w:val="right"/>
              <w:rPr>
                <w:rFonts w:ascii="Arial" w:hAnsi="Arial" w:cs="Arial"/>
                <w:sz w:val="20"/>
                <w:szCs w:val="20"/>
              </w:rPr>
            </w:pPr>
            <w:r>
              <w:rPr>
                <w:rFonts w:ascii="Arial" w:hAnsi="Arial" w:cs="Arial"/>
                <w:sz w:val="20"/>
                <w:szCs w:val="20"/>
              </w:rPr>
              <w:t>0.0</w:t>
            </w:r>
          </w:p>
        </w:tc>
        <w:tc>
          <w:tcPr>
            <w:tcW w:w="729" w:type="dxa"/>
            <w:tcBorders>
              <w:top w:val="nil"/>
              <w:left w:val="single" w:sz="4" w:space="0" w:color="auto"/>
              <w:bottom w:val="nil"/>
              <w:right w:val="single" w:sz="4" w:space="0" w:color="auto"/>
            </w:tcBorders>
            <w:shd w:val="clear" w:color="auto" w:fill="auto"/>
            <w:vAlign w:val="center"/>
          </w:tcPr>
          <w:p w14:paraId="7203FD23" w14:textId="34361E69" w:rsidR="009940DA" w:rsidRPr="00382B60" w:rsidRDefault="00B64F9F" w:rsidP="00844AE3">
            <w:pPr>
              <w:jc w:val="right"/>
              <w:rPr>
                <w:rFonts w:ascii="Arial" w:hAnsi="Arial" w:cs="Arial"/>
                <w:sz w:val="20"/>
                <w:szCs w:val="20"/>
              </w:rPr>
            </w:pPr>
            <w:r>
              <w:rPr>
                <w:rFonts w:ascii="Arial" w:hAnsi="Arial" w:cs="Arial"/>
                <w:sz w:val="20"/>
                <w:szCs w:val="20"/>
              </w:rPr>
              <w:t>8.8%</w:t>
            </w:r>
          </w:p>
        </w:tc>
      </w:tr>
      <w:tr w:rsidR="00DE2A6D" w14:paraId="0A645E1C" w14:textId="77777777" w:rsidTr="0086367A">
        <w:trPr>
          <w:trHeight w:val="28"/>
          <w:jc w:val="center"/>
        </w:trPr>
        <w:tc>
          <w:tcPr>
            <w:tcW w:w="3637" w:type="dxa"/>
            <w:tcBorders>
              <w:top w:val="nil"/>
              <w:left w:val="single" w:sz="4" w:space="0" w:color="auto"/>
              <w:bottom w:val="nil"/>
              <w:right w:val="single" w:sz="4" w:space="0" w:color="auto"/>
            </w:tcBorders>
            <w:vAlign w:val="center"/>
          </w:tcPr>
          <w:p w14:paraId="1FC2A96B" w14:textId="77777777" w:rsidR="009940DA" w:rsidRPr="007E0A27" w:rsidRDefault="009940DA" w:rsidP="009940DA">
            <w:pPr>
              <w:keepNext/>
              <w:keepLines/>
              <w:rPr>
                <w:rFonts w:ascii="Arial" w:hAnsi="Arial" w:cs="Arial"/>
                <w:sz w:val="20"/>
                <w:szCs w:val="20"/>
              </w:rPr>
            </w:pPr>
            <w:r w:rsidRPr="007E0A27">
              <w:rPr>
                <w:rFonts w:ascii="Arial" w:hAnsi="Arial" w:cs="Arial"/>
                <w:sz w:val="20"/>
                <w:szCs w:val="20"/>
              </w:rPr>
              <w:t>Retail Stores</w:t>
            </w:r>
          </w:p>
        </w:tc>
        <w:tc>
          <w:tcPr>
            <w:tcW w:w="1048" w:type="dxa"/>
            <w:tcBorders>
              <w:top w:val="nil"/>
              <w:left w:val="single" w:sz="4" w:space="0" w:color="auto"/>
              <w:bottom w:val="nil"/>
              <w:right w:val="single" w:sz="4" w:space="0" w:color="auto"/>
            </w:tcBorders>
            <w:shd w:val="clear" w:color="auto" w:fill="auto"/>
            <w:vAlign w:val="center"/>
          </w:tcPr>
          <w:p w14:paraId="09EA289E" w14:textId="46D34501" w:rsidR="009940DA" w:rsidRPr="00382B60" w:rsidRDefault="00B64F9F" w:rsidP="009940DA">
            <w:pPr>
              <w:jc w:val="right"/>
              <w:rPr>
                <w:rFonts w:ascii="Arial" w:hAnsi="Arial" w:cs="Arial"/>
                <w:sz w:val="20"/>
                <w:szCs w:val="20"/>
              </w:rPr>
            </w:pPr>
            <w:r>
              <w:rPr>
                <w:rFonts w:ascii="Arial" w:hAnsi="Arial" w:cs="Arial"/>
                <w:sz w:val="20"/>
                <w:szCs w:val="20"/>
              </w:rPr>
              <w:t>2</w:t>
            </w:r>
          </w:p>
        </w:tc>
        <w:tc>
          <w:tcPr>
            <w:tcW w:w="1367" w:type="dxa"/>
            <w:tcBorders>
              <w:top w:val="nil"/>
              <w:left w:val="single" w:sz="4" w:space="0" w:color="auto"/>
              <w:bottom w:val="nil"/>
              <w:right w:val="single" w:sz="4" w:space="0" w:color="auto"/>
            </w:tcBorders>
            <w:shd w:val="clear" w:color="auto" w:fill="auto"/>
            <w:vAlign w:val="center"/>
          </w:tcPr>
          <w:p w14:paraId="7724F875" w14:textId="4CCAD5D0" w:rsidR="009940DA" w:rsidRPr="00382B60" w:rsidRDefault="00B64F9F" w:rsidP="00844AE3">
            <w:pPr>
              <w:jc w:val="right"/>
              <w:rPr>
                <w:rFonts w:ascii="Arial" w:hAnsi="Arial" w:cs="Arial"/>
                <w:sz w:val="20"/>
                <w:szCs w:val="20"/>
              </w:rPr>
            </w:pPr>
            <w:r>
              <w:rPr>
                <w:rFonts w:ascii="Arial" w:hAnsi="Arial" w:cs="Arial"/>
                <w:sz w:val="20"/>
                <w:szCs w:val="20"/>
              </w:rPr>
              <w:t>0.3</w:t>
            </w:r>
          </w:p>
        </w:tc>
        <w:tc>
          <w:tcPr>
            <w:tcW w:w="1059" w:type="dxa"/>
            <w:tcBorders>
              <w:top w:val="nil"/>
              <w:left w:val="single" w:sz="4" w:space="0" w:color="auto"/>
              <w:bottom w:val="nil"/>
              <w:right w:val="single" w:sz="4" w:space="0" w:color="auto"/>
            </w:tcBorders>
            <w:shd w:val="clear" w:color="auto" w:fill="auto"/>
            <w:vAlign w:val="center"/>
          </w:tcPr>
          <w:p w14:paraId="605C9025" w14:textId="61C10177" w:rsidR="009940DA" w:rsidRPr="00382B60" w:rsidRDefault="00B64F9F" w:rsidP="009940DA">
            <w:pPr>
              <w:jc w:val="right"/>
              <w:rPr>
                <w:rFonts w:ascii="Arial" w:hAnsi="Arial" w:cs="Arial"/>
                <w:sz w:val="20"/>
                <w:szCs w:val="20"/>
              </w:rPr>
            </w:pPr>
            <w:r>
              <w:rPr>
                <w:rFonts w:ascii="Arial" w:hAnsi="Arial" w:cs="Arial"/>
                <w:sz w:val="20"/>
                <w:szCs w:val="20"/>
              </w:rPr>
              <w:t>0.3</w:t>
            </w:r>
          </w:p>
        </w:tc>
        <w:tc>
          <w:tcPr>
            <w:tcW w:w="1089" w:type="dxa"/>
            <w:tcBorders>
              <w:top w:val="nil"/>
              <w:left w:val="single" w:sz="4" w:space="0" w:color="auto"/>
              <w:bottom w:val="nil"/>
              <w:right w:val="single" w:sz="4" w:space="0" w:color="auto"/>
            </w:tcBorders>
            <w:shd w:val="clear" w:color="auto" w:fill="auto"/>
            <w:vAlign w:val="center"/>
          </w:tcPr>
          <w:p w14:paraId="5A12CE28" w14:textId="7B460562" w:rsidR="009940DA" w:rsidRPr="00382B60" w:rsidRDefault="00B64F9F" w:rsidP="009940DA">
            <w:pPr>
              <w:jc w:val="right"/>
              <w:rPr>
                <w:rFonts w:ascii="Arial" w:hAnsi="Arial" w:cs="Arial"/>
                <w:sz w:val="20"/>
                <w:szCs w:val="20"/>
              </w:rPr>
            </w:pPr>
            <w:r>
              <w:rPr>
                <w:rFonts w:ascii="Arial" w:hAnsi="Arial" w:cs="Arial"/>
                <w:sz w:val="20"/>
                <w:szCs w:val="20"/>
              </w:rPr>
              <w:t>0.0</w:t>
            </w:r>
          </w:p>
        </w:tc>
        <w:tc>
          <w:tcPr>
            <w:tcW w:w="729" w:type="dxa"/>
            <w:tcBorders>
              <w:top w:val="nil"/>
              <w:left w:val="single" w:sz="4" w:space="0" w:color="auto"/>
              <w:bottom w:val="nil"/>
              <w:right w:val="single" w:sz="4" w:space="0" w:color="auto"/>
            </w:tcBorders>
            <w:shd w:val="clear" w:color="auto" w:fill="auto"/>
            <w:vAlign w:val="center"/>
          </w:tcPr>
          <w:p w14:paraId="1E7BB1E5" w14:textId="61142FE1" w:rsidR="009940DA" w:rsidRPr="00382B60" w:rsidRDefault="00B64F9F" w:rsidP="00844AE3">
            <w:pPr>
              <w:jc w:val="right"/>
              <w:rPr>
                <w:rFonts w:ascii="Arial" w:hAnsi="Arial" w:cs="Arial"/>
                <w:sz w:val="20"/>
                <w:szCs w:val="20"/>
              </w:rPr>
            </w:pPr>
            <w:r>
              <w:rPr>
                <w:rFonts w:ascii="Arial" w:hAnsi="Arial" w:cs="Arial"/>
                <w:sz w:val="20"/>
                <w:szCs w:val="20"/>
              </w:rPr>
              <w:t>-2.1%</w:t>
            </w:r>
          </w:p>
        </w:tc>
      </w:tr>
      <w:tr w:rsidR="00DE2A6D" w14:paraId="732A3B2E" w14:textId="77777777" w:rsidTr="0086367A">
        <w:trPr>
          <w:trHeight w:val="28"/>
          <w:jc w:val="center"/>
        </w:trPr>
        <w:tc>
          <w:tcPr>
            <w:tcW w:w="3637" w:type="dxa"/>
            <w:tcBorders>
              <w:top w:val="nil"/>
              <w:left w:val="single" w:sz="4" w:space="0" w:color="auto"/>
              <w:bottom w:val="single" w:sz="4" w:space="0" w:color="auto"/>
              <w:right w:val="single" w:sz="4" w:space="0" w:color="auto"/>
            </w:tcBorders>
            <w:vAlign w:val="center"/>
          </w:tcPr>
          <w:p w14:paraId="5CC3519D" w14:textId="77777777" w:rsidR="009940DA" w:rsidRPr="007E0A27" w:rsidRDefault="009940DA" w:rsidP="009940DA">
            <w:pPr>
              <w:keepNext/>
              <w:keepLines/>
              <w:rPr>
                <w:rFonts w:ascii="Arial" w:hAnsi="Arial" w:cs="Arial"/>
                <w:b/>
                <w:sz w:val="20"/>
                <w:szCs w:val="20"/>
              </w:rPr>
            </w:pPr>
            <w:r w:rsidRPr="007E0A27">
              <w:rPr>
                <w:rFonts w:ascii="Arial" w:hAnsi="Arial" w:cs="Arial"/>
                <w:b/>
                <w:sz w:val="20"/>
                <w:szCs w:val="20"/>
              </w:rPr>
              <w:t>Total</w:t>
            </w:r>
          </w:p>
        </w:tc>
        <w:tc>
          <w:tcPr>
            <w:tcW w:w="1048" w:type="dxa"/>
            <w:tcBorders>
              <w:top w:val="nil"/>
              <w:left w:val="single" w:sz="4" w:space="0" w:color="auto"/>
              <w:bottom w:val="single" w:sz="4" w:space="0" w:color="auto"/>
              <w:right w:val="single" w:sz="4" w:space="0" w:color="auto"/>
            </w:tcBorders>
            <w:shd w:val="clear" w:color="auto" w:fill="auto"/>
            <w:vAlign w:val="center"/>
          </w:tcPr>
          <w:p w14:paraId="4C1EE2DB" w14:textId="6C0BA042" w:rsidR="009940DA" w:rsidRPr="00382B60" w:rsidRDefault="00B64F9F" w:rsidP="009940DA">
            <w:pPr>
              <w:jc w:val="right"/>
              <w:rPr>
                <w:rFonts w:ascii="Arial" w:hAnsi="Arial" w:cs="Arial"/>
                <w:b/>
                <w:sz w:val="20"/>
                <w:szCs w:val="20"/>
              </w:rPr>
            </w:pPr>
            <w:r>
              <w:rPr>
                <w:rFonts w:ascii="Arial" w:hAnsi="Arial" w:cs="Arial"/>
                <w:b/>
                <w:sz w:val="20"/>
                <w:szCs w:val="20"/>
              </w:rPr>
              <w:t>6</w:t>
            </w:r>
          </w:p>
        </w:tc>
        <w:tc>
          <w:tcPr>
            <w:tcW w:w="1367" w:type="dxa"/>
            <w:tcBorders>
              <w:top w:val="nil"/>
              <w:left w:val="single" w:sz="4" w:space="0" w:color="auto"/>
              <w:bottom w:val="single" w:sz="4" w:space="0" w:color="auto"/>
              <w:right w:val="single" w:sz="4" w:space="0" w:color="auto"/>
            </w:tcBorders>
            <w:shd w:val="clear" w:color="auto" w:fill="auto"/>
            <w:vAlign w:val="center"/>
          </w:tcPr>
          <w:p w14:paraId="57F1B7D6" w14:textId="5A301178" w:rsidR="009940DA" w:rsidRPr="00382B60" w:rsidRDefault="00B64F9F" w:rsidP="009940DA">
            <w:pPr>
              <w:jc w:val="right"/>
              <w:rPr>
                <w:rFonts w:ascii="Arial" w:hAnsi="Arial" w:cs="Arial"/>
                <w:b/>
                <w:sz w:val="20"/>
                <w:szCs w:val="20"/>
              </w:rPr>
            </w:pPr>
            <w:r>
              <w:rPr>
                <w:rFonts w:ascii="Arial" w:hAnsi="Arial" w:cs="Arial"/>
                <w:b/>
                <w:sz w:val="20"/>
                <w:szCs w:val="20"/>
              </w:rPr>
              <w:t>3.6</w:t>
            </w:r>
          </w:p>
        </w:tc>
        <w:tc>
          <w:tcPr>
            <w:tcW w:w="1059" w:type="dxa"/>
            <w:tcBorders>
              <w:top w:val="nil"/>
              <w:left w:val="single" w:sz="4" w:space="0" w:color="auto"/>
              <w:bottom w:val="single" w:sz="4" w:space="0" w:color="auto"/>
              <w:right w:val="single" w:sz="4" w:space="0" w:color="auto"/>
            </w:tcBorders>
            <w:shd w:val="clear" w:color="auto" w:fill="auto"/>
            <w:vAlign w:val="center"/>
          </w:tcPr>
          <w:p w14:paraId="6F266322" w14:textId="1C5F45C0" w:rsidR="009940DA" w:rsidRPr="00382B60" w:rsidRDefault="00B64F9F" w:rsidP="009940DA">
            <w:pPr>
              <w:jc w:val="right"/>
              <w:rPr>
                <w:rFonts w:ascii="Arial" w:hAnsi="Arial" w:cs="Arial"/>
                <w:b/>
                <w:sz w:val="20"/>
                <w:szCs w:val="20"/>
              </w:rPr>
            </w:pPr>
            <w:r>
              <w:rPr>
                <w:rFonts w:ascii="Arial" w:hAnsi="Arial" w:cs="Arial"/>
                <w:b/>
                <w:sz w:val="20"/>
                <w:szCs w:val="20"/>
              </w:rPr>
              <w:t>1.0</w:t>
            </w:r>
          </w:p>
        </w:tc>
        <w:tc>
          <w:tcPr>
            <w:tcW w:w="1089" w:type="dxa"/>
            <w:tcBorders>
              <w:top w:val="nil"/>
              <w:left w:val="single" w:sz="4" w:space="0" w:color="auto"/>
              <w:bottom w:val="single" w:sz="4" w:space="0" w:color="auto"/>
              <w:right w:val="single" w:sz="4" w:space="0" w:color="auto"/>
            </w:tcBorders>
            <w:shd w:val="clear" w:color="auto" w:fill="auto"/>
            <w:vAlign w:val="center"/>
          </w:tcPr>
          <w:p w14:paraId="2EB5F9C0" w14:textId="3243D12C" w:rsidR="009940DA" w:rsidRPr="00382B60" w:rsidRDefault="00B64F9F" w:rsidP="009940DA">
            <w:pPr>
              <w:jc w:val="right"/>
              <w:rPr>
                <w:rFonts w:ascii="Arial" w:hAnsi="Arial" w:cs="Arial"/>
                <w:b/>
                <w:sz w:val="20"/>
                <w:szCs w:val="20"/>
              </w:rPr>
            </w:pPr>
            <w:r>
              <w:rPr>
                <w:rFonts w:ascii="Arial" w:hAnsi="Arial" w:cs="Arial"/>
                <w:b/>
                <w:sz w:val="20"/>
                <w:szCs w:val="20"/>
              </w:rPr>
              <w:t>2.5</w:t>
            </w:r>
          </w:p>
        </w:tc>
        <w:tc>
          <w:tcPr>
            <w:tcW w:w="729" w:type="dxa"/>
            <w:tcBorders>
              <w:top w:val="nil"/>
              <w:left w:val="single" w:sz="4" w:space="0" w:color="auto"/>
              <w:bottom w:val="single" w:sz="4" w:space="0" w:color="auto"/>
              <w:right w:val="single" w:sz="4" w:space="0" w:color="auto"/>
            </w:tcBorders>
            <w:shd w:val="clear" w:color="auto" w:fill="auto"/>
            <w:vAlign w:val="center"/>
          </w:tcPr>
          <w:p w14:paraId="163B11E5" w14:textId="21AB9ADB" w:rsidR="009940DA" w:rsidRPr="00382B60" w:rsidRDefault="00B64F9F" w:rsidP="00844AE3">
            <w:pPr>
              <w:jc w:val="right"/>
              <w:rPr>
                <w:rFonts w:ascii="Arial" w:hAnsi="Arial" w:cs="Arial"/>
                <w:b/>
                <w:sz w:val="20"/>
                <w:szCs w:val="20"/>
              </w:rPr>
            </w:pPr>
            <w:r>
              <w:rPr>
                <w:rFonts w:ascii="Arial" w:hAnsi="Arial" w:cs="Arial"/>
                <w:b/>
                <w:sz w:val="20"/>
                <w:szCs w:val="20"/>
              </w:rPr>
              <w:t>71.1%</w:t>
            </w:r>
          </w:p>
        </w:tc>
      </w:tr>
    </w:tbl>
    <w:p w14:paraId="362D4E5F" w14:textId="77777777" w:rsidR="00382B60" w:rsidRDefault="00382B60" w:rsidP="00382B60"/>
    <w:p w14:paraId="0D309EAB" w14:textId="77777777" w:rsidR="008B552C" w:rsidRPr="00146E50" w:rsidRDefault="008B552C" w:rsidP="008B552C">
      <w:pPr>
        <w:pStyle w:val="Heading3"/>
        <w:rPr>
          <w:sz w:val="22"/>
          <w:szCs w:val="22"/>
        </w:rPr>
      </w:pPr>
      <w:bookmarkStart w:id="101" w:name="_Toc351386684"/>
      <w:bookmarkStart w:id="102" w:name="_Toc510091118"/>
      <w:r>
        <w:rPr>
          <w:sz w:val="22"/>
          <w:szCs w:val="22"/>
        </w:rPr>
        <w:t xml:space="preserve">4.3.2 </w:t>
      </w:r>
      <w:r w:rsidRPr="00146E50">
        <w:rPr>
          <w:sz w:val="22"/>
          <w:szCs w:val="22"/>
        </w:rPr>
        <w:t>Hourly Load Impacts</w:t>
      </w:r>
      <w:bookmarkEnd w:id="101"/>
      <w:bookmarkEnd w:id="102"/>
      <w:r w:rsidRPr="00146E50">
        <w:rPr>
          <w:sz w:val="22"/>
          <w:szCs w:val="22"/>
        </w:rPr>
        <w:t xml:space="preserve"> </w:t>
      </w:r>
    </w:p>
    <w:p w14:paraId="1D43B1BB" w14:textId="6DDB524E" w:rsidR="008B552C" w:rsidRDefault="008B552C" w:rsidP="008B552C">
      <w:r>
        <w:t xml:space="preserve">Table 4.13 presents hourly load impacts </w:t>
      </w:r>
      <w:r w:rsidR="00377A09">
        <w:t xml:space="preserve">for </w:t>
      </w:r>
      <w:r>
        <w:t xml:space="preserve">the </w:t>
      </w:r>
      <w:r w:rsidR="00F33D12">
        <w:t xml:space="preserve">August </w:t>
      </w:r>
      <w:r w:rsidR="00B64F9F">
        <w:t>31</w:t>
      </w:r>
      <w:r w:rsidR="00B64F9F" w:rsidRPr="00B64F9F">
        <w:rPr>
          <w:vertAlign w:val="superscript"/>
        </w:rPr>
        <w:t>st</w:t>
      </w:r>
      <w:r w:rsidR="00B64F9F">
        <w:t xml:space="preserve"> </w:t>
      </w:r>
      <w:r w:rsidR="00377A09">
        <w:t>event day</w:t>
      </w:r>
      <w:r w:rsidR="00F33D12" w:rsidRPr="00F33D12">
        <w:t xml:space="preserve"> </w:t>
      </w:r>
      <w:r w:rsidR="00F33D12">
        <w:t>in the manner required by the Protocols</w:t>
      </w:r>
      <w:r w:rsidR="00377A09">
        <w:t xml:space="preserve">. </w:t>
      </w:r>
    </w:p>
    <w:p w14:paraId="490621D5" w14:textId="77777777" w:rsidR="008B552C" w:rsidRDefault="008B552C" w:rsidP="008B552C">
      <w:r>
        <w:t xml:space="preserve"> </w:t>
      </w:r>
    </w:p>
    <w:p w14:paraId="0B4CCC7D" w14:textId="7EC94140" w:rsidR="008B552C" w:rsidRPr="008B552C" w:rsidRDefault="008B552C" w:rsidP="0086367A">
      <w:pPr>
        <w:pStyle w:val="TableCaption"/>
        <w:keepNext/>
        <w:keepLines/>
      </w:pPr>
      <w:bookmarkStart w:id="103" w:name="_Toc351386737"/>
      <w:bookmarkStart w:id="104" w:name="_Toc508800227"/>
      <w:r w:rsidRPr="0086367A">
        <w:lastRenderedPageBreak/>
        <w:t xml:space="preserve">Table 4.13: </w:t>
      </w:r>
      <w:r w:rsidR="00377A09" w:rsidRPr="0086367A">
        <w:t xml:space="preserve">BIP </w:t>
      </w:r>
      <w:r w:rsidRPr="0086367A">
        <w:t xml:space="preserve">Hourly Load Impacts for the </w:t>
      </w:r>
      <w:r w:rsidR="00F33D12" w:rsidRPr="0086367A">
        <w:t xml:space="preserve">August </w:t>
      </w:r>
      <w:r w:rsidR="00B64F9F" w:rsidRPr="0086367A">
        <w:t>31</w:t>
      </w:r>
      <w:r w:rsidR="00377A09" w:rsidRPr="0086367A">
        <w:t>, 201</w:t>
      </w:r>
      <w:r w:rsidR="00B64F9F" w:rsidRPr="0086367A">
        <w:t>7</w:t>
      </w:r>
      <w:r w:rsidRPr="0086367A">
        <w:t xml:space="preserve"> Event Day, </w:t>
      </w:r>
      <w:r w:rsidRPr="0086367A">
        <w:rPr>
          <w:i/>
        </w:rPr>
        <w:t>SDG&amp;E</w:t>
      </w:r>
      <w:bookmarkEnd w:id="103"/>
      <w:bookmarkEnd w:id="104"/>
    </w:p>
    <w:p w14:paraId="1C4D7E4D" w14:textId="50B2C79B" w:rsidR="008B552C" w:rsidRPr="00B846C5" w:rsidRDefault="00B64F9F" w:rsidP="008B552C">
      <w:pPr>
        <w:keepNext/>
        <w:keepLines/>
      </w:pPr>
      <w:r w:rsidRPr="00B64F9F">
        <w:rPr>
          <w:noProof/>
        </w:rPr>
        <w:drawing>
          <wp:inline distT="0" distB="0" distL="0" distR="0" wp14:anchorId="3729AFF2" wp14:editId="0E421D48">
            <wp:extent cx="5486400" cy="4370589"/>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86400" cy="4370589"/>
                    </a:xfrm>
                    <a:prstGeom prst="rect">
                      <a:avLst/>
                    </a:prstGeom>
                    <a:noFill/>
                    <a:ln>
                      <a:noFill/>
                    </a:ln>
                  </pic:spPr>
                </pic:pic>
              </a:graphicData>
            </a:graphic>
          </wp:inline>
        </w:drawing>
      </w:r>
    </w:p>
    <w:p w14:paraId="63F30DDD" w14:textId="77777777" w:rsidR="008B552C" w:rsidRDefault="008B552C" w:rsidP="008B552C"/>
    <w:p w14:paraId="080D8314" w14:textId="77777777" w:rsidR="00A219D7" w:rsidRDefault="008B552C" w:rsidP="008B552C">
      <w:r>
        <w:t>Figure 4.</w:t>
      </w:r>
      <w:r w:rsidR="00A34732">
        <w:t>4</w:t>
      </w:r>
      <w:r w:rsidR="00516550">
        <w:t xml:space="preserve"> </w:t>
      </w:r>
      <w:r>
        <w:t>illustrate</w:t>
      </w:r>
      <w:r w:rsidR="00377A09">
        <w:t>s</w:t>
      </w:r>
      <w:r>
        <w:t xml:space="preserve"> the hourly reference load, observed load, and load impact for the </w:t>
      </w:r>
      <w:r w:rsidR="00DF6D05">
        <w:t>August</w:t>
      </w:r>
      <w:r w:rsidR="00B64F9F">
        <w:t xml:space="preserve"> 31</w:t>
      </w:r>
      <w:r w:rsidR="00B64F9F" w:rsidRPr="00B64F9F">
        <w:rPr>
          <w:vertAlign w:val="superscript"/>
        </w:rPr>
        <w:t>st</w:t>
      </w:r>
      <w:r w:rsidR="00B64F9F">
        <w:t xml:space="preserve"> </w:t>
      </w:r>
      <w:r w:rsidR="00377A09">
        <w:t>event day.</w:t>
      </w:r>
    </w:p>
    <w:p w14:paraId="12A58DD7" w14:textId="2B47AA17" w:rsidR="008B552C" w:rsidRDefault="008B552C" w:rsidP="008B552C"/>
    <w:p w14:paraId="743F275A" w14:textId="1F92DF94" w:rsidR="008B552C" w:rsidRPr="0097115E" w:rsidRDefault="008B552C" w:rsidP="0097115E">
      <w:pPr>
        <w:pStyle w:val="FigureCaption"/>
      </w:pPr>
      <w:r>
        <w:br w:type="page"/>
      </w:r>
      <w:bookmarkStart w:id="105" w:name="_Toc351386770"/>
      <w:bookmarkStart w:id="106" w:name="_Toc508800272"/>
      <w:r w:rsidRPr="0086367A">
        <w:lastRenderedPageBreak/>
        <w:t>Figure 4.</w:t>
      </w:r>
      <w:r w:rsidR="00A34732" w:rsidRPr="0086367A">
        <w:t>4</w:t>
      </w:r>
      <w:r w:rsidR="00377A09" w:rsidRPr="0086367A">
        <w:t xml:space="preserve">: </w:t>
      </w:r>
      <w:r w:rsidRPr="0086367A">
        <w:t>B</w:t>
      </w:r>
      <w:r w:rsidR="00377A09" w:rsidRPr="0086367A">
        <w:t>I</w:t>
      </w:r>
      <w:r w:rsidRPr="0086367A">
        <w:t xml:space="preserve">P </w:t>
      </w:r>
      <w:r w:rsidR="00DF6D05" w:rsidRPr="0086367A">
        <w:t>August</w:t>
      </w:r>
      <w:r w:rsidR="00377A09" w:rsidRPr="0086367A">
        <w:t xml:space="preserve"> </w:t>
      </w:r>
      <w:r w:rsidR="00B64F9F" w:rsidRPr="0086367A">
        <w:t>31</w:t>
      </w:r>
      <w:r w:rsidR="00377A09" w:rsidRPr="0086367A">
        <w:t>, 201</w:t>
      </w:r>
      <w:r w:rsidR="00B64F9F" w:rsidRPr="0086367A">
        <w:t>7</w:t>
      </w:r>
      <w:r w:rsidR="00516550" w:rsidRPr="0086367A">
        <w:t xml:space="preserve"> L</w:t>
      </w:r>
      <w:r w:rsidRPr="0086367A">
        <w:t xml:space="preserve">oad Impacts, </w:t>
      </w:r>
      <w:r w:rsidRPr="0086367A">
        <w:rPr>
          <w:i/>
        </w:rPr>
        <w:t>SDG&amp;E</w:t>
      </w:r>
      <w:bookmarkEnd w:id="105"/>
      <w:bookmarkEnd w:id="106"/>
    </w:p>
    <w:p w14:paraId="35D59504" w14:textId="06363979" w:rsidR="008B552C" w:rsidRPr="00B846C5" w:rsidRDefault="000A3F03" w:rsidP="008B552C">
      <w:pPr>
        <w:keepNext/>
        <w:keepLines/>
        <w:jc w:val="center"/>
      </w:pPr>
      <w:r>
        <w:rPr>
          <w:noProof/>
        </w:rPr>
        <w:drawing>
          <wp:inline distT="0" distB="0" distL="0" distR="0" wp14:anchorId="4510A2AE" wp14:editId="6DE1B052">
            <wp:extent cx="4572635" cy="274320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5DC294E4" w14:textId="77777777" w:rsidR="008B552C" w:rsidRDefault="008B552C" w:rsidP="008B552C"/>
    <w:p w14:paraId="3813D5B6" w14:textId="31D64D7B" w:rsidR="0092030A" w:rsidRDefault="00DD01A1" w:rsidP="0092030A">
      <w:pPr>
        <w:pStyle w:val="Heading1"/>
      </w:pPr>
      <w:bookmarkStart w:id="107" w:name="_Toc510091119"/>
      <w:r>
        <w:t>5</w:t>
      </w:r>
      <w:r w:rsidR="0092030A">
        <w:t xml:space="preserve">. </w:t>
      </w:r>
      <w:r w:rsidR="00197099" w:rsidRPr="00AE79E7">
        <w:rPr>
          <w:i/>
        </w:rPr>
        <w:t>Ex</w:t>
      </w:r>
      <w:r w:rsidR="00AE79E7" w:rsidRPr="00AE79E7">
        <w:rPr>
          <w:i/>
        </w:rPr>
        <w:t>-a</w:t>
      </w:r>
      <w:r w:rsidR="00197099" w:rsidRPr="00AE79E7">
        <w:rPr>
          <w:i/>
        </w:rPr>
        <w:t>nte</w:t>
      </w:r>
      <w:r w:rsidR="00197099">
        <w:t xml:space="preserve"> Load Impact Forecast</w:t>
      </w:r>
      <w:bookmarkEnd w:id="107"/>
    </w:p>
    <w:p w14:paraId="5409C13C" w14:textId="0D285CC7" w:rsidR="003E718A" w:rsidRDefault="003E718A" w:rsidP="003E718A">
      <w:pPr>
        <w:pStyle w:val="Heading2"/>
      </w:pPr>
      <w:bookmarkStart w:id="108" w:name="_Toc289180090"/>
      <w:bookmarkStart w:id="109" w:name="_Toc326224653"/>
      <w:bookmarkStart w:id="110" w:name="_Toc411324208"/>
      <w:bookmarkStart w:id="111" w:name="_Toc510091120"/>
      <w:r>
        <w:t>5.1 Ex</w:t>
      </w:r>
      <w:r w:rsidR="00AE79E7">
        <w:t>-a</w:t>
      </w:r>
      <w:r>
        <w:t>nte Load Impact Requirements</w:t>
      </w:r>
      <w:bookmarkEnd w:id="108"/>
      <w:bookmarkEnd w:id="109"/>
      <w:bookmarkEnd w:id="110"/>
      <w:bookmarkEnd w:id="111"/>
    </w:p>
    <w:p w14:paraId="5F26973F" w14:textId="77777777" w:rsidR="003E718A" w:rsidRDefault="003E718A" w:rsidP="003E718A">
      <w:pPr>
        <w:spacing w:after="240"/>
      </w:pPr>
      <w:r>
        <w:t>The DR Load Impact Evaluation Protocols require that hourly load impact forecasts for event-based DR resources must be reported at the program level and by LCA for the following scenarios:</w:t>
      </w:r>
    </w:p>
    <w:p w14:paraId="66853203" w14:textId="77777777" w:rsidR="003E718A" w:rsidRDefault="003E718A" w:rsidP="003E718A">
      <w:pPr>
        <w:numPr>
          <w:ilvl w:val="0"/>
          <w:numId w:val="3"/>
        </w:numPr>
        <w:tabs>
          <w:tab w:val="clear" w:pos="720"/>
          <w:tab w:val="num" w:pos="-360"/>
        </w:tabs>
      </w:pPr>
      <w:r>
        <w:t>For a typical event day in each year; and</w:t>
      </w:r>
    </w:p>
    <w:p w14:paraId="1EDC8D09" w14:textId="77777777" w:rsidR="003E718A" w:rsidRDefault="003E718A" w:rsidP="003E718A">
      <w:pPr>
        <w:numPr>
          <w:ilvl w:val="0"/>
          <w:numId w:val="3"/>
        </w:numPr>
        <w:tabs>
          <w:tab w:val="clear" w:pos="720"/>
          <w:tab w:val="num" w:pos="-360"/>
        </w:tabs>
      </w:pPr>
      <w:r>
        <w:t>For the monthly system peak load day in each month for which the resource is available;</w:t>
      </w:r>
    </w:p>
    <w:p w14:paraId="0E1B53FC" w14:textId="77777777" w:rsidR="003E718A" w:rsidRDefault="003E718A" w:rsidP="003E718A">
      <w:pPr>
        <w:spacing w:before="240" w:after="240"/>
      </w:pPr>
      <w:r>
        <w:t>under both:</w:t>
      </w:r>
    </w:p>
    <w:p w14:paraId="4971A97D" w14:textId="3AB93FE3" w:rsidR="003E718A" w:rsidRDefault="003E718A" w:rsidP="003E718A">
      <w:pPr>
        <w:numPr>
          <w:ilvl w:val="0"/>
          <w:numId w:val="4"/>
        </w:numPr>
        <w:tabs>
          <w:tab w:val="clear" w:pos="720"/>
          <w:tab w:val="num" w:pos="-360"/>
        </w:tabs>
      </w:pPr>
      <w:r>
        <w:t>1-in-2 weather conditions</w:t>
      </w:r>
      <w:r w:rsidR="009940DA">
        <w:t xml:space="preserve"> for both utility-specific and CAISO-coincident load conditions</w:t>
      </w:r>
      <w:r>
        <w:t>, and</w:t>
      </w:r>
    </w:p>
    <w:p w14:paraId="287FEA11" w14:textId="4480C8A3" w:rsidR="003E718A" w:rsidRDefault="003E718A" w:rsidP="003E718A">
      <w:pPr>
        <w:numPr>
          <w:ilvl w:val="0"/>
          <w:numId w:val="4"/>
        </w:numPr>
        <w:tabs>
          <w:tab w:val="clear" w:pos="720"/>
          <w:tab w:val="num" w:pos="-360"/>
        </w:tabs>
      </w:pPr>
      <w:r>
        <w:t>1-in-10 weather conditions for both utility-specific and CAISO-coincident load conditions;</w:t>
      </w:r>
    </w:p>
    <w:p w14:paraId="4E4356DB" w14:textId="77777777" w:rsidR="003E718A" w:rsidRDefault="003E718A" w:rsidP="003E718A">
      <w:pPr>
        <w:spacing w:before="240" w:after="240"/>
      </w:pPr>
      <w:bookmarkStart w:id="112" w:name="_Toc199306252"/>
      <w:r>
        <w:t>at both:</w:t>
      </w:r>
    </w:p>
    <w:p w14:paraId="0867F0BF" w14:textId="77777777" w:rsidR="003E718A" w:rsidRDefault="003E718A" w:rsidP="003E718A">
      <w:pPr>
        <w:numPr>
          <w:ilvl w:val="0"/>
          <w:numId w:val="4"/>
        </w:numPr>
        <w:tabs>
          <w:tab w:val="clear" w:pos="720"/>
          <w:tab w:val="num" w:pos="-360"/>
        </w:tabs>
      </w:pPr>
      <w:r>
        <w:t>the program level (</w:t>
      </w:r>
      <w:r w:rsidRPr="0057112A">
        <w:rPr>
          <w:i/>
        </w:rPr>
        <w:t>i.e.</w:t>
      </w:r>
      <w:r>
        <w:t>, in which only the program in question is called), and</w:t>
      </w:r>
    </w:p>
    <w:p w14:paraId="168B730E" w14:textId="77777777" w:rsidR="003E718A" w:rsidRDefault="003E718A" w:rsidP="003E718A">
      <w:pPr>
        <w:numPr>
          <w:ilvl w:val="0"/>
          <w:numId w:val="4"/>
        </w:numPr>
        <w:tabs>
          <w:tab w:val="clear" w:pos="720"/>
          <w:tab w:val="num" w:pos="-360"/>
        </w:tabs>
      </w:pPr>
      <w:r>
        <w:t>the portfolio level (</w:t>
      </w:r>
      <w:r w:rsidRPr="0057112A">
        <w:rPr>
          <w:i/>
        </w:rPr>
        <w:t>i.e.</w:t>
      </w:r>
      <w:r>
        <w:t>, in which all demand response programs are called).</w:t>
      </w:r>
    </w:p>
    <w:p w14:paraId="7EC9A53E" w14:textId="77777777" w:rsidR="003E718A" w:rsidRDefault="003E718A" w:rsidP="003E718A">
      <w:pPr>
        <w:pStyle w:val="Heading2"/>
      </w:pPr>
      <w:bookmarkStart w:id="113" w:name="_Toc227658379"/>
      <w:bookmarkStart w:id="114" w:name="_Toc252887012"/>
      <w:bookmarkStart w:id="115" w:name="_Toc257708624"/>
      <w:bookmarkStart w:id="116" w:name="_Toc289180091"/>
      <w:bookmarkStart w:id="117" w:name="_Toc326224654"/>
      <w:bookmarkStart w:id="118" w:name="_Toc411324209"/>
      <w:bookmarkStart w:id="119" w:name="_Toc510091121"/>
      <w:r>
        <w:lastRenderedPageBreak/>
        <w:t>5.2 Description of Methods</w:t>
      </w:r>
      <w:bookmarkEnd w:id="112"/>
      <w:bookmarkEnd w:id="113"/>
      <w:bookmarkEnd w:id="114"/>
      <w:bookmarkEnd w:id="115"/>
      <w:bookmarkEnd w:id="116"/>
      <w:bookmarkEnd w:id="117"/>
      <w:bookmarkEnd w:id="118"/>
      <w:bookmarkEnd w:id="119"/>
    </w:p>
    <w:p w14:paraId="18D52E77" w14:textId="7C610182" w:rsidR="003E718A" w:rsidRDefault="003E718A" w:rsidP="003E718A">
      <w:r>
        <w:t>This section describes the methods used to develop the relevant groups of customers, to develop reference loads for the re</w:t>
      </w:r>
      <w:r w:rsidR="00B558B4">
        <w:t>levant customer types and event-</w:t>
      </w:r>
      <w:r>
        <w:t>day</w:t>
      </w:r>
      <w:r w:rsidR="00B558B4">
        <w:t xml:space="preserve"> </w:t>
      </w:r>
      <w:r>
        <w:t xml:space="preserve">types, and to develop load impacts for a typical event day.  </w:t>
      </w:r>
    </w:p>
    <w:p w14:paraId="45645748" w14:textId="77777777" w:rsidR="003E718A" w:rsidRPr="00D5415E" w:rsidRDefault="003E718A" w:rsidP="003E718A">
      <w:pPr>
        <w:pStyle w:val="Heading3"/>
        <w:rPr>
          <w:sz w:val="22"/>
          <w:szCs w:val="22"/>
        </w:rPr>
      </w:pPr>
      <w:bookmarkStart w:id="120" w:name="_Toc227658380"/>
      <w:bookmarkStart w:id="121" w:name="_Toc252887013"/>
      <w:bookmarkStart w:id="122" w:name="_Toc257708625"/>
      <w:bookmarkStart w:id="123" w:name="_Toc289180092"/>
      <w:bookmarkStart w:id="124" w:name="_Toc326224655"/>
      <w:bookmarkStart w:id="125" w:name="_Toc411324210"/>
      <w:bookmarkStart w:id="126" w:name="_Toc510091122"/>
      <w:r>
        <w:rPr>
          <w:sz w:val="22"/>
          <w:szCs w:val="22"/>
        </w:rPr>
        <w:t>5</w:t>
      </w:r>
      <w:r w:rsidRPr="00D5415E">
        <w:rPr>
          <w:sz w:val="22"/>
          <w:szCs w:val="22"/>
        </w:rPr>
        <w:t>.2.1 Development of Customer Groups</w:t>
      </w:r>
      <w:bookmarkEnd w:id="120"/>
      <w:bookmarkEnd w:id="121"/>
      <w:bookmarkEnd w:id="122"/>
      <w:bookmarkEnd w:id="123"/>
      <w:bookmarkEnd w:id="124"/>
      <w:bookmarkEnd w:id="125"/>
      <w:bookmarkEnd w:id="126"/>
    </w:p>
    <w:p w14:paraId="35754D02" w14:textId="77777777" w:rsidR="003E718A" w:rsidRDefault="003E718A" w:rsidP="003E718A">
      <w:r>
        <w:t>For PG&amp;E’s program, customer accounts were assigned to one of three size groups and the relevant LCA. The three size groups were the following:</w:t>
      </w:r>
    </w:p>
    <w:p w14:paraId="7018161F" w14:textId="77777777" w:rsidR="003E718A" w:rsidRDefault="003E718A" w:rsidP="003E718A">
      <w:pPr>
        <w:numPr>
          <w:ilvl w:val="0"/>
          <w:numId w:val="5"/>
        </w:numPr>
        <w:tabs>
          <w:tab w:val="clear" w:pos="720"/>
          <w:tab w:val="num" w:pos="-360"/>
        </w:tabs>
      </w:pPr>
      <w:r>
        <w:t>Small – maximum demand less than 20 kW;</w:t>
      </w:r>
    </w:p>
    <w:p w14:paraId="67159FA4" w14:textId="77777777" w:rsidR="003E718A" w:rsidRDefault="003E718A" w:rsidP="003E718A">
      <w:pPr>
        <w:numPr>
          <w:ilvl w:val="0"/>
          <w:numId w:val="5"/>
        </w:numPr>
        <w:tabs>
          <w:tab w:val="clear" w:pos="720"/>
          <w:tab w:val="num" w:pos="-360"/>
        </w:tabs>
      </w:pPr>
      <w:r>
        <w:t>Medium – maximum demand between 20 and 200 kW;</w:t>
      </w:r>
    </w:p>
    <w:p w14:paraId="439A447F" w14:textId="77777777" w:rsidR="003E718A" w:rsidRDefault="003E718A" w:rsidP="003E718A">
      <w:pPr>
        <w:numPr>
          <w:ilvl w:val="0"/>
          <w:numId w:val="5"/>
        </w:numPr>
        <w:tabs>
          <w:tab w:val="clear" w:pos="720"/>
          <w:tab w:val="num" w:pos="-360"/>
        </w:tabs>
      </w:pPr>
      <w:r>
        <w:t>Large – maximum demand greater than 200 kW.</w:t>
      </w:r>
    </w:p>
    <w:p w14:paraId="1042A7E3" w14:textId="77777777" w:rsidR="003E718A" w:rsidRDefault="003E718A" w:rsidP="003E718A"/>
    <w:p w14:paraId="682F6A95" w14:textId="77777777" w:rsidR="003E718A" w:rsidRDefault="003E718A" w:rsidP="003E718A">
      <w:r>
        <w:t xml:space="preserve">The total number of customer “cells” developed is therefore equal to 24 (= 3 size groups x 8 LCAs).  </w:t>
      </w:r>
    </w:p>
    <w:p w14:paraId="7E18BC07" w14:textId="77777777" w:rsidR="003E718A" w:rsidRDefault="003E718A" w:rsidP="003E718A"/>
    <w:p w14:paraId="15F259F2" w14:textId="69F06C25" w:rsidR="003E718A" w:rsidRDefault="003E718A" w:rsidP="003E718A">
      <w:r w:rsidRPr="00BC753F">
        <w:t xml:space="preserve">For SCE, </w:t>
      </w:r>
      <w:r w:rsidR="00600B12" w:rsidRPr="00BC753F">
        <w:t>customers are grouped in three ways separately. They are assigned to one of three LCAs and by participation option (15 minutes notice or 30 minutes notice).</w:t>
      </w:r>
    </w:p>
    <w:p w14:paraId="0D716711" w14:textId="77777777" w:rsidR="003E718A" w:rsidRDefault="003E718A" w:rsidP="003E718A"/>
    <w:p w14:paraId="528BBBF6" w14:textId="7F4B10DC" w:rsidR="003E718A" w:rsidRDefault="003E718A" w:rsidP="003E718A">
      <w:r>
        <w:t xml:space="preserve">For SDG&amp;E, we </w:t>
      </w:r>
      <w:r w:rsidR="00502116">
        <w:t>do not distinguish the forecast by size or location</w:t>
      </w:r>
      <w:r>
        <w:t xml:space="preserve">, so we do not need to develop customer groups. </w:t>
      </w:r>
    </w:p>
    <w:p w14:paraId="55B69C77" w14:textId="77777777" w:rsidR="003E718A" w:rsidRPr="00D5415E" w:rsidRDefault="003E718A" w:rsidP="003E718A">
      <w:pPr>
        <w:pStyle w:val="Heading3"/>
        <w:rPr>
          <w:sz w:val="22"/>
          <w:szCs w:val="22"/>
        </w:rPr>
      </w:pPr>
      <w:bookmarkStart w:id="127" w:name="_Toc227658381"/>
      <w:bookmarkStart w:id="128" w:name="_Toc252887014"/>
      <w:bookmarkStart w:id="129" w:name="_Toc257708626"/>
      <w:bookmarkStart w:id="130" w:name="_Toc289180093"/>
      <w:bookmarkStart w:id="131" w:name="_Toc326224656"/>
      <w:bookmarkStart w:id="132" w:name="_Toc411324211"/>
      <w:bookmarkStart w:id="133" w:name="_Toc510091123"/>
      <w:r>
        <w:rPr>
          <w:sz w:val="22"/>
          <w:szCs w:val="22"/>
        </w:rPr>
        <w:t>5.</w:t>
      </w:r>
      <w:r w:rsidRPr="00D5415E">
        <w:rPr>
          <w:sz w:val="22"/>
          <w:szCs w:val="22"/>
        </w:rPr>
        <w:t>2.</w:t>
      </w:r>
      <w:r>
        <w:rPr>
          <w:sz w:val="22"/>
          <w:szCs w:val="22"/>
        </w:rPr>
        <w:t>2</w:t>
      </w:r>
      <w:r w:rsidRPr="00D5415E">
        <w:rPr>
          <w:sz w:val="22"/>
          <w:szCs w:val="22"/>
        </w:rPr>
        <w:t xml:space="preserve"> Development of </w:t>
      </w:r>
      <w:r>
        <w:rPr>
          <w:sz w:val="22"/>
          <w:szCs w:val="22"/>
        </w:rPr>
        <w:t>Reference Loads and Load Impacts</w:t>
      </w:r>
      <w:bookmarkEnd w:id="127"/>
      <w:bookmarkEnd w:id="128"/>
      <w:bookmarkEnd w:id="129"/>
      <w:bookmarkEnd w:id="130"/>
      <w:bookmarkEnd w:id="131"/>
      <w:bookmarkEnd w:id="132"/>
      <w:bookmarkEnd w:id="133"/>
    </w:p>
    <w:p w14:paraId="599D61BD" w14:textId="77777777" w:rsidR="003E718A" w:rsidRDefault="003E718A" w:rsidP="003E718A">
      <w:r>
        <w:t>Reference loads and load impacts for all of the above factors were developed in the following series of steps:</w:t>
      </w:r>
    </w:p>
    <w:p w14:paraId="05BB67B4" w14:textId="77777777" w:rsidR="003E718A" w:rsidRDefault="003E718A" w:rsidP="003E718A"/>
    <w:p w14:paraId="01862848" w14:textId="77777777" w:rsidR="003E718A" w:rsidRDefault="003E718A" w:rsidP="003E718A">
      <w:pPr>
        <w:numPr>
          <w:ilvl w:val="0"/>
          <w:numId w:val="6"/>
        </w:numPr>
      </w:pPr>
      <w:r>
        <w:t>Define data sources;</w:t>
      </w:r>
    </w:p>
    <w:p w14:paraId="12C3F500" w14:textId="4518818E" w:rsidR="003E718A" w:rsidRDefault="003E718A" w:rsidP="003E718A">
      <w:pPr>
        <w:numPr>
          <w:ilvl w:val="0"/>
          <w:numId w:val="6"/>
        </w:numPr>
      </w:pPr>
      <w:r>
        <w:t xml:space="preserve">Estimate </w:t>
      </w:r>
      <w:r w:rsidRPr="009502E9">
        <w:rPr>
          <w:i/>
        </w:rPr>
        <w:t>ex</w:t>
      </w:r>
      <w:r w:rsidR="009502E9" w:rsidRPr="009502E9">
        <w:rPr>
          <w:i/>
        </w:rPr>
        <w:t>-</w:t>
      </w:r>
      <w:r w:rsidRPr="009502E9">
        <w:rPr>
          <w:i/>
        </w:rPr>
        <w:t>ante</w:t>
      </w:r>
      <w:r>
        <w:t xml:space="preserve"> regressions and simulate reference loads by service account and scenario;</w:t>
      </w:r>
    </w:p>
    <w:p w14:paraId="029AC63D" w14:textId="1F701B6D" w:rsidR="003E718A" w:rsidRDefault="003E718A" w:rsidP="003E718A">
      <w:pPr>
        <w:numPr>
          <w:ilvl w:val="0"/>
          <w:numId w:val="6"/>
        </w:numPr>
      </w:pPr>
      <w:r>
        <w:t xml:space="preserve">Calculate historical FSL achievement rates from </w:t>
      </w:r>
      <w:r w:rsidRPr="009502E9">
        <w:rPr>
          <w:i/>
        </w:rPr>
        <w:t>ex</w:t>
      </w:r>
      <w:r w:rsidR="009502E9" w:rsidRPr="009502E9">
        <w:rPr>
          <w:i/>
        </w:rPr>
        <w:t>-</w:t>
      </w:r>
      <w:r w:rsidRPr="009502E9">
        <w:rPr>
          <w:i/>
        </w:rPr>
        <w:t>post</w:t>
      </w:r>
      <w:r>
        <w:t xml:space="preserve"> results;</w:t>
      </w:r>
    </w:p>
    <w:p w14:paraId="06B3CAD9" w14:textId="5DDC5351" w:rsidR="003E718A" w:rsidRDefault="003E718A" w:rsidP="003E718A">
      <w:pPr>
        <w:numPr>
          <w:ilvl w:val="0"/>
          <w:numId w:val="6"/>
        </w:numPr>
      </w:pPr>
      <w:r>
        <w:t>Apply achievement rates to the reference loads; and</w:t>
      </w:r>
    </w:p>
    <w:p w14:paraId="3A7996E7" w14:textId="77777777" w:rsidR="003E718A" w:rsidRDefault="003E718A" w:rsidP="003E718A">
      <w:pPr>
        <w:numPr>
          <w:ilvl w:val="0"/>
          <w:numId w:val="6"/>
        </w:numPr>
      </w:pPr>
      <w:r>
        <w:t>Scale the reference loads using enrollment forecasts.</w:t>
      </w:r>
    </w:p>
    <w:p w14:paraId="659EE73F" w14:textId="77777777" w:rsidR="003E718A" w:rsidRDefault="003E718A" w:rsidP="003E718A"/>
    <w:p w14:paraId="1C1A5233" w14:textId="77777777" w:rsidR="003E718A" w:rsidRDefault="003E718A" w:rsidP="003E718A">
      <w:r>
        <w:t>Each of these steps is described below.</w:t>
      </w:r>
    </w:p>
    <w:p w14:paraId="38D04119" w14:textId="77777777" w:rsidR="003E718A" w:rsidRDefault="003E718A" w:rsidP="003E718A"/>
    <w:p w14:paraId="285E3C5E" w14:textId="77777777" w:rsidR="003E718A" w:rsidRDefault="003E718A" w:rsidP="003E718A">
      <w:pPr>
        <w:numPr>
          <w:ilvl w:val="0"/>
          <w:numId w:val="11"/>
        </w:numPr>
      </w:pPr>
      <w:r w:rsidRPr="00A9474C">
        <w:rPr>
          <w:i/>
        </w:rPr>
        <w:t xml:space="preserve">Define </w:t>
      </w:r>
      <w:r>
        <w:rPr>
          <w:i/>
        </w:rPr>
        <w:t>data sources</w:t>
      </w:r>
      <w:r>
        <w:t xml:space="preserve">  </w:t>
      </w:r>
    </w:p>
    <w:p w14:paraId="423EA549" w14:textId="78760F27" w:rsidR="003E718A" w:rsidRPr="00834007" w:rsidRDefault="003E718A" w:rsidP="00191975">
      <w:pPr>
        <w:tabs>
          <w:tab w:val="left" w:pos="4140"/>
        </w:tabs>
        <w:rPr>
          <w:b/>
        </w:rPr>
      </w:pPr>
      <w:r>
        <w:t>The reference loads are developed using data for customers</w:t>
      </w:r>
      <w:r w:rsidR="00B20D2B">
        <w:t xml:space="preserve"> enrolled in BIP at the start of the 201</w:t>
      </w:r>
      <w:r w:rsidR="00A910A4">
        <w:t>8</w:t>
      </w:r>
      <w:r w:rsidR="00B20D2B">
        <w:t xml:space="preserve"> program year</w:t>
      </w:r>
      <w:r>
        <w:t xml:space="preserve">. The load impacts are developed using the historical FSL achievement rates </w:t>
      </w:r>
      <w:r w:rsidR="00B20D2B">
        <w:t xml:space="preserve">of customers </w:t>
      </w:r>
      <w:r w:rsidR="00BF7BFD">
        <w:t xml:space="preserve">remaining </w:t>
      </w:r>
      <w:r w:rsidR="00B20D2B">
        <w:t>enrolled</w:t>
      </w:r>
      <w:r w:rsidR="00BF7BFD">
        <w:t xml:space="preserve"> at the start of the 201</w:t>
      </w:r>
      <w:r w:rsidR="00A910A4">
        <w:t>8</w:t>
      </w:r>
      <w:r w:rsidR="00BF7BFD">
        <w:t xml:space="preserve"> program year,</w:t>
      </w:r>
      <w:r w:rsidR="00B20D2B">
        <w:t xml:space="preserve"> </w:t>
      </w:r>
      <w:r>
        <w:t>based on the</w:t>
      </w:r>
      <w:r w:rsidR="00BF7BFD">
        <w:t>ir</w:t>
      </w:r>
      <w:r>
        <w:t xml:space="preserve"> est</w:t>
      </w:r>
      <w:r w:rsidR="00B20D2B">
        <w:t xml:space="preserve">imated </w:t>
      </w:r>
      <w:r w:rsidR="00B20D2B" w:rsidRPr="009502E9">
        <w:rPr>
          <w:i/>
        </w:rPr>
        <w:t>ex</w:t>
      </w:r>
      <w:r w:rsidR="009502E9" w:rsidRPr="009502E9">
        <w:rPr>
          <w:i/>
        </w:rPr>
        <w:t>-</w:t>
      </w:r>
      <w:r w:rsidR="00B20D2B" w:rsidRPr="009502E9">
        <w:rPr>
          <w:i/>
        </w:rPr>
        <w:t>post</w:t>
      </w:r>
      <w:r w:rsidR="00B20D2B">
        <w:t xml:space="preserve"> load impacts during program year 201</w:t>
      </w:r>
      <w:r w:rsidR="00A910A4">
        <w:t>7</w:t>
      </w:r>
      <w:r>
        <w:t xml:space="preserve">. </w:t>
      </w:r>
    </w:p>
    <w:p w14:paraId="7857B1C4" w14:textId="77777777" w:rsidR="003E718A" w:rsidRDefault="003E718A" w:rsidP="003E718A">
      <w:pPr>
        <w:tabs>
          <w:tab w:val="left" w:pos="4140"/>
        </w:tabs>
      </w:pPr>
    </w:p>
    <w:p w14:paraId="574B9AA5" w14:textId="1B424E97" w:rsidR="003E718A" w:rsidRDefault="003E718A" w:rsidP="003E718A">
      <w:pPr>
        <w:tabs>
          <w:tab w:val="left" w:pos="4140"/>
        </w:tabs>
      </w:pPr>
      <w:r>
        <w:t xml:space="preserve">For each service account, we determine the appropriate size group and LCA. Although BIP customers may be dually enrolled in some other DR programs, the BIP obligation takes precedence on event days, so </w:t>
      </w:r>
      <w:r w:rsidRPr="00277675">
        <w:rPr>
          <w:i/>
        </w:rPr>
        <w:t>program-specific</w:t>
      </w:r>
      <w:r>
        <w:t xml:space="preserve"> scenarios (in which each DR </w:t>
      </w:r>
      <w:r>
        <w:lastRenderedPageBreak/>
        <w:t xml:space="preserve">program is assumed to be called in isolation) are identical to </w:t>
      </w:r>
      <w:r w:rsidRPr="00277675">
        <w:rPr>
          <w:i/>
        </w:rPr>
        <w:t>portfolio-level</w:t>
      </w:r>
      <w:r>
        <w:t xml:space="preserve"> scenarios (in which all DR programs are assumed to have been called) for this program. </w:t>
      </w:r>
    </w:p>
    <w:p w14:paraId="0A78A242" w14:textId="77777777" w:rsidR="003E718A" w:rsidRDefault="003E718A" w:rsidP="003E718A">
      <w:pPr>
        <w:tabs>
          <w:tab w:val="left" w:pos="4140"/>
        </w:tabs>
      </w:pPr>
    </w:p>
    <w:p w14:paraId="50F56A2F" w14:textId="77777777" w:rsidR="003E718A" w:rsidRDefault="003E718A" w:rsidP="003E718A">
      <w:pPr>
        <w:numPr>
          <w:ilvl w:val="0"/>
          <w:numId w:val="11"/>
        </w:numPr>
      </w:pPr>
      <w:r>
        <w:rPr>
          <w:i/>
        </w:rPr>
        <w:t xml:space="preserve">Simulate reference </w:t>
      </w:r>
      <w:r w:rsidRPr="00AA5190">
        <w:rPr>
          <w:i/>
        </w:rPr>
        <w:t>load</w:t>
      </w:r>
      <w:r>
        <w:rPr>
          <w:i/>
        </w:rPr>
        <w:t>s</w:t>
      </w:r>
      <w:r>
        <w:t xml:space="preserve">  </w:t>
      </w:r>
    </w:p>
    <w:p w14:paraId="71F76D5B" w14:textId="16D2EE54" w:rsidR="003E718A" w:rsidRDefault="003E718A" w:rsidP="003E718A">
      <w:r>
        <w:t xml:space="preserve">In order to develop reference loads, we first re-estimated regression equations for each </w:t>
      </w:r>
      <w:r w:rsidRPr="00B116E3">
        <w:t>enrolled</w:t>
      </w:r>
      <w:r>
        <w:t xml:space="preserve"> customer account using data for the current program year. The resulting estimates were used to simulate reference loads for each service account under the various scenarios required by the Protocols (</w:t>
      </w:r>
      <w:r w:rsidRPr="004D7BCF">
        <w:rPr>
          <w:i/>
        </w:rPr>
        <w:t>e.g.</w:t>
      </w:r>
      <w:r>
        <w:t xml:space="preserve">, the typical event day in a </w:t>
      </w:r>
      <w:r w:rsidR="004061BB">
        <w:t xml:space="preserve">utility-specific </w:t>
      </w:r>
      <w:r>
        <w:t xml:space="preserve">1-in-2 weather year).   </w:t>
      </w:r>
    </w:p>
    <w:p w14:paraId="3C2B258F" w14:textId="77777777" w:rsidR="003E718A" w:rsidRDefault="003E718A" w:rsidP="003E718A"/>
    <w:p w14:paraId="5E4CAF32" w14:textId="2E57F555" w:rsidR="003E718A" w:rsidRPr="003C262F" w:rsidRDefault="003E718A" w:rsidP="003E718A">
      <w:r w:rsidRPr="002177EE">
        <w:t xml:space="preserve">For the summer months, the re-estimated regression equations were similar in design to the </w:t>
      </w:r>
      <w:r w:rsidRPr="008F55A9">
        <w:rPr>
          <w:i/>
        </w:rPr>
        <w:t>ex</w:t>
      </w:r>
      <w:r w:rsidR="008F55A9" w:rsidRPr="008F55A9">
        <w:rPr>
          <w:i/>
        </w:rPr>
        <w:t>-</w:t>
      </w:r>
      <w:r w:rsidRPr="008F55A9">
        <w:rPr>
          <w:i/>
        </w:rPr>
        <w:t>post</w:t>
      </w:r>
      <w:r w:rsidRPr="002177EE">
        <w:t xml:space="preserve"> load impact equations described in Section 3.2, </w:t>
      </w:r>
      <w:r w:rsidRPr="00CC5A6A">
        <w:t>differing in two ways.</w:t>
      </w:r>
      <w:r w:rsidRPr="002177EE">
        <w:t xml:space="preserve"> First, the </w:t>
      </w:r>
      <w:r w:rsidRPr="008F55A9">
        <w:rPr>
          <w:i/>
        </w:rPr>
        <w:t>ex</w:t>
      </w:r>
      <w:r w:rsidR="008F55A9" w:rsidRPr="008F55A9">
        <w:rPr>
          <w:i/>
        </w:rPr>
        <w:t>-</w:t>
      </w:r>
      <w:r w:rsidRPr="008F55A9">
        <w:rPr>
          <w:i/>
        </w:rPr>
        <w:t>ante</w:t>
      </w:r>
      <w:r w:rsidRPr="002177EE">
        <w:t xml:space="preserve"> models excluded the morning-usage variable</w:t>
      </w:r>
      <w:r>
        <w:t>s. While these</w:t>
      </w:r>
      <w:r w:rsidRPr="002177EE">
        <w:t xml:space="preserve"> variable</w:t>
      </w:r>
      <w:r>
        <w:t>s are</w:t>
      </w:r>
      <w:r w:rsidRPr="002177EE">
        <w:t xml:space="preserve"> useful for improving accuracy in estimating </w:t>
      </w:r>
      <w:r w:rsidRPr="008F55A9">
        <w:rPr>
          <w:i/>
        </w:rPr>
        <w:t>ex</w:t>
      </w:r>
      <w:r w:rsidR="008F55A9" w:rsidRPr="008F55A9">
        <w:rPr>
          <w:i/>
        </w:rPr>
        <w:t>-</w:t>
      </w:r>
      <w:r w:rsidRPr="008F55A9">
        <w:rPr>
          <w:i/>
        </w:rPr>
        <w:t>post</w:t>
      </w:r>
      <w:r w:rsidRPr="002177EE">
        <w:t xml:space="preserve"> load impacts for particular events, </w:t>
      </w:r>
      <w:r>
        <w:t xml:space="preserve">they </w:t>
      </w:r>
      <w:r w:rsidRPr="002177EE">
        <w:t xml:space="preserve">complicate the use of the equations in </w:t>
      </w:r>
      <w:r w:rsidRPr="008F55A9">
        <w:rPr>
          <w:i/>
        </w:rPr>
        <w:t>ex</w:t>
      </w:r>
      <w:r w:rsidR="008F55A9" w:rsidRPr="008F55A9">
        <w:rPr>
          <w:i/>
        </w:rPr>
        <w:t>-</w:t>
      </w:r>
      <w:r w:rsidRPr="008F55A9">
        <w:rPr>
          <w:i/>
        </w:rPr>
        <w:t>ante</w:t>
      </w:r>
      <w:r w:rsidRPr="002177EE">
        <w:t xml:space="preserve"> simulation. That is, </w:t>
      </w:r>
      <w:r>
        <w:t xml:space="preserve">they </w:t>
      </w:r>
      <w:r w:rsidRPr="002177EE">
        <w:t xml:space="preserve">would require a separate simulation of the level of the morning </w:t>
      </w:r>
      <w:r w:rsidRPr="00277675">
        <w:t xml:space="preserve">load. The second difference </w:t>
      </w:r>
      <w:r w:rsidRPr="003C262F">
        <w:t xml:space="preserve">between the </w:t>
      </w:r>
      <w:r w:rsidRPr="008F55A9">
        <w:rPr>
          <w:i/>
        </w:rPr>
        <w:t>ex</w:t>
      </w:r>
      <w:r w:rsidR="008F55A9" w:rsidRPr="008F55A9">
        <w:rPr>
          <w:i/>
        </w:rPr>
        <w:t>-</w:t>
      </w:r>
      <w:r w:rsidRPr="008F55A9">
        <w:rPr>
          <w:i/>
        </w:rPr>
        <w:t>post</w:t>
      </w:r>
      <w:r w:rsidRPr="003C262F">
        <w:t xml:space="preserve"> and </w:t>
      </w:r>
      <w:r w:rsidRPr="008F55A9">
        <w:rPr>
          <w:i/>
        </w:rPr>
        <w:t>ex</w:t>
      </w:r>
      <w:r w:rsidR="008F55A9" w:rsidRPr="008F55A9">
        <w:rPr>
          <w:i/>
        </w:rPr>
        <w:t>-</w:t>
      </w:r>
      <w:r w:rsidRPr="008F55A9">
        <w:rPr>
          <w:i/>
        </w:rPr>
        <w:t>ante</w:t>
      </w:r>
      <w:r w:rsidRPr="003C262F">
        <w:t xml:space="preserve"> models is that the </w:t>
      </w:r>
      <w:r w:rsidRPr="008F55A9">
        <w:rPr>
          <w:i/>
        </w:rPr>
        <w:t>e</w:t>
      </w:r>
      <w:r w:rsidR="008F55A9" w:rsidRPr="008F55A9">
        <w:rPr>
          <w:i/>
        </w:rPr>
        <w:t>x-</w:t>
      </w:r>
      <w:r w:rsidRPr="008F55A9">
        <w:rPr>
          <w:i/>
        </w:rPr>
        <w:t>ante</w:t>
      </w:r>
      <w:r w:rsidRPr="003C262F">
        <w:t xml:space="preserve"> models </w:t>
      </w:r>
      <w:r w:rsidR="00BC753F">
        <w:t xml:space="preserve">do not </w:t>
      </w:r>
      <w:r w:rsidRPr="003C262F">
        <w:t>use</w:t>
      </w:r>
      <w:r w:rsidR="00BC753F">
        <w:t xml:space="preserve"> weather variables using information from prior days.</w:t>
      </w:r>
      <w:r w:rsidR="00BC753F">
        <w:rPr>
          <w:rStyle w:val="FootnoteReference"/>
        </w:rPr>
        <w:footnoteReference w:id="13"/>
      </w:r>
      <w:r w:rsidR="00BC753F">
        <w:t xml:space="preserve"> </w:t>
      </w:r>
      <w:r>
        <w:t xml:space="preserve">The primary reason for this is that the </w:t>
      </w:r>
      <w:r w:rsidRPr="00C35C2F">
        <w:rPr>
          <w:i/>
        </w:rPr>
        <w:t>ex</w:t>
      </w:r>
      <w:r w:rsidR="00C35C2F" w:rsidRPr="00C35C2F">
        <w:rPr>
          <w:i/>
        </w:rPr>
        <w:t>-</w:t>
      </w:r>
      <w:r w:rsidRPr="00C35C2F">
        <w:rPr>
          <w:i/>
        </w:rPr>
        <w:t>ante</w:t>
      </w:r>
      <w:r>
        <w:t xml:space="preserve"> weather days were not selected based on weather from the prior day, restricting the use of lagged weather variables to construct the </w:t>
      </w:r>
      <w:r w:rsidRPr="00C35C2F">
        <w:rPr>
          <w:i/>
        </w:rPr>
        <w:t>ex</w:t>
      </w:r>
      <w:r w:rsidR="00C35C2F" w:rsidRPr="00C35C2F">
        <w:rPr>
          <w:i/>
        </w:rPr>
        <w:t>-</w:t>
      </w:r>
      <w:r w:rsidRPr="00C35C2F">
        <w:rPr>
          <w:i/>
        </w:rPr>
        <w:t>ante</w:t>
      </w:r>
      <w:r>
        <w:t xml:space="preserve"> scenarios.</w:t>
      </w:r>
    </w:p>
    <w:p w14:paraId="3EE9FF9C" w14:textId="77777777" w:rsidR="003E718A" w:rsidRDefault="003E718A" w:rsidP="003E718A"/>
    <w:p w14:paraId="31FFD379" w14:textId="034ECBC1" w:rsidR="003E718A" w:rsidRDefault="003E718A" w:rsidP="003E718A">
      <w:r w:rsidRPr="00770A8C">
        <w:t>Because B</w:t>
      </w:r>
      <w:r w:rsidR="004061BB">
        <w:t>I</w:t>
      </w:r>
      <w:r w:rsidRPr="00770A8C">
        <w:t xml:space="preserve">P events may be called in any month of the year, we estimated separate regression models to allow us to simulate </w:t>
      </w:r>
      <w:r w:rsidR="00C35C2F">
        <w:t xml:space="preserve">winter </w:t>
      </w:r>
      <w:r w:rsidRPr="00770A8C">
        <w:t xml:space="preserve">reference loads. The </w:t>
      </w:r>
      <w:r w:rsidR="00C35C2F">
        <w:t>winter</w:t>
      </w:r>
      <w:r w:rsidRPr="00770A8C">
        <w:t xml:space="preserve"> model is shown below. This model is estimated separately from the summer </w:t>
      </w:r>
      <w:r w:rsidRPr="00C35C2F">
        <w:rPr>
          <w:i/>
        </w:rPr>
        <w:t>ex</w:t>
      </w:r>
      <w:r w:rsidR="00C35C2F" w:rsidRPr="00C35C2F">
        <w:rPr>
          <w:i/>
        </w:rPr>
        <w:t>-</w:t>
      </w:r>
      <w:r w:rsidRPr="00C35C2F">
        <w:rPr>
          <w:i/>
        </w:rPr>
        <w:t>ante</w:t>
      </w:r>
      <w:r w:rsidRPr="00770A8C">
        <w:t xml:space="preserve"> model. It only differs from the summer model in t</w:t>
      </w:r>
      <w:r w:rsidR="004061BB">
        <w:t>wo</w:t>
      </w:r>
      <w:r w:rsidRPr="00770A8C">
        <w:t xml:space="preserve"> ways: it includes </w:t>
      </w:r>
      <w:r w:rsidR="00BC753F" w:rsidRPr="00BC753F">
        <w:t>different weather variables</w:t>
      </w:r>
      <w:r w:rsidRPr="00770A8C">
        <w:t xml:space="preserve">; </w:t>
      </w:r>
      <w:r w:rsidR="004061BB">
        <w:t xml:space="preserve">and </w:t>
      </w:r>
      <w:r w:rsidRPr="00770A8C">
        <w:t xml:space="preserve">the month dummies relate to a </w:t>
      </w:r>
      <w:r w:rsidR="00C854D9">
        <w:t>different set of months. Table 5</w:t>
      </w:r>
      <w:r w:rsidRPr="00770A8C">
        <w:t>.</w:t>
      </w:r>
      <w:r>
        <w:t>1</w:t>
      </w:r>
      <w:r w:rsidRPr="00770A8C">
        <w:t xml:space="preserve"> describes the terms included in the equation.</w:t>
      </w:r>
      <w:r w:rsidR="00E63D3D">
        <w:rPr>
          <w:rStyle w:val="CommentReference"/>
          <w:rFonts w:ascii="Times New Roman" w:hAnsi="Times New Roman"/>
          <w:lang w:val="x-none" w:eastAsia="x-none"/>
        </w:rPr>
        <w:t xml:space="preserve"> </w:t>
      </w:r>
    </w:p>
    <w:p w14:paraId="3978324B" w14:textId="77777777" w:rsidR="004061BB" w:rsidRDefault="004061BB" w:rsidP="003E718A"/>
    <w:p w14:paraId="1924C262" w14:textId="4E4132FA" w:rsidR="003E718A" w:rsidRDefault="006A7D43" w:rsidP="003E718A">
      <w:r w:rsidRPr="006A7D43">
        <w:rPr>
          <w:position w:val="-126"/>
        </w:rPr>
        <w:object w:dxaOrig="7540" w:dyaOrig="2640" w14:anchorId="119C87BA">
          <v:shape id="_x0000_i1027" type="#_x0000_t75" style="width:375.1pt;height:129.75pt" o:ole="">
            <v:imagedata r:id="rId30" o:title=""/>
          </v:shape>
          <o:OLEObject Type="Embed" ProgID="Equation.3" ShapeID="_x0000_i1027" DrawAspect="Content" ObjectID="_1583832936" r:id="rId31"/>
        </w:object>
      </w:r>
    </w:p>
    <w:p w14:paraId="3241EBFD" w14:textId="77777777" w:rsidR="003E718A" w:rsidRDefault="003E718A" w:rsidP="003E718A"/>
    <w:p w14:paraId="26072034" w14:textId="21E46177" w:rsidR="003E718A" w:rsidRPr="00852320" w:rsidRDefault="003E718A" w:rsidP="003E718A">
      <w:pPr>
        <w:pStyle w:val="TableCaption"/>
        <w:keepNext/>
        <w:keepLines/>
      </w:pPr>
      <w:bookmarkStart w:id="134" w:name="_Toc326224700"/>
      <w:bookmarkStart w:id="135" w:name="_Toc411324262"/>
      <w:bookmarkStart w:id="136" w:name="_Toc508800228"/>
      <w:r w:rsidRPr="00852320">
        <w:lastRenderedPageBreak/>
        <w:t xml:space="preserve">Table </w:t>
      </w:r>
      <w:r>
        <w:t>5</w:t>
      </w:r>
      <w:r w:rsidRPr="00852320">
        <w:t>.</w:t>
      </w:r>
      <w:r>
        <w:t>1</w:t>
      </w:r>
      <w:r w:rsidRPr="00852320">
        <w:t xml:space="preserve">: Descriptions of Terms included in the </w:t>
      </w:r>
      <w:r w:rsidRPr="00C35C2F">
        <w:rPr>
          <w:i/>
        </w:rPr>
        <w:t>Ex</w:t>
      </w:r>
      <w:r w:rsidR="00C35C2F" w:rsidRPr="00C35C2F">
        <w:rPr>
          <w:i/>
        </w:rPr>
        <w:t>-a</w:t>
      </w:r>
      <w:r w:rsidRPr="00C35C2F">
        <w:rPr>
          <w:i/>
        </w:rPr>
        <w:t>nte</w:t>
      </w:r>
      <w:r w:rsidRPr="00852320">
        <w:t xml:space="preserve"> Regression Equation</w:t>
      </w:r>
      <w:bookmarkEnd w:id="134"/>
      <w:bookmarkEnd w:id="135"/>
      <w:bookmarkEnd w:id="13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5"/>
        <w:gridCol w:w="6735"/>
      </w:tblGrid>
      <w:tr w:rsidR="006A7D43" w14:paraId="5B944288" w14:textId="77777777" w:rsidTr="006B55F6">
        <w:trPr>
          <w:jc w:val="center"/>
        </w:trPr>
        <w:tc>
          <w:tcPr>
            <w:tcW w:w="0" w:type="auto"/>
            <w:tcBorders>
              <w:right w:val="single" w:sz="4" w:space="0" w:color="FFFFFF" w:themeColor="background1"/>
            </w:tcBorders>
            <w:shd w:val="clear" w:color="auto" w:fill="0C2577"/>
            <w:vAlign w:val="center"/>
          </w:tcPr>
          <w:p w14:paraId="7A6B35D1" w14:textId="52E9FD7E" w:rsidR="006A7D43" w:rsidRPr="00AA745A" w:rsidRDefault="006A7D43" w:rsidP="004061BB">
            <w:pPr>
              <w:keepNext/>
              <w:keepLines/>
              <w:jc w:val="center"/>
              <w:rPr>
                <w:rFonts w:ascii="Arial" w:hAnsi="Arial" w:cs="Arial"/>
                <w:b/>
                <w:sz w:val="20"/>
                <w:szCs w:val="20"/>
              </w:rPr>
            </w:pPr>
            <w:r>
              <w:rPr>
                <w:rFonts w:ascii="Arial" w:hAnsi="Arial" w:cs="Arial"/>
                <w:b/>
                <w:sz w:val="20"/>
                <w:szCs w:val="20"/>
              </w:rPr>
              <w:t xml:space="preserve">Variable Name </w:t>
            </w:r>
          </w:p>
        </w:tc>
        <w:tc>
          <w:tcPr>
            <w:tcW w:w="0" w:type="auto"/>
            <w:tcBorders>
              <w:left w:val="single" w:sz="4" w:space="0" w:color="FFFFFF" w:themeColor="background1"/>
            </w:tcBorders>
            <w:shd w:val="clear" w:color="auto" w:fill="0C2577"/>
            <w:vAlign w:val="center"/>
          </w:tcPr>
          <w:p w14:paraId="7DFC8556" w14:textId="4A71CFBD" w:rsidR="006A7D43" w:rsidRPr="00AA745A" w:rsidRDefault="006A7D43" w:rsidP="004061BB">
            <w:pPr>
              <w:keepNext/>
              <w:keepLines/>
              <w:jc w:val="center"/>
              <w:rPr>
                <w:rFonts w:ascii="Arial" w:hAnsi="Arial" w:cs="Arial"/>
                <w:b/>
                <w:sz w:val="20"/>
                <w:szCs w:val="20"/>
              </w:rPr>
            </w:pPr>
            <w:r>
              <w:rPr>
                <w:rFonts w:ascii="Arial" w:hAnsi="Arial" w:cs="Arial"/>
                <w:b/>
                <w:sz w:val="20"/>
                <w:szCs w:val="20"/>
              </w:rPr>
              <w:t>Variable</w:t>
            </w:r>
            <w:r w:rsidRPr="00AA745A">
              <w:rPr>
                <w:rFonts w:ascii="Arial" w:hAnsi="Arial" w:cs="Arial"/>
                <w:b/>
                <w:sz w:val="20"/>
                <w:szCs w:val="20"/>
              </w:rPr>
              <w:t xml:space="preserve"> Description</w:t>
            </w:r>
          </w:p>
        </w:tc>
      </w:tr>
      <w:tr w:rsidR="006A7D43" w14:paraId="5552A1D6" w14:textId="77777777" w:rsidTr="004061BB">
        <w:trPr>
          <w:jc w:val="center"/>
        </w:trPr>
        <w:tc>
          <w:tcPr>
            <w:tcW w:w="0" w:type="auto"/>
            <w:shd w:val="clear" w:color="auto" w:fill="auto"/>
            <w:vAlign w:val="center"/>
          </w:tcPr>
          <w:p w14:paraId="61C932D9" w14:textId="7F6407D3" w:rsidR="006A7D43" w:rsidRPr="00AA745A" w:rsidRDefault="006A7D43" w:rsidP="004061BB">
            <w:pPr>
              <w:keepNext/>
              <w:keepLines/>
              <w:jc w:val="center"/>
              <w:rPr>
                <w:rFonts w:ascii="Arial" w:hAnsi="Arial" w:cs="Arial"/>
                <w:sz w:val="20"/>
                <w:szCs w:val="20"/>
              </w:rPr>
            </w:pPr>
            <w:r w:rsidRPr="006F02FD">
              <w:rPr>
                <w:rFonts w:ascii="Times New Roman" w:hAnsi="Times New Roman"/>
                <w:i/>
              </w:rPr>
              <w:t>Q</w:t>
            </w:r>
            <w:r>
              <w:rPr>
                <w:rFonts w:ascii="Times New Roman" w:hAnsi="Times New Roman"/>
                <w:i/>
                <w:sz w:val="22"/>
                <w:szCs w:val="22"/>
                <w:vertAlign w:val="subscript"/>
              </w:rPr>
              <w:t>t</w:t>
            </w:r>
          </w:p>
        </w:tc>
        <w:tc>
          <w:tcPr>
            <w:tcW w:w="0" w:type="auto"/>
            <w:shd w:val="clear" w:color="auto" w:fill="auto"/>
            <w:vAlign w:val="center"/>
          </w:tcPr>
          <w:p w14:paraId="7EB087B2" w14:textId="30B6D1E0" w:rsidR="006A7D43" w:rsidRPr="00AA745A" w:rsidRDefault="006A7D43" w:rsidP="009271C4">
            <w:pPr>
              <w:keepNext/>
              <w:keepLines/>
              <w:rPr>
                <w:rFonts w:ascii="Arial" w:hAnsi="Arial" w:cs="Arial"/>
                <w:sz w:val="20"/>
                <w:szCs w:val="20"/>
              </w:rPr>
            </w:pPr>
            <w:r w:rsidRPr="00AA745A">
              <w:rPr>
                <w:rFonts w:ascii="Arial" w:hAnsi="Arial" w:cs="Arial"/>
                <w:sz w:val="20"/>
                <w:szCs w:val="20"/>
              </w:rPr>
              <w:t xml:space="preserve">the demand in hour </w:t>
            </w:r>
            <w:r>
              <w:rPr>
                <w:rFonts w:ascii="Times New Roman" w:hAnsi="Times New Roman"/>
                <w:i/>
                <w:sz w:val="22"/>
                <w:szCs w:val="22"/>
              </w:rPr>
              <w:t>t</w:t>
            </w:r>
            <w:r w:rsidRPr="0076511F">
              <w:rPr>
                <w:rFonts w:ascii="Arial" w:hAnsi="Arial" w:cs="Arial"/>
                <w:sz w:val="22"/>
                <w:szCs w:val="22"/>
              </w:rPr>
              <w:t xml:space="preserve"> </w:t>
            </w:r>
            <w:r w:rsidRPr="00AA745A">
              <w:rPr>
                <w:rFonts w:ascii="Arial" w:hAnsi="Arial" w:cs="Arial"/>
                <w:sz w:val="20"/>
                <w:szCs w:val="20"/>
              </w:rPr>
              <w:t>for a customer enrolled in B</w:t>
            </w:r>
            <w:r>
              <w:rPr>
                <w:rFonts w:ascii="Arial" w:hAnsi="Arial" w:cs="Arial"/>
                <w:sz w:val="20"/>
                <w:szCs w:val="20"/>
              </w:rPr>
              <w:t>I</w:t>
            </w:r>
            <w:r w:rsidRPr="00AA745A">
              <w:rPr>
                <w:rFonts w:ascii="Arial" w:hAnsi="Arial" w:cs="Arial"/>
                <w:sz w:val="20"/>
                <w:szCs w:val="20"/>
              </w:rPr>
              <w:t>P prior to the last event date</w:t>
            </w:r>
          </w:p>
        </w:tc>
      </w:tr>
      <w:tr w:rsidR="006A7D43" w14:paraId="390C9137" w14:textId="77777777" w:rsidTr="004061BB">
        <w:trPr>
          <w:jc w:val="center"/>
        </w:trPr>
        <w:tc>
          <w:tcPr>
            <w:tcW w:w="0" w:type="auto"/>
            <w:shd w:val="clear" w:color="auto" w:fill="auto"/>
            <w:vAlign w:val="center"/>
          </w:tcPr>
          <w:p w14:paraId="5E17776A" w14:textId="065A5FC4" w:rsidR="006A7D43" w:rsidRPr="00AA745A" w:rsidRDefault="006A7D43" w:rsidP="004061BB">
            <w:pPr>
              <w:keepNext/>
              <w:keepLines/>
              <w:jc w:val="center"/>
              <w:rPr>
                <w:rFonts w:ascii="Arial" w:hAnsi="Arial" w:cs="Arial"/>
                <w:sz w:val="20"/>
                <w:szCs w:val="20"/>
              </w:rPr>
            </w:pPr>
            <w:r w:rsidRPr="0048227B">
              <w:rPr>
                <w:rFonts w:ascii="Arial" w:hAnsi="Arial" w:cs="Arial"/>
                <w:sz w:val="20"/>
                <w:szCs w:val="20"/>
              </w:rPr>
              <w:t>The various</w:t>
            </w:r>
            <w:r w:rsidRPr="006F02FD">
              <w:rPr>
                <w:rFonts w:ascii="Times New Roman" w:hAnsi="Times New Roman"/>
              </w:rPr>
              <w:t xml:space="preserve"> </w:t>
            </w:r>
            <w:r w:rsidRPr="006F02FD">
              <w:rPr>
                <w:rFonts w:ascii="Times New Roman" w:hAnsi="Times New Roman"/>
                <w:i/>
              </w:rPr>
              <w:t>b</w:t>
            </w:r>
            <w:r w:rsidRPr="0048227B">
              <w:rPr>
                <w:rFonts w:ascii="Arial" w:hAnsi="Arial" w:cs="Arial"/>
                <w:sz w:val="20"/>
                <w:szCs w:val="20"/>
              </w:rPr>
              <w:t>’s</w:t>
            </w:r>
            <w:r w:rsidRPr="006F02FD">
              <w:rPr>
                <w:rFonts w:ascii="Times New Roman" w:hAnsi="Times New Roman"/>
              </w:rPr>
              <w:t xml:space="preserve"> </w:t>
            </w:r>
          </w:p>
        </w:tc>
        <w:tc>
          <w:tcPr>
            <w:tcW w:w="0" w:type="auto"/>
            <w:shd w:val="clear" w:color="auto" w:fill="auto"/>
            <w:vAlign w:val="center"/>
          </w:tcPr>
          <w:p w14:paraId="454D1432" w14:textId="50B6E8EA" w:rsidR="006A7D43" w:rsidRPr="00AA745A" w:rsidRDefault="006A7D43" w:rsidP="004061BB">
            <w:pPr>
              <w:keepNext/>
              <w:keepLines/>
              <w:rPr>
                <w:rFonts w:ascii="Arial" w:hAnsi="Arial" w:cs="Arial"/>
                <w:sz w:val="20"/>
                <w:szCs w:val="20"/>
              </w:rPr>
            </w:pPr>
            <w:r w:rsidRPr="00AA745A">
              <w:rPr>
                <w:rFonts w:ascii="Arial" w:hAnsi="Arial" w:cs="Arial"/>
                <w:sz w:val="20"/>
                <w:szCs w:val="20"/>
              </w:rPr>
              <w:t>the estimated parameters</w:t>
            </w:r>
          </w:p>
        </w:tc>
      </w:tr>
      <w:tr w:rsidR="006A7D43" w14:paraId="1332F26D" w14:textId="77777777" w:rsidTr="004061BB">
        <w:trPr>
          <w:jc w:val="center"/>
        </w:trPr>
        <w:tc>
          <w:tcPr>
            <w:tcW w:w="0" w:type="auto"/>
            <w:shd w:val="clear" w:color="auto" w:fill="auto"/>
            <w:vAlign w:val="center"/>
          </w:tcPr>
          <w:p w14:paraId="322BB6A9" w14:textId="18C8456C" w:rsidR="006A7D43" w:rsidRPr="00AA745A" w:rsidRDefault="006A7D43" w:rsidP="004061BB">
            <w:pPr>
              <w:keepNext/>
              <w:keepLines/>
              <w:jc w:val="center"/>
              <w:rPr>
                <w:rFonts w:ascii="Arial" w:hAnsi="Arial" w:cs="Arial"/>
                <w:sz w:val="20"/>
                <w:szCs w:val="20"/>
              </w:rPr>
            </w:pPr>
            <w:r>
              <w:rPr>
                <w:rFonts w:ascii="Times New Roman" w:hAnsi="Times New Roman"/>
                <w:i/>
              </w:rPr>
              <w:t>h</w:t>
            </w:r>
            <w:r>
              <w:rPr>
                <w:rFonts w:ascii="Times New Roman" w:hAnsi="Times New Roman"/>
                <w:i/>
                <w:sz w:val="22"/>
                <w:szCs w:val="22"/>
                <w:vertAlign w:val="subscript"/>
              </w:rPr>
              <w:t>i,t</w:t>
            </w:r>
          </w:p>
        </w:tc>
        <w:tc>
          <w:tcPr>
            <w:tcW w:w="0" w:type="auto"/>
            <w:shd w:val="clear" w:color="auto" w:fill="auto"/>
            <w:vAlign w:val="center"/>
          </w:tcPr>
          <w:p w14:paraId="520B3667" w14:textId="09C8DA23" w:rsidR="006A7D43" w:rsidRPr="00AA745A" w:rsidRDefault="006A7D43" w:rsidP="004061BB">
            <w:pPr>
              <w:keepNext/>
              <w:keepLines/>
              <w:rPr>
                <w:rFonts w:ascii="Arial" w:hAnsi="Arial" w:cs="Arial"/>
                <w:sz w:val="20"/>
                <w:szCs w:val="20"/>
              </w:rPr>
            </w:pPr>
            <w:r>
              <w:rPr>
                <w:rFonts w:ascii="Arial" w:hAnsi="Arial" w:cs="Arial"/>
                <w:sz w:val="20"/>
                <w:szCs w:val="20"/>
              </w:rPr>
              <w:t xml:space="preserve">an indicator variable for hour </w:t>
            </w:r>
            <w:r>
              <w:rPr>
                <w:rFonts w:ascii="Times New Roman" w:hAnsi="Times New Roman"/>
                <w:i/>
                <w:sz w:val="22"/>
                <w:szCs w:val="22"/>
              </w:rPr>
              <w:t>i</w:t>
            </w:r>
            <w:r>
              <w:rPr>
                <w:rFonts w:ascii="Arial" w:hAnsi="Arial" w:cs="Arial"/>
                <w:sz w:val="20"/>
                <w:szCs w:val="20"/>
              </w:rPr>
              <w:t xml:space="preserve">, equal to one when </w:t>
            </w:r>
            <w:r w:rsidRPr="00DF3784">
              <w:rPr>
                <w:rFonts w:ascii="Times New Roman" w:hAnsi="Times New Roman"/>
                <w:i/>
                <w:sz w:val="22"/>
                <w:szCs w:val="22"/>
              </w:rPr>
              <w:t>t</w:t>
            </w:r>
            <w:r>
              <w:rPr>
                <w:rFonts w:ascii="Arial" w:hAnsi="Arial" w:cs="Arial"/>
                <w:sz w:val="20"/>
                <w:szCs w:val="20"/>
              </w:rPr>
              <w:t xml:space="preserve"> corresponds to hour </w:t>
            </w:r>
            <w:r>
              <w:rPr>
                <w:rFonts w:ascii="Times New Roman" w:hAnsi="Times New Roman"/>
                <w:i/>
                <w:sz w:val="22"/>
                <w:szCs w:val="22"/>
              </w:rPr>
              <w:t>i</w:t>
            </w:r>
            <w:r>
              <w:rPr>
                <w:rFonts w:ascii="Arial" w:hAnsi="Arial" w:cs="Arial"/>
                <w:sz w:val="20"/>
                <w:szCs w:val="20"/>
              </w:rPr>
              <w:t xml:space="preserve"> of a given day</w:t>
            </w:r>
          </w:p>
        </w:tc>
      </w:tr>
      <w:tr w:rsidR="006A7D43" w14:paraId="37D97CF2" w14:textId="77777777" w:rsidTr="004061BB">
        <w:trPr>
          <w:jc w:val="center"/>
        </w:trPr>
        <w:tc>
          <w:tcPr>
            <w:tcW w:w="0" w:type="auto"/>
            <w:shd w:val="clear" w:color="auto" w:fill="auto"/>
            <w:vAlign w:val="center"/>
          </w:tcPr>
          <w:p w14:paraId="58DDFDC6" w14:textId="38DC7575" w:rsidR="006A7D43" w:rsidRPr="00AA745A" w:rsidRDefault="006A7D43" w:rsidP="004061BB">
            <w:pPr>
              <w:keepNext/>
              <w:keepLines/>
              <w:jc w:val="center"/>
              <w:rPr>
                <w:rFonts w:ascii="Arial" w:hAnsi="Arial" w:cs="Arial"/>
                <w:i/>
                <w:sz w:val="20"/>
                <w:szCs w:val="20"/>
              </w:rPr>
            </w:pPr>
            <w:r>
              <w:rPr>
                <w:rFonts w:ascii="Times New Roman" w:hAnsi="Times New Roman"/>
                <w:i/>
              </w:rPr>
              <w:t>BIP</w:t>
            </w:r>
            <w:r>
              <w:rPr>
                <w:rFonts w:ascii="Times New Roman" w:hAnsi="Times New Roman"/>
                <w:i/>
                <w:sz w:val="22"/>
                <w:szCs w:val="22"/>
                <w:vertAlign w:val="subscript"/>
              </w:rPr>
              <w:t>t</w:t>
            </w:r>
          </w:p>
        </w:tc>
        <w:tc>
          <w:tcPr>
            <w:tcW w:w="0" w:type="auto"/>
            <w:shd w:val="clear" w:color="auto" w:fill="auto"/>
            <w:vAlign w:val="center"/>
          </w:tcPr>
          <w:p w14:paraId="575D7835" w14:textId="264BA521" w:rsidR="006A7D43" w:rsidRPr="00AA745A" w:rsidRDefault="006A7D43" w:rsidP="004061BB">
            <w:pPr>
              <w:keepNext/>
              <w:keepLines/>
              <w:rPr>
                <w:rFonts w:ascii="Arial" w:hAnsi="Arial" w:cs="Arial"/>
                <w:sz w:val="20"/>
                <w:szCs w:val="20"/>
              </w:rPr>
            </w:pPr>
            <w:r w:rsidRPr="00AA745A">
              <w:rPr>
                <w:rFonts w:ascii="Arial" w:hAnsi="Arial" w:cs="Arial"/>
                <w:sz w:val="20"/>
                <w:szCs w:val="20"/>
              </w:rPr>
              <w:t>an indicator variable for program event day</w:t>
            </w:r>
            <w:r>
              <w:rPr>
                <w:rFonts w:ascii="Arial" w:hAnsi="Arial" w:cs="Arial"/>
                <w:sz w:val="20"/>
                <w:szCs w:val="20"/>
              </w:rPr>
              <w:t>s</w:t>
            </w:r>
          </w:p>
        </w:tc>
      </w:tr>
      <w:tr w:rsidR="006A7D43" w14:paraId="0F7582EE" w14:textId="77777777" w:rsidTr="004061BB">
        <w:trPr>
          <w:jc w:val="center"/>
        </w:trPr>
        <w:tc>
          <w:tcPr>
            <w:tcW w:w="0" w:type="auto"/>
            <w:shd w:val="clear" w:color="auto" w:fill="auto"/>
            <w:vAlign w:val="center"/>
          </w:tcPr>
          <w:p w14:paraId="2969236F" w14:textId="19AA6650" w:rsidR="006A7D43" w:rsidRPr="00AA745A" w:rsidRDefault="006A7D43" w:rsidP="004061BB">
            <w:pPr>
              <w:keepNext/>
              <w:keepLines/>
              <w:jc w:val="center"/>
              <w:rPr>
                <w:rFonts w:ascii="Arial" w:hAnsi="Arial" w:cs="Arial"/>
                <w:i/>
                <w:sz w:val="20"/>
                <w:szCs w:val="20"/>
              </w:rPr>
            </w:pPr>
            <w:r w:rsidRPr="006F02FD">
              <w:rPr>
                <w:rFonts w:ascii="Times New Roman" w:hAnsi="Times New Roman"/>
                <w:i/>
              </w:rPr>
              <w:t>E</w:t>
            </w:r>
          </w:p>
        </w:tc>
        <w:tc>
          <w:tcPr>
            <w:tcW w:w="0" w:type="auto"/>
            <w:shd w:val="clear" w:color="auto" w:fill="auto"/>
            <w:vAlign w:val="center"/>
          </w:tcPr>
          <w:p w14:paraId="418110FD" w14:textId="2B4BC611" w:rsidR="006A7D43" w:rsidRPr="00AA745A" w:rsidRDefault="006A7D43" w:rsidP="004061BB">
            <w:pPr>
              <w:keepNext/>
              <w:keepLines/>
              <w:rPr>
                <w:rFonts w:ascii="Arial" w:hAnsi="Arial" w:cs="Arial"/>
                <w:sz w:val="20"/>
                <w:szCs w:val="20"/>
              </w:rPr>
            </w:pPr>
            <w:r w:rsidRPr="00AA745A">
              <w:rPr>
                <w:rFonts w:ascii="Arial" w:hAnsi="Arial" w:cs="Arial"/>
                <w:sz w:val="20"/>
                <w:szCs w:val="20"/>
              </w:rPr>
              <w:t xml:space="preserve">the number of </w:t>
            </w:r>
            <w:r>
              <w:rPr>
                <w:rFonts w:ascii="Arial" w:hAnsi="Arial" w:cs="Arial"/>
                <w:sz w:val="20"/>
                <w:szCs w:val="20"/>
              </w:rPr>
              <w:t xml:space="preserve">program </w:t>
            </w:r>
            <w:r w:rsidRPr="00AA745A">
              <w:rPr>
                <w:rFonts w:ascii="Arial" w:hAnsi="Arial" w:cs="Arial"/>
                <w:sz w:val="20"/>
                <w:szCs w:val="20"/>
              </w:rPr>
              <w:t xml:space="preserve">event days that occurred during the program year </w:t>
            </w:r>
          </w:p>
        </w:tc>
      </w:tr>
      <w:tr w:rsidR="006A7D43" w14:paraId="19A7FE1B" w14:textId="77777777" w:rsidTr="004061BB">
        <w:trPr>
          <w:jc w:val="center"/>
        </w:trPr>
        <w:tc>
          <w:tcPr>
            <w:tcW w:w="0" w:type="auto"/>
            <w:shd w:val="clear" w:color="auto" w:fill="auto"/>
            <w:vAlign w:val="center"/>
          </w:tcPr>
          <w:p w14:paraId="248AED61" w14:textId="212AB4A0" w:rsidR="006A7D43" w:rsidRPr="00AA745A" w:rsidRDefault="006A7D43" w:rsidP="004061BB">
            <w:pPr>
              <w:keepNext/>
              <w:keepLines/>
              <w:jc w:val="center"/>
              <w:rPr>
                <w:rFonts w:ascii="Arial" w:hAnsi="Arial" w:cs="Arial"/>
                <w:sz w:val="20"/>
                <w:szCs w:val="20"/>
              </w:rPr>
            </w:pPr>
            <w:r w:rsidRPr="00C62AEB">
              <w:rPr>
                <w:rFonts w:ascii="Times New Roman" w:hAnsi="Times New Roman"/>
                <w:position w:val="-14"/>
              </w:rPr>
              <w:object w:dxaOrig="1180" w:dyaOrig="400" w14:anchorId="5DE123E3">
                <v:shape id="_x0000_i1028" type="#_x0000_t75" style="width:57.75pt;height:22.5pt" o:ole="">
                  <v:imagedata r:id="rId21" o:title=""/>
                </v:shape>
                <o:OLEObject Type="Embed" ProgID="Equation.3" ShapeID="_x0000_i1028" DrawAspect="Content" ObjectID="_1583832937" r:id="rId32"/>
              </w:object>
            </w:r>
          </w:p>
        </w:tc>
        <w:tc>
          <w:tcPr>
            <w:tcW w:w="0" w:type="auto"/>
            <w:shd w:val="clear" w:color="auto" w:fill="auto"/>
            <w:vAlign w:val="center"/>
          </w:tcPr>
          <w:p w14:paraId="00C17B68" w14:textId="4AA9436A" w:rsidR="006A7D43" w:rsidRPr="00AA745A" w:rsidRDefault="006A7D43" w:rsidP="004061BB">
            <w:pPr>
              <w:keepNext/>
              <w:keepLines/>
              <w:rPr>
                <w:rFonts w:ascii="Arial" w:hAnsi="Arial" w:cs="Arial"/>
                <w:sz w:val="20"/>
                <w:szCs w:val="20"/>
              </w:rPr>
            </w:pPr>
            <w:r>
              <w:rPr>
                <w:rFonts w:ascii="Arial" w:hAnsi="Arial" w:cs="Arial"/>
                <w:sz w:val="20"/>
                <w:szCs w:val="20"/>
              </w:rPr>
              <w:t>an indicator variable</w:t>
            </w:r>
            <w:r w:rsidRPr="00AA745A">
              <w:rPr>
                <w:rFonts w:ascii="Arial" w:hAnsi="Arial" w:cs="Arial"/>
                <w:sz w:val="20"/>
                <w:szCs w:val="20"/>
              </w:rPr>
              <w:t xml:space="preserve"> </w:t>
            </w:r>
            <w:r>
              <w:rPr>
                <w:rFonts w:ascii="Arial" w:hAnsi="Arial" w:cs="Arial"/>
                <w:sz w:val="20"/>
                <w:szCs w:val="20"/>
              </w:rPr>
              <w:t xml:space="preserve">for </w:t>
            </w:r>
            <w:r w:rsidRPr="00AA745A">
              <w:rPr>
                <w:rFonts w:ascii="Arial" w:hAnsi="Arial" w:cs="Arial"/>
                <w:sz w:val="20"/>
                <w:szCs w:val="20"/>
              </w:rPr>
              <w:t>event day</w:t>
            </w:r>
            <w:r>
              <w:rPr>
                <w:rFonts w:ascii="Arial" w:hAnsi="Arial" w:cs="Arial"/>
                <w:sz w:val="20"/>
                <w:szCs w:val="20"/>
              </w:rPr>
              <w:t xml:space="preserve"> </w:t>
            </w:r>
            <w:r w:rsidRPr="00573D41">
              <w:rPr>
                <w:rFonts w:ascii="Times New Roman" w:hAnsi="Times New Roman"/>
                <w:i/>
              </w:rPr>
              <w:t>DR</w:t>
            </w:r>
            <w:r w:rsidRPr="00AA745A">
              <w:rPr>
                <w:rFonts w:ascii="Arial" w:hAnsi="Arial" w:cs="Arial"/>
                <w:sz w:val="20"/>
                <w:szCs w:val="20"/>
              </w:rPr>
              <w:t xml:space="preserve"> of other demand response program</w:t>
            </w:r>
            <w:r>
              <w:rPr>
                <w:rFonts w:ascii="Arial" w:hAnsi="Arial" w:cs="Arial"/>
                <w:sz w:val="20"/>
                <w:szCs w:val="20"/>
              </w:rPr>
              <w:t>s</w:t>
            </w:r>
            <w:r w:rsidRPr="00AA745A">
              <w:rPr>
                <w:rFonts w:ascii="Arial" w:hAnsi="Arial" w:cs="Arial"/>
                <w:sz w:val="20"/>
                <w:szCs w:val="20"/>
              </w:rPr>
              <w:t xml:space="preserve"> in which the customer is enrolled </w:t>
            </w:r>
            <w:r>
              <w:rPr>
                <w:rFonts w:ascii="Arial" w:hAnsi="Arial" w:cs="Arial"/>
                <w:sz w:val="20"/>
                <w:szCs w:val="20"/>
              </w:rPr>
              <w:t xml:space="preserve">(e.g. </w:t>
            </w:r>
            <w:r w:rsidRPr="00573D41">
              <w:rPr>
                <w:rFonts w:ascii="Times New Roman" w:hAnsi="Times New Roman"/>
                <w:i/>
              </w:rPr>
              <w:t>DR</w:t>
            </w:r>
            <w:r>
              <w:rPr>
                <w:rFonts w:ascii="Arial" w:hAnsi="Arial" w:cs="Arial"/>
                <w:sz w:val="20"/>
                <w:szCs w:val="20"/>
              </w:rPr>
              <w:t xml:space="preserve"> = DBP Event 1, DBP Event 2, ...)</w:t>
            </w:r>
          </w:p>
        </w:tc>
      </w:tr>
      <w:tr w:rsidR="006A7D43" w14:paraId="49C850E4" w14:textId="77777777" w:rsidTr="004061BB">
        <w:trPr>
          <w:jc w:val="center"/>
        </w:trPr>
        <w:tc>
          <w:tcPr>
            <w:tcW w:w="0" w:type="auto"/>
            <w:shd w:val="clear" w:color="auto" w:fill="auto"/>
            <w:vAlign w:val="center"/>
          </w:tcPr>
          <w:p w14:paraId="5CCC0390" w14:textId="498D1D7D" w:rsidR="006A7D43" w:rsidRPr="00AA745A" w:rsidRDefault="006A7D43" w:rsidP="004061BB">
            <w:pPr>
              <w:keepNext/>
              <w:keepLines/>
              <w:jc w:val="center"/>
              <w:rPr>
                <w:rFonts w:ascii="Arial" w:hAnsi="Arial" w:cs="Arial"/>
                <w:i/>
                <w:sz w:val="20"/>
                <w:szCs w:val="20"/>
              </w:rPr>
            </w:pPr>
            <w:r w:rsidRPr="006F02FD">
              <w:rPr>
                <w:rFonts w:ascii="Times New Roman" w:hAnsi="Times New Roman"/>
                <w:i/>
              </w:rPr>
              <w:t>Weather</w:t>
            </w:r>
            <w:r>
              <w:rPr>
                <w:rFonts w:ascii="Times New Roman" w:hAnsi="Times New Roman"/>
                <w:i/>
                <w:sz w:val="22"/>
                <w:szCs w:val="22"/>
                <w:vertAlign w:val="subscript"/>
              </w:rPr>
              <w:t>t</w:t>
            </w:r>
          </w:p>
        </w:tc>
        <w:tc>
          <w:tcPr>
            <w:tcW w:w="0" w:type="auto"/>
            <w:shd w:val="clear" w:color="auto" w:fill="auto"/>
            <w:vAlign w:val="center"/>
          </w:tcPr>
          <w:p w14:paraId="19B181AC" w14:textId="36FF0DA1" w:rsidR="006A7D43" w:rsidRPr="00AA745A" w:rsidRDefault="006A7D43" w:rsidP="004061BB">
            <w:pPr>
              <w:keepNext/>
              <w:keepLines/>
              <w:rPr>
                <w:rFonts w:ascii="Arial" w:hAnsi="Arial" w:cs="Arial"/>
                <w:sz w:val="20"/>
                <w:szCs w:val="20"/>
              </w:rPr>
            </w:pPr>
            <w:r w:rsidRPr="00AA745A">
              <w:rPr>
                <w:rFonts w:ascii="Arial" w:hAnsi="Arial" w:cs="Arial"/>
                <w:sz w:val="20"/>
                <w:szCs w:val="20"/>
              </w:rPr>
              <w:t xml:space="preserve">the weather variables selected using our model screening process </w:t>
            </w:r>
          </w:p>
        </w:tc>
      </w:tr>
      <w:tr w:rsidR="006A7D43" w14:paraId="36AD1658" w14:textId="77777777" w:rsidTr="004061BB">
        <w:trPr>
          <w:jc w:val="center"/>
        </w:trPr>
        <w:tc>
          <w:tcPr>
            <w:tcW w:w="0" w:type="auto"/>
            <w:shd w:val="clear" w:color="auto" w:fill="auto"/>
            <w:vAlign w:val="center"/>
          </w:tcPr>
          <w:p w14:paraId="4CD23D0F" w14:textId="75827F6E" w:rsidR="006A7D43" w:rsidRPr="00AA745A" w:rsidRDefault="006A7D43" w:rsidP="004061BB">
            <w:pPr>
              <w:keepNext/>
              <w:keepLines/>
              <w:jc w:val="center"/>
              <w:rPr>
                <w:rFonts w:ascii="Arial" w:hAnsi="Arial" w:cs="Arial"/>
                <w:sz w:val="20"/>
                <w:szCs w:val="20"/>
              </w:rPr>
            </w:pPr>
            <w:r>
              <w:rPr>
                <w:rFonts w:ascii="Times New Roman" w:hAnsi="Times New Roman"/>
                <w:i/>
              </w:rPr>
              <w:t>DTYPE</w:t>
            </w:r>
            <w:r>
              <w:rPr>
                <w:rFonts w:ascii="Times New Roman" w:hAnsi="Times New Roman"/>
                <w:i/>
                <w:sz w:val="22"/>
                <w:szCs w:val="22"/>
                <w:vertAlign w:val="subscript"/>
              </w:rPr>
              <w:t>j,t</w:t>
            </w:r>
          </w:p>
        </w:tc>
        <w:tc>
          <w:tcPr>
            <w:tcW w:w="0" w:type="auto"/>
            <w:shd w:val="clear" w:color="auto" w:fill="auto"/>
            <w:vAlign w:val="center"/>
          </w:tcPr>
          <w:p w14:paraId="387D36D3" w14:textId="2FBAB368" w:rsidR="006A7D43" w:rsidRPr="00AA745A" w:rsidRDefault="006A7D43" w:rsidP="004061BB">
            <w:pPr>
              <w:keepNext/>
              <w:keepLines/>
              <w:rPr>
                <w:rFonts w:ascii="Arial" w:hAnsi="Arial" w:cs="Arial"/>
                <w:sz w:val="20"/>
                <w:szCs w:val="20"/>
              </w:rPr>
            </w:pPr>
            <w:r>
              <w:rPr>
                <w:rFonts w:ascii="Arial" w:hAnsi="Arial" w:cs="Arial"/>
                <w:sz w:val="20"/>
                <w:szCs w:val="20"/>
              </w:rPr>
              <w:t>a series of indicator</w:t>
            </w:r>
            <w:r w:rsidRPr="00AA745A">
              <w:rPr>
                <w:rFonts w:ascii="Arial" w:hAnsi="Arial" w:cs="Arial"/>
                <w:sz w:val="20"/>
                <w:szCs w:val="20"/>
              </w:rPr>
              <w:t xml:space="preserve"> variables for each day of the week</w:t>
            </w:r>
          </w:p>
        </w:tc>
      </w:tr>
      <w:tr w:rsidR="006A7D43" w14:paraId="0C627BA9" w14:textId="77777777" w:rsidTr="004061BB">
        <w:trPr>
          <w:jc w:val="center"/>
        </w:trPr>
        <w:tc>
          <w:tcPr>
            <w:tcW w:w="0" w:type="auto"/>
            <w:shd w:val="clear" w:color="auto" w:fill="auto"/>
            <w:vAlign w:val="center"/>
          </w:tcPr>
          <w:p w14:paraId="293EF1B5" w14:textId="059192E6" w:rsidR="006A7D43" w:rsidRPr="00AA745A" w:rsidRDefault="006A7D43" w:rsidP="004061BB">
            <w:pPr>
              <w:keepNext/>
              <w:keepLines/>
              <w:jc w:val="center"/>
              <w:rPr>
                <w:rFonts w:ascii="Arial" w:hAnsi="Arial" w:cs="Arial"/>
                <w:sz w:val="20"/>
                <w:szCs w:val="20"/>
              </w:rPr>
            </w:pPr>
            <w:r w:rsidRPr="006F02FD">
              <w:rPr>
                <w:rFonts w:ascii="Times New Roman" w:hAnsi="Times New Roman"/>
                <w:i/>
              </w:rPr>
              <w:t>MON</w:t>
            </w:r>
            <w:r>
              <w:rPr>
                <w:rFonts w:ascii="Times New Roman" w:hAnsi="Times New Roman"/>
                <w:i/>
                <w:sz w:val="22"/>
                <w:szCs w:val="22"/>
                <w:vertAlign w:val="subscript"/>
              </w:rPr>
              <w:t>t</w:t>
            </w:r>
            <w:r w:rsidRPr="0048227B">
              <w:rPr>
                <w:rFonts w:ascii="Arial" w:hAnsi="Arial" w:cs="Arial"/>
                <w:i/>
                <w:sz w:val="20"/>
                <w:szCs w:val="20"/>
              </w:rPr>
              <w:t>,</w:t>
            </w:r>
            <w:r>
              <w:rPr>
                <w:rFonts w:ascii="Times New Roman" w:hAnsi="Times New Roman"/>
                <w:i/>
              </w:rPr>
              <w:t xml:space="preserve"> FRI</w:t>
            </w:r>
            <w:r>
              <w:rPr>
                <w:rFonts w:ascii="Times New Roman" w:hAnsi="Times New Roman"/>
                <w:i/>
                <w:sz w:val="22"/>
                <w:szCs w:val="22"/>
                <w:vertAlign w:val="subscript"/>
              </w:rPr>
              <w:t>t</w:t>
            </w:r>
            <w:r w:rsidRPr="0048227B">
              <w:rPr>
                <w:rFonts w:ascii="Arial" w:hAnsi="Arial" w:cs="Arial"/>
                <w:sz w:val="20"/>
                <w:szCs w:val="20"/>
              </w:rPr>
              <w:t>,</w:t>
            </w:r>
          </w:p>
        </w:tc>
        <w:tc>
          <w:tcPr>
            <w:tcW w:w="0" w:type="auto"/>
            <w:shd w:val="clear" w:color="auto" w:fill="auto"/>
            <w:vAlign w:val="center"/>
          </w:tcPr>
          <w:p w14:paraId="6ECB6805" w14:textId="4406CA4A" w:rsidR="006A7D43" w:rsidRPr="00AA745A" w:rsidRDefault="006A7D43" w:rsidP="004061BB">
            <w:pPr>
              <w:keepNext/>
              <w:keepLines/>
              <w:rPr>
                <w:rFonts w:ascii="Arial" w:hAnsi="Arial" w:cs="Arial"/>
                <w:sz w:val="20"/>
                <w:szCs w:val="20"/>
              </w:rPr>
            </w:pPr>
            <w:r>
              <w:rPr>
                <w:rFonts w:ascii="Arial" w:hAnsi="Arial" w:cs="Arial"/>
                <w:sz w:val="20"/>
                <w:szCs w:val="20"/>
              </w:rPr>
              <w:t>indicator</w:t>
            </w:r>
            <w:r w:rsidRPr="00AA745A">
              <w:rPr>
                <w:rFonts w:ascii="Arial" w:hAnsi="Arial" w:cs="Arial"/>
                <w:sz w:val="20"/>
                <w:szCs w:val="20"/>
              </w:rPr>
              <w:t xml:space="preserve"> variable</w:t>
            </w:r>
            <w:r>
              <w:rPr>
                <w:rFonts w:ascii="Arial" w:hAnsi="Arial" w:cs="Arial"/>
                <w:sz w:val="20"/>
                <w:szCs w:val="20"/>
              </w:rPr>
              <w:t>s</w:t>
            </w:r>
            <w:r w:rsidRPr="00AA745A">
              <w:rPr>
                <w:rFonts w:ascii="Arial" w:hAnsi="Arial" w:cs="Arial"/>
                <w:sz w:val="20"/>
                <w:szCs w:val="20"/>
              </w:rPr>
              <w:t xml:space="preserve"> for Monday</w:t>
            </w:r>
            <w:r>
              <w:rPr>
                <w:rFonts w:ascii="Arial" w:hAnsi="Arial" w:cs="Arial"/>
                <w:sz w:val="20"/>
                <w:szCs w:val="20"/>
              </w:rPr>
              <w:t xml:space="preserve"> and Friday</w:t>
            </w:r>
          </w:p>
        </w:tc>
      </w:tr>
      <w:tr w:rsidR="006A7D43" w14:paraId="3177EC57" w14:textId="77777777" w:rsidTr="00CB3E70">
        <w:trPr>
          <w:jc w:val="center"/>
        </w:trPr>
        <w:tc>
          <w:tcPr>
            <w:tcW w:w="1895" w:type="dxa"/>
            <w:shd w:val="clear" w:color="auto" w:fill="auto"/>
            <w:vAlign w:val="center"/>
          </w:tcPr>
          <w:p w14:paraId="6B7A9C87" w14:textId="24CB9F8B" w:rsidR="006A7D43" w:rsidRPr="00AA745A" w:rsidRDefault="006A7D43" w:rsidP="00CB3E70">
            <w:pPr>
              <w:keepNext/>
              <w:keepLines/>
              <w:jc w:val="center"/>
              <w:rPr>
                <w:rFonts w:ascii="Arial" w:hAnsi="Arial" w:cs="Arial"/>
                <w:b/>
                <w:sz w:val="20"/>
                <w:szCs w:val="20"/>
              </w:rPr>
            </w:pPr>
            <w:r>
              <w:rPr>
                <w:rFonts w:ascii="Times New Roman" w:hAnsi="Times New Roman"/>
                <w:i/>
              </w:rPr>
              <w:t>MONTH</w:t>
            </w:r>
            <w:r>
              <w:rPr>
                <w:rFonts w:ascii="Times New Roman" w:hAnsi="Times New Roman"/>
                <w:i/>
                <w:sz w:val="22"/>
                <w:szCs w:val="22"/>
                <w:vertAlign w:val="subscript"/>
              </w:rPr>
              <w:t>j,t</w:t>
            </w:r>
          </w:p>
        </w:tc>
        <w:tc>
          <w:tcPr>
            <w:tcW w:w="6735" w:type="dxa"/>
            <w:shd w:val="clear" w:color="auto" w:fill="auto"/>
            <w:vAlign w:val="center"/>
          </w:tcPr>
          <w:p w14:paraId="59D3E7FE" w14:textId="4B3112AB" w:rsidR="006A7D43" w:rsidRPr="00AA745A" w:rsidRDefault="006A7D43" w:rsidP="006A7D43">
            <w:pPr>
              <w:keepNext/>
              <w:keepLines/>
              <w:rPr>
                <w:rFonts w:ascii="Arial" w:hAnsi="Arial" w:cs="Arial"/>
                <w:b/>
                <w:sz w:val="20"/>
                <w:szCs w:val="20"/>
              </w:rPr>
            </w:pPr>
            <w:r w:rsidRPr="00AA745A">
              <w:rPr>
                <w:rFonts w:ascii="Arial" w:hAnsi="Arial" w:cs="Arial"/>
                <w:sz w:val="20"/>
                <w:szCs w:val="20"/>
              </w:rPr>
              <w:t xml:space="preserve">a series of </w:t>
            </w:r>
            <w:r>
              <w:rPr>
                <w:rFonts w:ascii="Arial" w:hAnsi="Arial" w:cs="Arial"/>
                <w:sz w:val="20"/>
                <w:szCs w:val="20"/>
              </w:rPr>
              <w:t>indicator</w:t>
            </w:r>
            <w:r w:rsidRPr="00AA745A">
              <w:rPr>
                <w:rFonts w:ascii="Arial" w:hAnsi="Arial" w:cs="Arial"/>
                <w:sz w:val="20"/>
                <w:szCs w:val="20"/>
              </w:rPr>
              <w:t xml:space="preserve"> variables for each month </w:t>
            </w:r>
          </w:p>
        </w:tc>
      </w:tr>
      <w:tr w:rsidR="006A7D43" w14:paraId="3CE2F7D5" w14:textId="77777777" w:rsidTr="006A7D43">
        <w:trPr>
          <w:trHeight w:val="331"/>
          <w:jc w:val="center"/>
        </w:trPr>
        <w:tc>
          <w:tcPr>
            <w:tcW w:w="1895" w:type="dxa"/>
            <w:shd w:val="clear" w:color="auto" w:fill="auto"/>
            <w:vAlign w:val="center"/>
          </w:tcPr>
          <w:p w14:paraId="2ACCC2C4" w14:textId="6DC37382" w:rsidR="006A7D43" w:rsidRPr="006F02FD" w:rsidRDefault="006A7D43" w:rsidP="00CB3E70">
            <w:pPr>
              <w:keepNext/>
              <w:keepLines/>
              <w:jc w:val="center"/>
              <w:rPr>
                <w:rFonts w:ascii="Times New Roman" w:hAnsi="Times New Roman"/>
              </w:rPr>
            </w:pPr>
            <w:r w:rsidRPr="006F02FD">
              <w:rPr>
                <w:rFonts w:ascii="Times New Roman" w:hAnsi="Times New Roman"/>
                <w:i/>
              </w:rPr>
              <w:t>e</w:t>
            </w:r>
            <w:r>
              <w:rPr>
                <w:rFonts w:ascii="Times New Roman" w:hAnsi="Times New Roman"/>
                <w:i/>
                <w:sz w:val="22"/>
                <w:szCs w:val="22"/>
                <w:vertAlign w:val="subscript"/>
              </w:rPr>
              <w:t>t</w:t>
            </w:r>
          </w:p>
        </w:tc>
        <w:tc>
          <w:tcPr>
            <w:tcW w:w="6735" w:type="dxa"/>
            <w:shd w:val="clear" w:color="auto" w:fill="auto"/>
            <w:vAlign w:val="center"/>
          </w:tcPr>
          <w:p w14:paraId="0C5891ED" w14:textId="0B8BD58C" w:rsidR="006A7D43" w:rsidRPr="00AA745A" w:rsidRDefault="006A7D43" w:rsidP="00CB3E70">
            <w:pPr>
              <w:keepNext/>
              <w:keepLines/>
              <w:rPr>
                <w:rFonts w:ascii="Arial" w:hAnsi="Arial" w:cs="Arial"/>
                <w:sz w:val="20"/>
                <w:szCs w:val="20"/>
              </w:rPr>
            </w:pPr>
            <w:r w:rsidRPr="00AA745A">
              <w:rPr>
                <w:rFonts w:ascii="Arial" w:hAnsi="Arial" w:cs="Arial"/>
                <w:sz w:val="20"/>
                <w:szCs w:val="20"/>
              </w:rPr>
              <w:t>the error term</w:t>
            </w:r>
          </w:p>
        </w:tc>
      </w:tr>
    </w:tbl>
    <w:p w14:paraId="1D8D2E4E" w14:textId="77777777" w:rsidR="003E718A" w:rsidRDefault="003E718A" w:rsidP="003E718A"/>
    <w:p w14:paraId="38959D24" w14:textId="248FCD2A" w:rsidR="00860E19" w:rsidRDefault="00860E19" w:rsidP="003E718A">
      <w:r w:rsidRPr="00D738F0">
        <w:t>Similar</w:t>
      </w:r>
      <w:r>
        <w:t xml:space="preserve"> to the </w:t>
      </w:r>
      <w:r>
        <w:rPr>
          <w:i/>
        </w:rPr>
        <w:t xml:space="preserve">ex-post </w:t>
      </w:r>
      <w:r>
        <w:t xml:space="preserve">analysis, we tested a variety of weather variables included in the above regression equation to determine the best specification </w:t>
      </w:r>
      <w:r w:rsidR="00D738F0">
        <w:t xml:space="preserve">for </w:t>
      </w:r>
      <w:r>
        <w:t>explain</w:t>
      </w:r>
      <w:r w:rsidR="00D738F0">
        <w:t>ing</w:t>
      </w:r>
      <w:r>
        <w:t xml:space="preserve"> usage on event-like non-event days. </w:t>
      </w:r>
      <w:r w:rsidR="00A311D7">
        <w:t xml:space="preserve">Each specification is tested separately by customer group, defined by industry group and weather sensitivity. </w:t>
      </w:r>
      <w:r w:rsidR="00740441">
        <w:t>This process and its results are explained in Appendix A.</w:t>
      </w:r>
    </w:p>
    <w:p w14:paraId="6F08805D" w14:textId="77777777" w:rsidR="00A311D7" w:rsidRPr="00D738F0" w:rsidRDefault="00A311D7" w:rsidP="003E718A">
      <w:pPr>
        <w:rPr>
          <w:i/>
        </w:rPr>
      </w:pPr>
    </w:p>
    <w:p w14:paraId="4C361CCF" w14:textId="4FAD78B1" w:rsidR="003E718A" w:rsidRDefault="003E718A" w:rsidP="003E718A">
      <w:r>
        <w:t xml:space="preserve">Once these models were estimated, we simulated 24-hour load profiles for each required scenario. The typical event day was assumed to occur in August. </w:t>
      </w:r>
      <w:r w:rsidR="00C35C2F">
        <w:t xml:space="preserve">In </w:t>
      </w:r>
      <w:r w:rsidR="009B26D7">
        <w:t>2014</w:t>
      </w:r>
      <w:r w:rsidR="00C35C2F">
        <w:t>,</w:t>
      </w:r>
      <w:r w:rsidR="004061BB">
        <w:t xml:space="preserve"> two sets of </w:t>
      </w:r>
      <w:r>
        <w:t>1-in-2 and 1-in-10 weather years</w:t>
      </w:r>
      <w:r w:rsidR="00C35C2F">
        <w:t xml:space="preserve"> were introduced in the load impact analyses</w:t>
      </w:r>
      <w:r w:rsidR="004061BB">
        <w:t xml:space="preserve">. The sets are differentiated according to whether they correspond to utility-specific conditions </w:t>
      </w:r>
      <w:r w:rsidR="00D1316A">
        <w:t xml:space="preserve">or CAISO-coincident conditions. The weather conditions used in prior evaluations corresponded to the utility-specific scenarios. </w:t>
      </w:r>
    </w:p>
    <w:p w14:paraId="52FC0D0F" w14:textId="77777777" w:rsidR="003E718A" w:rsidRDefault="003E718A" w:rsidP="003E718A"/>
    <w:p w14:paraId="2A8DECD1" w14:textId="7DC07733" w:rsidR="003E718A" w:rsidRDefault="003E718A" w:rsidP="003E718A">
      <w:pPr>
        <w:numPr>
          <w:ilvl w:val="0"/>
          <w:numId w:val="11"/>
        </w:numPr>
      </w:pPr>
      <w:r w:rsidRPr="00AA5190">
        <w:rPr>
          <w:i/>
        </w:rPr>
        <w:t>Calculate</w:t>
      </w:r>
      <w:r>
        <w:rPr>
          <w:i/>
        </w:rPr>
        <w:t xml:space="preserve"> forecast</w:t>
      </w:r>
      <w:r w:rsidRPr="00AA5190">
        <w:rPr>
          <w:i/>
        </w:rPr>
        <w:t xml:space="preserve"> load impacts</w:t>
      </w:r>
    </w:p>
    <w:p w14:paraId="4268DAEF" w14:textId="4A56FC98" w:rsidR="00191975" w:rsidRDefault="00191975" w:rsidP="00191975">
      <w:pPr>
        <w:tabs>
          <w:tab w:val="left" w:pos="4140"/>
        </w:tabs>
      </w:pPr>
      <w:r>
        <w:t xml:space="preserve">Each service account’s </w:t>
      </w:r>
      <w:r w:rsidR="00D738F0">
        <w:t xml:space="preserve">FSL </w:t>
      </w:r>
      <w:r>
        <w:t>achievement rate is defined as the estimated load impact divided by the difference between the reference load and the FSL. A result of 100 percent implies that the customer dropped its load exactly to its FSL. Values greater than 100 percent imply event-day loads lower than the FSL, and values less than 100 percent imply event-day loads higher than the FSL.</w:t>
      </w:r>
      <w:r w:rsidR="009B26D7">
        <w:rPr>
          <w:rStyle w:val="FootnoteReference"/>
        </w:rPr>
        <w:footnoteReference w:id="14"/>
      </w:r>
      <w:r>
        <w:t xml:space="preserve"> </w:t>
      </w:r>
    </w:p>
    <w:p w14:paraId="4BA3D7CB" w14:textId="77777777" w:rsidR="00191975" w:rsidRDefault="00191975" w:rsidP="00191975">
      <w:pPr>
        <w:tabs>
          <w:tab w:val="left" w:pos="4140"/>
        </w:tabs>
      </w:pPr>
    </w:p>
    <w:p w14:paraId="614C2D0B" w14:textId="06C7A10B" w:rsidR="00191975" w:rsidRDefault="00191975" w:rsidP="00191975">
      <w:r>
        <w:t>The achievement rates are based on the estimates for the most recent observed event day. In consultation with the utilities, we determined that using a longer time period (</w:t>
      </w:r>
      <w:r w:rsidRPr="0028708F">
        <w:rPr>
          <w:i/>
        </w:rPr>
        <w:t>e.g.</w:t>
      </w:r>
      <w:r>
        <w:t xml:space="preserve">, three years of </w:t>
      </w:r>
      <w:r w:rsidRPr="0028708F">
        <w:rPr>
          <w:i/>
        </w:rPr>
        <w:t>ex</w:t>
      </w:r>
      <w:r w:rsidR="0028708F" w:rsidRPr="0028708F">
        <w:rPr>
          <w:i/>
        </w:rPr>
        <w:t>-</w:t>
      </w:r>
      <w:r w:rsidRPr="0028708F">
        <w:rPr>
          <w:i/>
        </w:rPr>
        <w:t>post</w:t>
      </w:r>
      <w:r>
        <w:t xml:space="preserve"> load impacts) was not appropriate for this program. Specifically, as customers experience events, they are re-tested if they fail to meet their </w:t>
      </w:r>
      <w:r>
        <w:lastRenderedPageBreak/>
        <w:t>obligation (</w:t>
      </w:r>
      <w:r w:rsidRPr="0028708F">
        <w:rPr>
          <w:i/>
        </w:rPr>
        <w:t>i.e.</w:t>
      </w:r>
      <w:r>
        <w:t xml:space="preserve">, reduce load to the FSL). If they continue to fail, their FSL is increased to the point at which the customer is expected to be able to comply. </w:t>
      </w:r>
      <w:r w:rsidR="00D738F0">
        <w:t xml:space="preserve">Therefore, </w:t>
      </w:r>
      <w:r>
        <w:t xml:space="preserve">the most recent load impact estimates should provide a good indication of customer performance going forward. In addition, some program design changes make older load impacts less relevant as predictors of future performance. For example, </w:t>
      </w:r>
      <w:r w:rsidR="001C090F">
        <w:t xml:space="preserve">an </w:t>
      </w:r>
      <w:r>
        <w:t xml:space="preserve">increased </w:t>
      </w:r>
      <w:r w:rsidR="001C090F">
        <w:t xml:space="preserve">excess energy charge </w:t>
      </w:r>
      <w:r>
        <w:t xml:space="preserve">for non-compliance (and </w:t>
      </w:r>
      <w:r w:rsidR="001C090F">
        <w:t xml:space="preserve">a </w:t>
      </w:r>
      <w:r>
        <w:t xml:space="preserve">higher </w:t>
      </w:r>
      <w:r w:rsidR="001C090F">
        <w:t>excess energy charge</w:t>
      </w:r>
      <w:r>
        <w:t xml:space="preserve"> for failing to comply during re-test events) may make more recent performance rates higher than performance rates in the more distant past.</w:t>
      </w:r>
    </w:p>
    <w:p w14:paraId="127F5E2A" w14:textId="77777777" w:rsidR="00191975" w:rsidRDefault="00191975" w:rsidP="003E718A"/>
    <w:p w14:paraId="3ECA8065" w14:textId="5505D444" w:rsidR="003E718A" w:rsidRDefault="003E718A" w:rsidP="003E718A">
      <w:r>
        <w:t>From these customer-level forecasts of reference loads and load impacts, we form results for any given sub-group of customers (</w:t>
      </w:r>
      <w:r w:rsidRPr="0028708F">
        <w:rPr>
          <w:i/>
        </w:rPr>
        <w:t>e.g.</w:t>
      </w:r>
      <w:r>
        <w:t xml:space="preserve">, customers over 200 kW in size in the Greater Bay Area), by summing the reference loads and load impacts across the relevant customers. </w:t>
      </w:r>
    </w:p>
    <w:p w14:paraId="79AC6826" w14:textId="77777777" w:rsidR="003E718A" w:rsidRDefault="003E718A" w:rsidP="003E718A"/>
    <w:p w14:paraId="66246241" w14:textId="4B1E7A0D" w:rsidR="00191975" w:rsidRDefault="003E718A" w:rsidP="00191975">
      <w:r w:rsidRPr="00333C87">
        <w:t>Because the forecast event window (1:00 to 6:00 p.m. in April through October; and 4:00 to 9:00 p.m. in all other months) differs from the historical event window (</w:t>
      </w:r>
      <w:r w:rsidR="00191975" w:rsidRPr="00333C87">
        <w:t xml:space="preserve">which can vary across </w:t>
      </w:r>
      <w:r w:rsidR="00D738F0">
        <w:t xml:space="preserve">utilities and </w:t>
      </w:r>
      <w:r w:rsidR="00191975" w:rsidRPr="00333C87">
        <w:t>event days</w:t>
      </w:r>
      <w:r w:rsidRPr="00333C87">
        <w:t xml:space="preserve">), we needed to adjust the historical load impacts for use in the </w:t>
      </w:r>
      <w:r w:rsidRPr="0028708F">
        <w:rPr>
          <w:i/>
        </w:rPr>
        <w:t>ex</w:t>
      </w:r>
      <w:r w:rsidR="0028708F" w:rsidRPr="0028708F">
        <w:rPr>
          <w:i/>
        </w:rPr>
        <w:t>-</w:t>
      </w:r>
      <w:r w:rsidR="00333C87" w:rsidRPr="0028708F">
        <w:rPr>
          <w:i/>
        </w:rPr>
        <w:t>ante</w:t>
      </w:r>
      <w:r w:rsidR="00333C87">
        <w:t xml:space="preserve"> study. Load impacts are assumed to be zero until the hour prior to the beginning of the event, at which time we apply </w:t>
      </w:r>
      <w:r w:rsidR="00D738F0">
        <w:t xml:space="preserve">the customer’s </w:t>
      </w:r>
      <w:r w:rsidR="00333C87">
        <w:t>historical</w:t>
      </w:r>
      <w:r w:rsidR="00D738F0">
        <w:t xml:space="preserve"> FSL performance rate</w:t>
      </w:r>
      <w:r w:rsidR="00333C87">
        <w:t xml:space="preserve"> to the forecast window to best represent the pattern of customer response given the limitations of the observed events. We develop forecast load impacts through the end of the event day because customers load reductions often persist well after the end of the event hours.</w:t>
      </w:r>
    </w:p>
    <w:p w14:paraId="348617AB" w14:textId="2633FD4E" w:rsidR="003E718A" w:rsidRDefault="003E718A" w:rsidP="003E718A"/>
    <w:p w14:paraId="113CCBDF" w14:textId="33D3EACA" w:rsidR="003E718A" w:rsidRDefault="003E718A" w:rsidP="003E718A">
      <w:r>
        <w:t>The uncertainty-adjusted load impacts (i.e., the 10</w:t>
      </w:r>
      <w:r w:rsidRPr="00C87FDC">
        <w:rPr>
          <w:vertAlign w:val="superscript"/>
        </w:rPr>
        <w:t>th</w:t>
      </w:r>
      <w:r>
        <w:t>, 30</w:t>
      </w:r>
      <w:r w:rsidRPr="00C87FDC">
        <w:rPr>
          <w:vertAlign w:val="superscript"/>
        </w:rPr>
        <w:t>th</w:t>
      </w:r>
      <w:r>
        <w:t>, 50</w:t>
      </w:r>
      <w:r w:rsidRPr="00C87FDC">
        <w:rPr>
          <w:vertAlign w:val="superscript"/>
        </w:rPr>
        <w:t>th</w:t>
      </w:r>
      <w:r>
        <w:t>, 70</w:t>
      </w:r>
      <w:r w:rsidRPr="00C87FDC">
        <w:rPr>
          <w:vertAlign w:val="superscript"/>
        </w:rPr>
        <w:t>th</w:t>
      </w:r>
      <w:r>
        <w:t>, and 90</w:t>
      </w:r>
      <w:r w:rsidRPr="00C87FDC">
        <w:rPr>
          <w:vertAlign w:val="superscript"/>
        </w:rPr>
        <w:t>th</w:t>
      </w:r>
      <w:r>
        <w:t xml:space="preserve"> percentile scenarios of load impacts) are based on the </w:t>
      </w:r>
      <w:r w:rsidR="00721CA5">
        <w:t>standard errors associated with the estimated load impacts from the event day used to determine the customer’s event-day achievement rate</w:t>
      </w:r>
      <w:r w:rsidR="009F6BBC">
        <w:t>, scaled to account for the difference between observed and forecast enrollments</w:t>
      </w:r>
      <w:r w:rsidR="00721CA5">
        <w:t>.</w:t>
      </w:r>
      <w:r>
        <w:t xml:space="preserve"> The square of th</w:t>
      </w:r>
      <w:r w:rsidR="00721CA5">
        <w:t>ese standard errors</w:t>
      </w:r>
      <w:r>
        <w:t xml:space="preserve"> (</w:t>
      </w:r>
      <w:r w:rsidRPr="0028708F">
        <w:rPr>
          <w:i/>
        </w:rPr>
        <w:t>i.e.</w:t>
      </w:r>
      <w:r>
        <w:t xml:space="preserve">, the variance) is added across customers within each required subgroup. Each </w:t>
      </w:r>
      <w:r w:rsidR="005A5664">
        <w:t>uncertainty-adjusted scenario i</w:t>
      </w:r>
      <w:r>
        <w:t xml:space="preserve">s then calculated under the assumption that the load impacts are normally distributed with a mean equal to the total estimated load impact and a variance based on the </w:t>
      </w:r>
      <w:r w:rsidR="00721CA5">
        <w:t>standard errors in the estimated load impacts</w:t>
      </w:r>
      <w:r>
        <w:t>.</w:t>
      </w:r>
      <w:r w:rsidR="00B63101">
        <w:t xml:space="preserve"> The uncertainty-adjusted load impacts for the average event hour are based on the same </w:t>
      </w:r>
      <w:r w:rsidR="009F6BBC">
        <w:t xml:space="preserve">event-hour </w:t>
      </w:r>
      <w:r w:rsidR="00B63101">
        <w:t xml:space="preserve">standard errors used in the </w:t>
      </w:r>
      <w:r w:rsidR="009F6BBC" w:rsidRPr="0028708F">
        <w:rPr>
          <w:i/>
        </w:rPr>
        <w:t>ex</w:t>
      </w:r>
      <w:r w:rsidR="0028708F" w:rsidRPr="0028708F">
        <w:rPr>
          <w:i/>
        </w:rPr>
        <w:t>-</w:t>
      </w:r>
      <w:r w:rsidR="009F6BBC" w:rsidRPr="0028708F">
        <w:rPr>
          <w:i/>
        </w:rPr>
        <w:t>post</w:t>
      </w:r>
      <w:r w:rsidR="009F6BBC">
        <w:t xml:space="preserve"> study.</w:t>
      </w:r>
    </w:p>
    <w:p w14:paraId="6465F503" w14:textId="77777777" w:rsidR="003E718A" w:rsidRDefault="003E718A" w:rsidP="003E718A"/>
    <w:p w14:paraId="36756D79" w14:textId="7CFE115E" w:rsidR="003E718A" w:rsidRDefault="003E718A" w:rsidP="003E718A">
      <w:pPr>
        <w:numPr>
          <w:ilvl w:val="0"/>
          <w:numId w:val="11"/>
        </w:numPr>
      </w:pPr>
      <w:r w:rsidRPr="003A5FB4">
        <w:rPr>
          <w:i/>
        </w:rPr>
        <w:t xml:space="preserve">Apply </w:t>
      </w:r>
      <w:r w:rsidR="00721CA5">
        <w:rPr>
          <w:i/>
        </w:rPr>
        <w:t xml:space="preserve">achievement rates </w:t>
      </w:r>
      <w:r w:rsidRPr="003A5FB4">
        <w:rPr>
          <w:i/>
        </w:rPr>
        <w:t>to reference loads for each event scenario</w:t>
      </w:r>
      <w:r>
        <w:t xml:space="preserve">. </w:t>
      </w:r>
    </w:p>
    <w:p w14:paraId="51F59EB0" w14:textId="57FF2584" w:rsidR="003E718A" w:rsidRPr="005C35EB" w:rsidRDefault="003E718A" w:rsidP="003E718A">
      <w:r>
        <w:t xml:space="preserve">In this step, the </w:t>
      </w:r>
      <w:r w:rsidR="00721CA5">
        <w:t xml:space="preserve">customer-specific </w:t>
      </w:r>
      <w:r w:rsidR="00D738F0">
        <w:t xml:space="preserve">FSL </w:t>
      </w:r>
      <w:r w:rsidR="00721CA5">
        <w:t>achievement rates ar</w:t>
      </w:r>
      <w:r>
        <w:t>e applied to the reference loads for each scenario to produce all of the required estimated event-day loads and load impacts.</w:t>
      </w:r>
      <w:r w:rsidR="00294C20">
        <w:t xml:space="preserve"> For customers for which an achievement rate cannot be calculated, either because their reference loads were below their FSLs, the average achievement rate among all customers is used.</w:t>
      </w:r>
      <w:r>
        <w:t xml:space="preserve"> </w:t>
      </w:r>
      <w:r w:rsidR="005335FE">
        <w:t xml:space="preserve">The FSL achievement rate is assumed to be 100% for newly enrolled customers, as well as for customers that change their FSL in the beginning of 2018. </w:t>
      </w:r>
      <w:r w:rsidR="00C81717" w:rsidRPr="00E9179C">
        <w:t xml:space="preserve">The </w:t>
      </w:r>
      <w:r w:rsidR="00D738F0" w:rsidRPr="00D738F0">
        <w:rPr>
          <w:i/>
        </w:rPr>
        <w:t>ex-post</w:t>
      </w:r>
      <w:r w:rsidR="00D738F0">
        <w:t xml:space="preserve"> </w:t>
      </w:r>
      <w:r w:rsidR="00C81717" w:rsidRPr="00E9179C">
        <w:t xml:space="preserve">FSL achievement rates for each utility are </w:t>
      </w:r>
      <w:r w:rsidR="00D738F0">
        <w:t xml:space="preserve">summarized </w:t>
      </w:r>
      <w:r w:rsidR="00C81717" w:rsidRPr="00E9179C">
        <w:t xml:space="preserve">in Appendix B, </w:t>
      </w:r>
      <w:r w:rsidR="00C81717" w:rsidRPr="00E9179C">
        <w:lastRenderedPageBreak/>
        <w:t>with the results diffe</w:t>
      </w:r>
      <w:r w:rsidR="00412C5E" w:rsidRPr="00E9179C">
        <w:t xml:space="preserve">rentiated by industry group </w:t>
      </w:r>
      <w:r w:rsidR="00C81717" w:rsidRPr="00E9179C">
        <w:t>(</w:t>
      </w:r>
      <w:r w:rsidR="00412C5E" w:rsidRPr="00E9179C">
        <w:t xml:space="preserve">and </w:t>
      </w:r>
      <w:r w:rsidR="00C81717" w:rsidRPr="00E9179C">
        <w:t>hour relative to the called event window).</w:t>
      </w:r>
      <w:r>
        <w:br/>
      </w:r>
    </w:p>
    <w:p w14:paraId="56D596B6" w14:textId="77777777" w:rsidR="003E718A" w:rsidRDefault="003E718A" w:rsidP="003E718A">
      <w:pPr>
        <w:numPr>
          <w:ilvl w:val="0"/>
          <w:numId w:val="11"/>
        </w:numPr>
      </w:pPr>
      <w:r w:rsidRPr="00CA5D61">
        <w:rPr>
          <w:i/>
        </w:rPr>
        <w:t>Apply forecast enrollment</w:t>
      </w:r>
      <w:r>
        <w:rPr>
          <w:i/>
        </w:rPr>
        <w:t>s</w:t>
      </w:r>
      <w:r w:rsidRPr="00CA5D61">
        <w:rPr>
          <w:i/>
        </w:rPr>
        <w:t xml:space="preserve"> to produce program-level load impacts</w:t>
      </w:r>
      <w:r>
        <w:t xml:space="preserve">. </w:t>
      </w:r>
    </w:p>
    <w:p w14:paraId="5B03969D" w14:textId="722FB8DE" w:rsidR="003E718A" w:rsidRDefault="003E718A" w:rsidP="003E718A">
      <w:r>
        <w:t>The utilities provided enrollment forecasts. PG&amp;E provided monthly enrollments through 202</w:t>
      </w:r>
      <w:r w:rsidR="001761B0">
        <w:t>8</w:t>
      </w:r>
      <w:r>
        <w:t>, with separate enrollments provided at the program and portfolio level (</w:t>
      </w:r>
      <w:r w:rsidR="00F23AA7">
        <w:t>which are identical for BIP</w:t>
      </w:r>
      <w:r>
        <w:t>)</w:t>
      </w:r>
      <w:r w:rsidR="0019190A">
        <w:t>,</w:t>
      </w:r>
      <w:r>
        <w:t xml:space="preserve"> by LCA and size group. </w:t>
      </w:r>
      <w:r w:rsidRPr="006753ED">
        <w:t xml:space="preserve">SCE provided </w:t>
      </w:r>
      <w:r w:rsidR="00C03752">
        <w:t>annual enrollments</w:t>
      </w:r>
      <w:r w:rsidR="0019190A">
        <w:t xml:space="preserve"> by notice level (15 versus 30 minute)</w:t>
      </w:r>
      <w:r w:rsidR="00C03752">
        <w:t xml:space="preserve"> for 201</w:t>
      </w:r>
      <w:r w:rsidR="001761B0">
        <w:t>8</w:t>
      </w:r>
      <w:r w:rsidR="00C03752">
        <w:t xml:space="preserve"> t</w:t>
      </w:r>
      <w:r w:rsidR="001761B0">
        <w:t>hrough 2028</w:t>
      </w:r>
      <w:r w:rsidRPr="006753ED">
        <w:t xml:space="preserve">. </w:t>
      </w:r>
      <w:r w:rsidR="006753ED" w:rsidRPr="006753ED">
        <w:t xml:space="preserve">We assume that the </w:t>
      </w:r>
      <w:r w:rsidR="006753ED" w:rsidRPr="0019190A">
        <w:rPr>
          <w:i/>
        </w:rPr>
        <w:t>ex</w:t>
      </w:r>
      <w:r w:rsidR="0019190A" w:rsidRPr="0019190A">
        <w:rPr>
          <w:i/>
        </w:rPr>
        <w:t>-</w:t>
      </w:r>
      <w:r w:rsidR="006753ED" w:rsidRPr="0019190A">
        <w:rPr>
          <w:i/>
        </w:rPr>
        <w:t>post</w:t>
      </w:r>
      <w:r w:rsidR="006753ED" w:rsidRPr="006753ED">
        <w:t xml:space="preserve"> shares</w:t>
      </w:r>
      <w:r w:rsidR="006753ED">
        <w:t xml:space="preserve"> of customers (LCA and location) hold throughout the forecast period.</w:t>
      </w:r>
      <w:r w:rsidRPr="00CC5A6A">
        <w:t xml:space="preserve"> </w:t>
      </w:r>
      <w:r w:rsidR="00D738F0">
        <w:t>SDG&amp;E forecasts BIP enrollments to increase by one in each year until 2022, at which time enrollment is forecast to remain constant at eleven service accounts through 2028.</w:t>
      </w:r>
    </w:p>
    <w:p w14:paraId="33B5DE5A" w14:textId="77777777" w:rsidR="003E718A" w:rsidRDefault="003E718A" w:rsidP="003E718A">
      <w:pPr>
        <w:pStyle w:val="Heading2"/>
      </w:pPr>
      <w:bookmarkStart w:id="137" w:name="_Toc227658382"/>
      <w:bookmarkStart w:id="138" w:name="_Toc252887015"/>
      <w:bookmarkStart w:id="139" w:name="_Toc254952722"/>
      <w:bookmarkStart w:id="140" w:name="_Toc257708627"/>
      <w:bookmarkStart w:id="141" w:name="_Toc289180094"/>
      <w:bookmarkStart w:id="142" w:name="_Toc326224657"/>
      <w:bookmarkStart w:id="143" w:name="_Toc411324212"/>
      <w:bookmarkStart w:id="144" w:name="_Toc510091124"/>
      <w:r>
        <w:t xml:space="preserve">5.3 </w:t>
      </w:r>
      <w:bookmarkEnd w:id="137"/>
      <w:bookmarkEnd w:id="138"/>
      <w:r w:rsidRPr="0077185C">
        <w:t>Enrollment Forecasts</w:t>
      </w:r>
      <w:bookmarkEnd w:id="139"/>
      <w:bookmarkEnd w:id="140"/>
      <w:bookmarkEnd w:id="141"/>
      <w:bookmarkEnd w:id="142"/>
      <w:bookmarkEnd w:id="143"/>
      <w:bookmarkEnd w:id="144"/>
    </w:p>
    <w:p w14:paraId="631FE9F3" w14:textId="77777777" w:rsidR="003E718A" w:rsidRPr="000C0049" w:rsidRDefault="003E718A" w:rsidP="003E718A">
      <w:pPr>
        <w:rPr>
          <w:i/>
        </w:rPr>
      </w:pPr>
      <w:r w:rsidRPr="000C0049">
        <w:rPr>
          <w:i/>
        </w:rPr>
        <w:t>PG&amp;E</w:t>
      </w:r>
    </w:p>
    <w:p w14:paraId="5A5F0583" w14:textId="5CFD073E" w:rsidR="003E718A" w:rsidRDefault="003E718A" w:rsidP="003E718A">
      <w:r>
        <w:t>PG&amp;E forecasts B</w:t>
      </w:r>
      <w:r w:rsidR="00FD67C2">
        <w:t>I</w:t>
      </w:r>
      <w:r>
        <w:t>P enrollments to remain constant from 201</w:t>
      </w:r>
      <w:r w:rsidR="00A910A4">
        <w:t>8</w:t>
      </w:r>
      <w:r>
        <w:t xml:space="preserve"> through 202</w:t>
      </w:r>
      <w:r w:rsidR="00A910A4">
        <w:t>8</w:t>
      </w:r>
      <w:r>
        <w:t xml:space="preserve">, with </w:t>
      </w:r>
      <w:r w:rsidR="00A910A4">
        <w:t>355</w:t>
      </w:r>
      <w:r>
        <w:t xml:space="preserve"> </w:t>
      </w:r>
      <w:r w:rsidR="008E1386">
        <w:t xml:space="preserve">enrolled </w:t>
      </w:r>
      <w:r>
        <w:t>service a</w:t>
      </w:r>
      <w:r w:rsidR="00536281">
        <w:t>greemen</w:t>
      </w:r>
      <w:r>
        <w:t>ts</w:t>
      </w:r>
      <w:r w:rsidR="008E1386">
        <w:t xml:space="preserve">. </w:t>
      </w:r>
      <w:r w:rsidR="00A910A4">
        <w:t xml:space="preserve">Of these, 257 are </w:t>
      </w:r>
      <w:r w:rsidR="008E1386">
        <w:t>in the larg</w:t>
      </w:r>
      <w:r w:rsidR="00AA154D">
        <w:t>e customer group (over 200 kW)</w:t>
      </w:r>
      <w:r w:rsidR="00A910A4">
        <w:t xml:space="preserve"> while the rest are in the medium customer group (20 to 200 kW)</w:t>
      </w:r>
      <w:r w:rsidR="00AA154D">
        <w:t xml:space="preserve">. </w:t>
      </w:r>
      <w:r w:rsidR="00A80D66">
        <w:t xml:space="preserve">The total enrollment </w:t>
      </w:r>
      <w:r w:rsidR="0019190A">
        <w:t xml:space="preserve">forecast </w:t>
      </w:r>
      <w:r w:rsidR="00891DA0">
        <w:t xml:space="preserve">of </w:t>
      </w:r>
      <w:r w:rsidR="00A910A4">
        <w:t>355</w:t>
      </w:r>
      <w:r w:rsidR="00891DA0">
        <w:t xml:space="preserve"> is a slight</w:t>
      </w:r>
      <w:r w:rsidR="00A80D66">
        <w:t xml:space="preserve"> increase over the </w:t>
      </w:r>
      <w:r w:rsidR="00A21113">
        <w:t xml:space="preserve">331 </w:t>
      </w:r>
      <w:r w:rsidR="00AA154D">
        <w:t>service a</w:t>
      </w:r>
      <w:r w:rsidR="00536281">
        <w:t>greemen</w:t>
      </w:r>
      <w:r w:rsidR="008B5B12">
        <w:t xml:space="preserve">ts enrolled for the </w:t>
      </w:r>
      <w:r w:rsidR="00A21113">
        <w:t xml:space="preserve">May 3, 2017 </w:t>
      </w:r>
      <w:r w:rsidR="008B5B12">
        <w:t>test</w:t>
      </w:r>
      <w:r w:rsidR="00AA154D">
        <w:t xml:space="preserve"> day</w:t>
      </w:r>
      <w:r w:rsidR="00A80D66">
        <w:t>.</w:t>
      </w:r>
      <w:r w:rsidR="00A21113">
        <w:t xml:space="preserve"> The proportion of large customers is reduced from 77% to 72%. </w:t>
      </w:r>
    </w:p>
    <w:p w14:paraId="0A63648F" w14:textId="77777777" w:rsidR="003E718A" w:rsidRPr="00AD1AB7" w:rsidRDefault="003E718A" w:rsidP="003E718A">
      <w:pPr>
        <w:keepNext/>
        <w:keepLines/>
      </w:pPr>
    </w:p>
    <w:p w14:paraId="22157FFE" w14:textId="77777777" w:rsidR="003E718A" w:rsidRDefault="003E718A" w:rsidP="003E718A">
      <w:pPr>
        <w:rPr>
          <w:i/>
        </w:rPr>
      </w:pPr>
      <w:r w:rsidRPr="00DD2161">
        <w:rPr>
          <w:i/>
        </w:rPr>
        <w:t>SCE</w:t>
      </w:r>
    </w:p>
    <w:p w14:paraId="0ADE90BA" w14:textId="1F8A0146" w:rsidR="003E718A" w:rsidRDefault="00DD7F04" w:rsidP="003E718A">
      <w:bookmarkStart w:id="145" w:name="_Toc227658384"/>
      <w:bookmarkStart w:id="146" w:name="_Toc252887017"/>
      <w:bookmarkStart w:id="147" w:name="_Toc254952723"/>
      <w:bookmarkStart w:id="148" w:name="_Toc257708628"/>
      <w:bookmarkStart w:id="149" w:name="_Toc289180095"/>
      <w:bookmarkStart w:id="150" w:name="_Toc326224658"/>
      <w:r>
        <w:t>Figure 5</w:t>
      </w:r>
      <w:r w:rsidRPr="00DD2161">
        <w:t>.</w:t>
      </w:r>
      <w:r>
        <w:t>1</w:t>
      </w:r>
      <w:r w:rsidRPr="00DD2161">
        <w:t xml:space="preserve"> shows SCE’s forecast of </w:t>
      </w:r>
      <w:r>
        <w:t>e</w:t>
      </w:r>
      <w:r w:rsidRPr="00DD2161">
        <w:t xml:space="preserve">nrollments by </w:t>
      </w:r>
      <w:r w:rsidR="00F53D53">
        <w:t>year</w:t>
      </w:r>
      <w:r w:rsidR="000346C2">
        <w:t>, broken down by notification time</w:t>
      </w:r>
      <w:r w:rsidRPr="006753ED">
        <w:t xml:space="preserve">. </w:t>
      </w:r>
      <w:r w:rsidR="00345A7F" w:rsidRPr="006753ED">
        <w:t>SCE projects BIP enr</w:t>
      </w:r>
      <w:r w:rsidR="00937B56">
        <w:t>ollments to decrease during 201</w:t>
      </w:r>
      <w:r w:rsidR="00A910A4">
        <w:t>8</w:t>
      </w:r>
      <w:r w:rsidR="00937B56">
        <w:t xml:space="preserve"> through 20</w:t>
      </w:r>
      <w:r w:rsidR="00A910A4">
        <w:t>23</w:t>
      </w:r>
      <w:r w:rsidR="00345A7F" w:rsidRPr="006753ED">
        <w:t xml:space="preserve"> </w:t>
      </w:r>
      <w:r w:rsidR="00937B56">
        <w:t>and remain constant thereafter</w:t>
      </w:r>
      <w:r w:rsidR="00345A7F" w:rsidRPr="006753ED">
        <w:t>.</w:t>
      </w:r>
      <w:r w:rsidR="0074109A">
        <w:t xml:space="preserve"> </w:t>
      </w:r>
      <w:r w:rsidR="00A910A4" w:rsidRPr="00A910A4">
        <w:t xml:space="preserve">SCE signed a Settlement Agreement in which the CPUC and IOUs agreed to a cap on RA value for reliability DR MWs. A recruiting effort to add new BIP accounts would violate the spirit of that agreement, in addition to putting SCE at risk of exceeding the cap. </w:t>
      </w:r>
    </w:p>
    <w:p w14:paraId="3D51CE05" w14:textId="77777777" w:rsidR="009271C4" w:rsidRDefault="009271C4" w:rsidP="003E718A">
      <w:pPr>
        <w:rPr>
          <w:i/>
        </w:rPr>
      </w:pPr>
    </w:p>
    <w:p w14:paraId="1D67134B" w14:textId="113B5B78" w:rsidR="00DD7F04" w:rsidRPr="00DD2161" w:rsidRDefault="00DD7F04" w:rsidP="00DD7F04">
      <w:pPr>
        <w:pStyle w:val="FigureCaption"/>
        <w:keepNext/>
        <w:keepLines/>
      </w:pPr>
      <w:bookmarkStart w:id="151" w:name="_Toc326224723"/>
      <w:bookmarkStart w:id="152" w:name="_Toc382555970"/>
      <w:bookmarkStart w:id="153" w:name="_Toc508800273"/>
      <w:r>
        <w:lastRenderedPageBreak/>
        <w:t>Figure 5</w:t>
      </w:r>
      <w:r w:rsidRPr="00DD2161">
        <w:t>.</w:t>
      </w:r>
      <w:r>
        <w:t>1</w:t>
      </w:r>
      <w:r w:rsidRPr="00DD2161">
        <w:t xml:space="preserve">: Number of Enrolled Customers in Each Forecast </w:t>
      </w:r>
      <w:r w:rsidR="00937B56">
        <w:t>Year</w:t>
      </w:r>
      <w:r w:rsidRPr="00DD2161">
        <w:t xml:space="preserve">, </w:t>
      </w:r>
      <w:r w:rsidRPr="00DD2161">
        <w:rPr>
          <w:i/>
        </w:rPr>
        <w:t>SCE</w:t>
      </w:r>
      <w:bookmarkEnd w:id="151"/>
      <w:bookmarkEnd w:id="152"/>
      <w:bookmarkEnd w:id="153"/>
    </w:p>
    <w:p w14:paraId="1FD78016" w14:textId="623F9875" w:rsidR="00DD7F04" w:rsidRPr="00DD7F04" w:rsidRDefault="006F547A" w:rsidP="006F547A">
      <w:pPr>
        <w:jc w:val="center"/>
      </w:pPr>
      <w:r>
        <w:rPr>
          <w:noProof/>
        </w:rPr>
        <w:drawing>
          <wp:inline distT="0" distB="0" distL="0" distR="0" wp14:anchorId="2D9EC281" wp14:editId="079B0C9D">
            <wp:extent cx="4572635" cy="27432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16B0513B" w14:textId="77777777" w:rsidR="00DD7F04" w:rsidRPr="00A910A4" w:rsidRDefault="00DD7F04" w:rsidP="003E718A"/>
    <w:p w14:paraId="1762E5AC" w14:textId="77777777" w:rsidR="003E718A" w:rsidRPr="00E51726" w:rsidRDefault="003E718A" w:rsidP="003E718A">
      <w:pPr>
        <w:rPr>
          <w:i/>
        </w:rPr>
      </w:pPr>
      <w:r w:rsidRPr="00E51726">
        <w:rPr>
          <w:i/>
        </w:rPr>
        <w:t>SDG&amp;E</w:t>
      </w:r>
    </w:p>
    <w:p w14:paraId="4811B081" w14:textId="59D2E53A" w:rsidR="003E718A" w:rsidRPr="00E51726" w:rsidRDefault="00027B68" w:rsidP="003E718A">
      <w:pPr>
        <w:rPr>
          <w:b/>
        </w:rPr>
      </w:pPr>
      <w:r>
        <w:t xml:space="preserve">SDG&amp;E forecasts BIP enrollments to </w:t>
      </w:r>
      <w:r w:rsidR="00A424E8">
        <w:t xml:space="preserve">increase by one in each year until 2022, at which time enrollment is forecast to </w:t>
      </w:r>
      <w:r>
        <w:t xml:space="preserve">remain constant </w:t>
      </w:r>
      <w:r w:rsidR="00A424E8">
        <w:t xml:space="preserve">at eleven service accounts through 2028. </w:t>
      </w:r>
    </w:p>
    <w:p w14:paraId="69AD2777" w14:textId="77777777" w:rsidR="003E718A" w:rsidRPr="00D5415E" w:rsidRDefault="003E718A" w:rsidP="003E718A">
      <w:pPr>
        <w:pStyle w:val="Heading2"/>
      </w:pPr>
      <w:bookmarkStart w:id="154" w:name="_Toc411324213"/>
      <w:bookmarkStart w:id="155" w:name="_Toc510091125"/>
      <w:r>
        <w:t>5</w:t>
      </w:r>
      <w:r w:rsidRPr="00D5415E">
        <w:t>.</w:t>
      </w:r>
      <w:r>
        <w:t>4</w:t>
      </w:r>
      <w:r w:rsidRPr="00D5415E">
        <w:t xml:space="preserve"> </w:t>
      </w:r>
      <w:r>
        <w:t>Reference Loads and Load Impacts</w:t>
      </w:r>
      <w:bookmarkEnd w:id="145"/>
      <w:bookmarkEnd w:id="146"/>
      <w:bookmarkEnd w:id="147"/>
      <w:bookmarkEnd w:id="148"/>
      <w:bookmarkEnd w:id="149"/>
      <w:bookmarkEnd w:id="150"/>
      <w:bookmarkEnd w:id="154"/>
      <w:bookmarkEnd w:id="155"/>
    </w:p>
    <w:p w14:paraId="32D001EF" w14:textId="5C1B53AA" w:rsidR="003E718A" w:rsidRDefault="003E718A" w:rsidP="003E718A">
      <w:r>
        <w:t>For each utility and program type, we provide the following summary information: the hourly profile of reference loads and load impacts for</w:t>
      </w:r>
      <w:r w:rsidR="00A21113">
        <w:t xml:space="preserve"> </w:t>
      </w:r>
      <w:r w:rsidR="00294E49">
        <w:t xml:space="preserve">an August </w:t>
      </w:r>
      <w:r>
        <w:t xml:space="preserve">event day; the level of load impacts across years; and the distribution of load impacts by local capacity area. </w:t>
      </w:r>
    </w:p>
    <w:p w14:paraId="70E6F168" w14:textId="77777777" w:rsidR="003E718A" w:rsidRDefault="003E718A" w:rsidP="003E718A"/>
    <w:p w14:paraId="66C81CD6" w14:textId="77777777" w:rsidR="003E718A" w:rsidRDefault="003E718A" w:rsidP="003E718A">
      <w:r>
        <w:t xml:space="preserve">Together, these figures provide a useful indication of the anticipated changes in the forecast load impacts across the various scenarios represented in the Protocol tables. </w:t>
      </w:r>
    </w:p>
    <w:p w14:paraId="260739E6" w14:textId="673687BD" w:rsidR="003E718A" w:rsidRDefault="003E718A" w:rsidP="003E718A">
      <w:r>
        <w:t>All tables required by the Protocols are provided in an Appendix.</w:t>
      </w:r>
    </w:p>
    <w:p w14:paraId="7E450591" w14:textId="77777777" w:rsidR="003E718A" w:rsidRPr="007E650A" w:rsidRDefault="003E718A" w:rsidP="003E718A">
      <w:pPr>
        <w:pStyle w:val="Heading3"/>
        <w:rPr>
          <w:sz w:val="22"/>
        </w:rPr>
      </w:pPr>
      <w:bookmarkStart w:id="156" w:name="_Toc254952724"/>
      <w:bookmarkStart w:id="157" w:name="_Toc257708629"/>
      <w:bookmarkStart w:id="158" w:name="_Toc289180096"/>
      <w:bookmarkStart w:id="159" w:name="_Toc326224659"/>
      <w:bookmarkStart w:id="160" w:name="_Toc411324214"/>
      <w:bookmarkStart w:id="161" w:name="_Toc510091126"/>
      <w:r w:rsidRPr="00D738F0">
        <w:rPr>
          <w:sz w:val="22"/>
        </w:rPr>
        <w:t>5.4.1 PG&amp;E</w:t>
      </w:r>
      <w:bookmarkEnd w:id="156"/>
      <w:bookmarkEnd w:id="157"/>
      <w:bookmarkEnd w:id="158"/>
      <w:bookmarkEnd w:id="159"/>
      <w:bookmarkEnd w:id="160"/>
      <w:bookmarkEnd w:id="161"/>
    </w:p>
    <w:p w14:paraId="38F383C9" w14:textId="1E46533B" w:rsidR="003E718A" w:rsidRDefault="003E718A" w:rsidP="003E718A">
      <w:r>
        <w:t>Figure 5.2 shows the August 201</w:t>
      </w:r>
      <w:r w:rsidR="00115BFC">
        <w:t>8</w:t>
      </w:r>
      <w:r>
        <w:t xml:space="preserve"> forecast load impacts in a </w:t>
      </w:r>
      <w:r w:rsidR="00180C13">
        <w:t xml:space="preserve">utility-specific </w:t>
      </w:r>
      <w:r>
        <w:t xml:space="preserve">1-in-2 weather year. Event-hour (1:00 to 6:00 p.m.) load impacts average </w:t>
      </w:r>
      <w:r w:rsidR="000F493B">
        <w:t>221</w:t>
      </w:r>
      <w:r>
        <w:t xml:space="preserve"> MW, which represents </w:t>
      </w:r>
      <w:r w:rsidR="00993A52">
        <w:t>71</w:t>
      </w:r>
      <w:r w:rsidR="00180C13">
        <w:t>.</w:t>
      </w:r>
      <w:r w:rsidR="00645693">
        <w:t>4</w:t>
      </w:r>
      <w:r>
        <w:t xml:space="preserve"> percent of the enrolled reference load. </w:t>
      </w:r>
      <w:r w:rsidR="00C70DCA">
        <w:t xml:space="preserve">The program-level FSL is </w:t>
      </w:r>
      <w:r w:rsidR="000F493B">
        <w:t>75.5</w:t>
      </w:r>
      <w:r w:rsidR="00180C13">
        <w:t xml:space="preserve"> MW, compared to the avera</w:t>
      </w:r>
      <w:r w:rsidR="00C70DCA">
        <w:t xml:space="preserve">ge event-hour program load of </w:t>
      </w:r>
      <w:r w:rsidR="000F493B">
        <w:t>88.3</w:t>
      </w:r>
      <w:r w:rsidR="00180C13">
        <w:t xml:space="preserve"> MW. </w:t>
      </w:r>
      <w:r w:rsidR="000F493B">
        <w:t>The FSL achievement rate of 94.5</w:t>
      </w:r>
      <w:r w:rsidR="00645693">
        <w:t xml:space="preserve">% is higher than the </w:t>
      </w:r>
      <w:r w:rsidR="00821178">
        <w:t xml:space="preserve">achievement rate of 75.4% on the May 3, 2017 event day because customers that were re-tested achieved higher performance in the later events. </w:t>
      </w:r>
    </w:p>
    <w:p w14:paraId="71139673" w14:textId="77777777" w:rsidR="003E718A" w:rsidRDefault="003E718A" w:rsidP="003E718A"/>
    <w:p w14:paraId="177FB137" w14:textId="1D854D84" w:rsidR="003E718A" w:rsidRPr="0097115E" w:rsidRDefault="003E718A" w:rsidP="003E718A">
      <w:pPr>
        <w:pStyle w:val="FigureCaption"/>
        <w:keepNext/>
        <w:keepLines/>
      </w:pPr>
      <w:bookmarkStart w:id="162" w:name="_Toc254953016"/>
      <w:bookmarkStart w:id="163" w:name="_Toc257708740"/>
      <w:bookmarkStart w:id="164" w:name="_Toc289180148"/>
      <w:bookmarkStart w:id="165" w:name="_Toc326224724"/>
      <w:bookmarkStart w:id="166" w:name="_Toc411324667"/>
      <w:bookmarkStart w:id="167" w:name="_Toc508800274"/>
      <w:r w:rsidRPr="0097115E">
        <w:lastRenderedPageBreak/>
        <w:t>Figure</w:t>
      </w:r>
      <w:bookmarkStart w:id="168" w:name="_Toc227022610"/>
      <w:bookmarkStart w:id="169" w:name="_Toc227658419"/>
      <w:r>
        <w:t xml:space="preserve"> 5.2</w:t>
      </w:r>
      <w:r w:rsidRPr="0097115E">
        <w:t xml:space="preserve">: PG&amp;E Hourly Event Day Load Impacts for the </w:t>
      </w:r>
      <w:r w:rsidR="00420A8C">
        <w:t xml:space="preserve">August </w:t>
      </w:r>
      <w:r w:rsidR="00645693">
        <w:t xml:space="preserve">2018 </w:t>
      </w:r>
      <w:r w:rsidRPr="0097115E">
        <w:t xml:space="preserve">Event Day in a </w:t>
      </w:r>
      <w:r w:rsidR="00180C13">
        <w:t xml:space="preserve">Utility-Specific </w:t>
      </w:r>
      <w:r w:rsidRPr="0097115E">
        <w:t>1-in-2 Weather</w:t>
      </w:r>
      <w:bookmarkEnd w:id="162"/>
      <w:bookmarkEnd w:id="163"/>
      <w:bookmarkEnd w:id="164"/>
      <w:bookmarkEnd w:id="165"/>
      <w:bookmarkEnd w:id="166"/>
      <w:bookmarkEnd w:id="168"/>
      <w:bookmarkEnd w:id="169"/>
      <w:bookmarkEnd w:id="167"/>
    </w:p>
    <w:p w14:paraId="054E9110" w14:textId="651D3BEE" w:rsidR="003E718A" w:rsidRDefault="005644EE" w:rsidP="004B4E07">
      <w:pPr>
        <w:jc w:val="center"/>
      </w:pPr>
      <w:r>
        <w:rPr>
          <w:noProof/>
        </w:rPr>
        <w:drawing>
          <wp:inline distT="0" distB="0" distL="0" distR="0" wp14:anchorId="691AA511" wp14:editId="2D9104FC">
            <wp:extent cx="4572635" cy="2743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31588DCC" w14:textId="77777777" w:rsidR="004B4E07" w:rsidRDefault="004B4E07" w:rsidP="003E718A"/>
    <w:p w14:paraId="321FD593" w14:textId="74FA6839" w:rsidR="003E718A" w:rsidRDefault="003E718A" w:rsidP="003E718A">
      <w:r>
        <w:t>Figure 5.</w:t>
      </w:r>
      <w:r w:rsidR="00EF3CBF">
        <w:t>3</w:t>
      </w:r>
      <w:r>
        <w:t xml:space="preserve"> shows the share of load impacts by local capacity area, assuming a </w:t>
      </w:r>
      <w:r w:rsidR="00821178">
        <w:t xml:space="preserve">2018 </w:t>
      </w:r>
      <w:r w:rsidR="00294E49">
        <w:t xml:space="preserve">August </w:t>
      </w:r>
      <w:r w:rsidR="00E636C9">
        <w:t xml:space="preserve">event day </w:t>
      </w:r>
      <w:r w:rsidR="00294E49">
        <w:t>in</w:t>
      </w:r>
      <w:r w:rsidR="00821178">
        <w:t xml:space="preserve"> a </w:t>
      </w:r>
      <w:r w:rsidR="00EF3CBF">
        <w:t xml:space="preserve">utility-specific </w:t>
      </w:r>
      <w:r>
        <w:t xml:space="preserve">1-in-2 weather year. Customers </w:t>
      </w:r>
      <w:r w:rsidR="00766771">
        <w:t>the Greater Bay Area LCA</w:t>
      </w:r>
      <w:r>
        <w:t xml:space="preserve"> account for the largest share, with </w:t>
      </w:r>
      <w:r w:rsidR="00766771">
        <w:t>2</w:t>
      </w:r>
      <w:r w:rsidR="000F493B">
        <w:t>9</w:t>
      </w:r>
      <w:r>
        <w:t xml:space="preserve"> percent of the load impacts</w:t>
      </w:r>
      <w:r w:rsidR="00766771">
        <w:t>, followed closely by customers not in any LCA, also with 2</w:t>
      </w:r>
      <w:r w:rsidR="000F493B">
        <w:t>7</w:t>
      </w:r>
      <w:r w:rsidR="00766771">
        <w:t xml:space="preserve"> percent after rounding</w:t>
      </w:r>
      <w:r>
        <w:t>.</w:t>
      </w:r>
    </w:p>
    <w:p w14:paraId="0A513C2D" w14:textId="77777777" w:rsidR="003E718A" w:rsidRDefault="003E718A" w:rsidP="003E718A"/>
    <w:p w14:paraId="697E40AB" w14:textId="6ADD9A1B" w:rsidR="003E718A" w:rsidRPr="0097115E" w:rsidRDefault="003E718A" w:rsidP="003E718A">
      <w:pPr>
        <w:pStyle w:val="FigureCaption"/>
        <w:keepNext/>
        <w:keepLines/>
      </w:pPr>
      <w:bookmarkStart w:id="170" w:name="_Toc257708742"/>
      <w:bookmarkStart w:id="171" w:name="_Toc289180150"/>
      <w:bookmarkStart w:id="172" w:name="_Toc326224726"/>
      <w:bookmarkStart w:id="173" w:name="_Toc411324669"/>
      <w:bookmarkStart w:id="174" w:name="_Toc508800275"/>
      <w:r w:rsidRPr="007B4269">
        <w:rPr>
          <w:highlight w:val="lightGray"/>
          <w:shd w:val="clear" w:color="auto" w:fill="E7E6E6" w:themeFill="background2"/>
        </w:rPr>
        <w:t>Figure 5.</w:t>
      </w:r>
      <w:r w:rsidR="00F6267E" w:rsidRPr="007B4269">
        <w:rPr>
          <w:highlight w:val="lightGray"/>
          <w:shd w:val="clear" w:color="auto" w:fill="E7E6E6" w:themeFill="background2"/>
        </w:rPr>
        <w:t>3</w:t>
      </w:r>
      <w:r w:rsidRPr="007B4269">
        <w:rPr>
          <w:highlight w:val="lightGray"/>
          <w:shd w:val="clear" w:color="auto" w:fill="E7E6E6" w:themeFill="background2"/>
        </w:rPr>
        <w:t>: Share of PG&amp;E Load Im</w:t>
      </w:r>
      <w:r w:rsidR="004465B3" w:rsidRPr="007B4269">
        <w:rPr>
          <w:highlight w:val="lightGray"/>
          <w:shd w:val="clear" w:color="auto" w:fill="E7E6E6" w:themeFill="background2"/>
        </w:rPr>
        <w:t>pacts by LCA for the August 201</w:t>
      </w:r>
      <w:r w:rsidR="00773141" w:rsidRPr="007B4269">
        <w:rPr>
          <w:highlight w:val="lightGray"/>
          <w:shd w:val="clear" w:color="auto" w:fill="E7E6E6" w:themeFill="background2"/>
        </w:rPr>
        <w:t>8</w:t>
      </w:r>
      <w:r w:rsidRPr="007B4269">
        <w:rPr>
          <w:highlight w:val="lightGray"/>
          <w:shd w:val="clear" w:color="auto" w:fill="E7E6E6" w:themeFill="background2"/>
        </w:rPr>
        <w:t xml:space="preserve"> Event Day in a</w:t>
      </w:r>
      <w:r w:rsidR="00F6267E" w:rsidRPr="007B4269">
        <w:rPr>
          <w:highlight w:val="lightGray"/>
          <w:shd w:val="clear" w:color="auto" w:fill="E7E6E6" w:themeFill="background2"/>
        </w:rPr>
        <w:t xml:space="preserve"> Utility-specific</w:t>
      </w:r>
      <w:r w:rsidRPr="007B4269">
        <w:rPr>
          <w:highlight w:val="lightGray"/>
          <w:shd w:val="clear" w:color="auto" w:fill="E7E6E6" w:themeFill="background2"/>
        </w:rPr>
        <w:t xml:space="preserve"> 1</w:t>
      </w:r>
      <w:r w:rsidRPr="007B4269">
        <w:rPr>
          <w:highlight w:val="lightGray"/>
          <w:shd w:val="clear" w:color="auto" w:fill="E7E6E6" w:themeFill="background2"/>
        </w:rPr>
        <w:noBreakHyphen/>
        <w:t>in</w:t>
      </w:r>
      <w:r w:rsidRPr="007B4269">
        <w:rPr>
          <w:highlight w:val="lightGray"/>
          <w:shd w:val="clear" w:color="auto" w:fill="E7E6E6" w:themeFill="background2"/>
        </w:rPr>
        <w:noBreakHyphen/>
        <w:t>2 Weather Year</w:t>
      </w:r>
      <w:bookmarkEnd w:id="170"/>
      <w:bookmarkEnd w:id="171"/>
      <w:bookmarkEnd w:id="172"/>
      <w:bookmarkEnd w:id="173"/>
      <w:bookmarkEnd w:id="174"/>
    </w:p>
    <w:p w14:paraId="2B83D469" w14:textId="4891A10B" w:rsidR="003E718A" w:rsidRPr="00AD1AB7" w:rsidRDefault="007357E6" w:rsidP="003E718A">
      <w:pPr>
        <w:keepNext/>
        <w:keepLines/>
        <w:jc w:val="center"/>
      </w:pPr>
      <w:r>
        <w:rPr>
          <w:noProof/>
        </w:rPr>
        <w:drawing>
          <wp:inline distT="0" distB="0" distL="0" distR="0" wp14:anchorId="15DC07DA" wp14:editId="3525FC67">
            <wp:extent cx="4572000" cy="2743200"/>
            <wp:effectExtent l="0" t="0" r="0" b="0"/>
            <wp:docPr id="35" name="Chart 35">
              <a:extLst xmlns:a="http://schemas.openxmlformats.org/drawingml/2006/main">
                <a:ext uri="{FF2B5EF4-FFF2-40B4-BE49-F238E27FC236}">
                  <a16:creationId xmlns:a16="http://schemas.microsoft.com/office/drawing/2014/main" id="{DDBDE29C-35CB-413C-8EFD-A482C7CFA0F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7B789662" w14:textId="77777777" w:rsidR="003E718A" w:rsidRPr="00A22D9A" w:rsidRDefault="003E718A" w:rsidP="003E718A">
      <w:pPr>
        <w:keepNext/>
        <w:keepLines/>
        <w:jc w:val="center"/>
      </w:pPr>
    </w:p>
    <w:p w14:paraId="5C2E306D" w14:textId="38312F95" w:rsidR="003E718A" w:rsidRDefault="003E718A" w:rsidP="003E718A">
      <w:r>
        <w:t>Figure 5.</w:t>
      </w:r>
      <w:r w:rsidR="00D921C9">
        <w:t>4</w:t>
      </w:r>
      <w:r>
        <w:t xml:space="preserve"> illustrates August </w:t>
      </w:r>
      <w:r w:rsidR="00821178">
        <w:t xml:space="preserve">average event-hour </w:t>
      </w:r>
      <w:r>
        <w:t>load impact for each forecast scenario, differentiated by 1-in-2 versus 1-in-10 weather conditions</w:t>
      </w:r>
      <w:r w:rsidR="00D921C9">
        <w:t xml:space="preserve"> under both utility-specific and </w:t>
      </w:r>
      <w:r w:rsidR="00D921C9">
        <w:lastRenderedPageBreak/>
        <w:t>CAISO-coincident peak conditions. T</w:t>
      </w:r>
      <w:r>
        <w:t>he enrollment forecast does not change across the 201</w:t>
      </w:r>
      <w:r w:rsidR="00993A52">
        <w:t>8</w:t>
      </w:r>
      <w:r w:rsidR="00523540">
        <w:t xml:space="preserve"> to </w:t>
      </w:r>
      <w:r w:rsidR="00B85083">
        <w:t>202</w:t>
      </w:r>
      <w:r w:rsidR="00993A52">
        <w:t>8</w:t>
      </w:r>
      <w:r>
        <w:t xml:space="preserve"> window, so these load impacts stay cons</w:t>
      </w:r>
      <w:r w:rsidR="00954104">
        <w:t xml:space="preserve">tant </w:t>
      </w:r>
      <w:r>
        <w:t xml:space="preserve">for August across the forecast years. </w:t>
      </w:r>
      <w:r w:rsidR="00420A8C">
        <w:t>The differences between the scenarios is minimal because the largest customers are not weather sensitive.</w:t>
      </w:r>
      <w:r w:rsidR="00523540">
        <w:t xml:space="preserve"> (Recall that customers are first sorted according to their weather sensitivity.)</w:t>
      </w:r>
      <w:r w:rsidR="00420A8C">
        <w:t xml:space="preserve"> The smallest load impact is </w:t>
      </w:r>
      <w:r w:rsidR="000F493B">
        <w:t>219</w:t>
      </w:r>
      <w:r w:rsidR="00420A8C">
        <w:t xml:space="preserve"> MW in the CAISO 1-in-2 weather scenario while the largest load impact is </w:t>
      </w:r>
      <w:r w:rsidR="000F493B">
        <w:t>222</w:t>
      </w:r>
      <w:r w:rsidR="00420A8C">
        <w:t xml:space="preserve"> MW in the Utility 1-in-10 weather scenario. </w:t>
      </w:r>
    </w:p>
    <w:p w14:paraId="7304A521" w14:textId="77777777" w:rsidR="003E718A" w:rsidRDefault="003E718A" w:rsidP="003E718A"/>
    <w:p w14:paraId="143FD389" w14:textId="1D337B91" w:rsidR="003E718A" w:rsidRPr="0097115E" w:rsidRDefault="003E718A" w:rsidP="003E718A">
      <w:pPr>
        <w:pStyle w:val="FigureCaption"/>
        <w:keepNext/>
        <w:keepLines/>
      </w:pPr>
      <w:bookmarkStart w:id="175" w:name="_Toc227022613"/>
      <w:bookmarkStart w:id="176" w:name="_Toc227658422"/>
      <w:bookmarkStart w:id="177" w:name="_Toc254953018"/>
      <w:bookmarkStart w:id="178" w:name="_Toc257708743"/>
      <w:bookmarkStart w:id="179" w:name="_Toc289180151"/>
      <w:bookmarkStart w:id="180" w:name="_Toc326224727"/>
      <w:bookmarkStart w:id="181" w:name="_Toc411324670"/>
      <w:bookmarkStart w:id="182" w:name="_Toc508800276"/>
      <w:r w:rsidRPr="0097115E">
        <w:t xml:space="preserve">Figure </w:t>
      </w:r>
      <w:r>
        <w:t>5</w:t>
      </w:r>
      <w:r w:rsidRPr="0097115E">
        <w:t>.</w:t>
      </w:r>
      <w:r w:rsidR="00D921C9">
        <w:t>4</w:t>
      </w:r>
      <w:r w:rsidRPr="0097115E">
        <w:t xml:space="preserve">:  </w:t>
      </w:r>
      <w:bookmarkEnd w:id="175"/>
      <w:bookmarkEnd w:id="176"/>
      <w:bookmarkEnd w:id="177"/>
      <w:bookmarkEnd w:id="178"/>
      <w:bookmarkEnd w:id="179"/>
      <w:bookmarkEnd w:id="180"/>
      <w:r w:rsidR="00A22D15">
        <w:t>Average August</w:t>
      </w:r>
      <w:r w:rsidRPr="0097115E">
        <w:t xml:space="preserve"> </w:t>
      </w:r>
      <w:r w:rsidRPr="003643E3">
        <w:rPr>
          <w:i/>
        </w:rPr>
        <w:t>Ex</w:t>
      </w:r>
      <w:r w:rsidR="003643E3" w:rsidRPr="003643E3">
        <w:rPr>
          <w:i/>
        </w:rPr>
        <w:t>-a</w:t>
      </w:r>
      <w:r w:rsidRPr="003643E3">
        <w:rPr>
          <w:i/>
        </w:rPr>
        <w:t>nte</w:t>
      </w:r>
      <w:r w:rsidRPr="0097115E">
        <w:t xml:space="preserve"> Load Impacts by Scenario,</w:t>
      </w:r>
      <w:r w:rsidR="00A22D15">
        <w:t xml:space="preserve"> 201</w:t>
      </w:r>
      <w:r w:rsidR="008F46D4">
        <w:t>8</w:t>
      </w:r>
      <w:r w:rsidR="00A22D15">
        <w:t>-202</w:t>
      </w:r>
      <w:r w:rsidR="008F46D4">
        <w:t>8</w:t>
      </w:r>
      <w:r w:rsidR="00A22D15">
        <w:t>,</w:t>
      </w:r>
      <w:r w:rsidRPr="0097115E">
        <w:t xml:space="preserve"> </w:t>
      </w:r>
      <w:r w:rsidRPr="0097115E">
        <w:rPr>
          <w:i/>
        </w:rPr>
        <w:t>PG&amp;E</w:t>
      </w:r>
      <w:bookmarkEnd w:id="181"/>
      <w:bookmarkEnd w:id="182"/>
    </w:p>
    <w:p w14:paraId="6FA2DBA6" w14:textId="1DB23B12" w:rsidR="003E718A" w:rsidRPr="004C2509" w:rsidRDefault="005644EE" w:rsidP="003E718A">
      <w:pPr>
        <w:keepNext/>
        <w:keepLines/>
        <w:jc w:val="center"/>
      </w:pPr>
      <w:r>
        <w:rPr>
          <w:noProof/>
        </w:rPr>
        <w:drawing>
          <wp:inline distT="0" distB="0" distL="0" distR="0" wp14:anchorId="119A4BA8" wp14:editId="5990F336">
            <wp:extent cx="4572635" cy="2743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55D167F0" w14:textId="77777777" w:rsidR="003E718A" w:rsidRDefault="003E718A" w:rsidP="003E718A">
      <w:bookmarkStart w:id="183" w:name="_Toc254952725"/>
      <w:bookmarkStart w:id="184" w:name="_Toc257708630"/>
      <w:bookmarkStart w:id="185" w:name="_Toc289180097"/>
      <w:bookmarkStart w:id="186" w:name="_Toc326224660"/>
    </w:p>
    <w:p w14:paraId="5D8D4D1C" w14:textId="5A918B8B" w:rsidR="003E718A" w:rsidRDefault="003E718A" w:rsidP="003E718A">
      <w:r>
        <w:t>Table 5.</w:t>
      </w:r>
      <w:r w:rsidR="00954104">
        <w:t>2</w:t>
      </w:r>
      <w:r>
        <w:t xml:space="preserve"> shows the per-customer reference loads and load impacts by weather year (</w:t>
      </w:r>
      <w:r w:rsidR="003D0685">
        <w:t>1-in</w:t>
      </w:r>
      <w:r w:rsidR="00954104">
        <w:t>-2 and 1-in-10 for both utility-specific and CAISO-coincident peak conditions)</w:t>
      </w:r>
      <w:r>
        <w:t xml:space="preserve"> for the August </w:t>
      </w:r>
      <w:r w:rsidR="00A22D15">
        <w:t>event</w:t>
      </w:r>
      <w:r>
        <w:t xml:space="preserve"> day.</w:t>
      </w:r>
    </w:p>
    <w:p w14:paraId="63FBD9EA" w14:textId="77777777" w:rsidR="00954104" w:rsidRDefault="00954104" w:rsidP="003E718A"/>
    <w:p w14:paraId="10D40CBB" w14:textId="24D24848" w:rsidR="003E718A" w:rsidRDefault="003E718A" w:rsidP="003E718A">
      <w:pPr>
        <w:pStyle w:val="TableCaption"/>
        <w:keepNext/>
        <w:keepLines/>
      </w:pPr>
      <w:bookmarkStart w:id="187" w:name="_Toc411324264"/>
      <w:bookmarkStart w:id="188" w:name="_Toc508800229"/>
      <w:r>
        <w:t>Table 5.</w:t>
      </w:r>
      <w:r w:rsidR="00954104">
        <w:t>2</w:t>
      </w:r>
      <w:r>
        <w:t xml:space="preserve">: Per-customer </w:t>
      </w:r>
      <w:r w:rsidRPr="003643E3">
        <w:rPr>
          <w:i/>
        </w:rPr>
        <w:t>Ex</w:t>
      </w:r>
      <w:r w:rsidR="003643E3" w:rsidRPr="003643E3">
        <w:rPr>
          <w:i/>
        </w:rPr>
        <w:t>-a</w:t>
      </w:r>
      <w:r w:rsidRPr="003643E3">
        <w:rPr>
          <w:i/>
        </w:rPr>
        <w:t>nte</w:t>
      </w:r>
      <w:r>
        <w:t xml:space="preserve"> Load Impacts, </w:t>
      </w:r>
      <w:r w:rsidR="00420A8C">
        <w:t xml:space="preserve">2018-2028, </w:t>
      </w:r>
      <w:r w:rsidRPr="00624938">
        <w:rPr>
          <w:i/>
        </w:rPr>
        <w:t>PG&amp;E</w:t>
      </w:r>
      <w:bookmarkEnd w:id="187"/>
      <w:bookmarkEnd w:id="188"/>
    </w:p>
    <w:tbl>
      <w:tblPr>
        <w:tblStyle w:val="TableGrid"/>
        <w:tblW w:w="0" w:type="auto"/>
        <w:jc w:val="center"/>
        <w:tblLook w:val="04A0" w:firstRow="1" w:lastRow="0" w:firstColumn="1" w:lastColumn="0" w:noHBand="0" w:noVBand="1"/>
      </w:tblPr>
      <w:tblGrid>
        <w:gridCol w:w="1726"/>
        <w:gridCol w:w="1739"/>
        <w:gridCol w:w="1715"/>
        <w:gridCol w:w="1716"/>
      </w:tblGrid>
      <w:tr w:rsidR="00791E2F" w14:paraId="18824573" w14:textId="77777777" w:rsidTr="006A4795">
        <w:trPr>
          <w:jc w:val="center"/>
        </w:trPr>
        <w:tc>
          <w:tcPr>
            <w:tcW w:w="1726" w:type="dxa"/>
            <w:tcBorders>
              <w:left w:val="single" w:sz="4" w:space="0" w:color="auto"/>
              <w:bottom w:val="single" w:sz="4" w:space="0" w:color="auto"/>
              <w:right w:val="single" w:sz="4" w:space="0" w:color="FFFFFF" w:themeColor="background1"/>
            </w:tcBorders>
            <w:shd w:val="clear" w:color="auto" w:fill="0C2577"/>
            <w:vAlign w:val="center"/>
          </w:tcPr>
          <w:p w14:paraId="3E914DF8" w14:textId="77777777" w:rsidR="00791E2F" w:rsidRPr="00E478AF" w:rsidRDefault="00791E2F" w:rsidP="004061BB">
            <w:pPr>
              <w:keepNext/>
              <w:keepLines/>
              <w:jc w:val="center"/>
              <w:rPr>
                <w:rFonts w:ascii="Arial" w:hAnsi="Arial" w:cs="Arial"/>
                <w:b/>
                <w:sz w:val="22"/>
                <w:szCs w:val="22"/>
              </w:rPr>
            </w:pPr>
            <w:r w:rsidRPr="00E478AF">
              <w:rPr>
                <w:rFonts w:ascii="Arial" w:hAnsi="Arial" w:cs="Arial"/>
                <w:b/>
                <w:sz w:val="22"/>
                <w:szCs w:val="22"/>
              </w:rPr>
              <w:t>Weather Year</w:t>
            </w:r>
          </w:p>
        </w:tc>
        <w:tc>
          <w:tcPr>
            <w:tcW w:w="1739"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6768F18B" w14:textId="028A526E" w:rsidR="00791E2F" w:rsidRPr="00E478AF" w:rsidRDefault="00791E2F" w:rsidP="004061BB">
            <w:pPr>
              <w:keepNext/>
              <w:keepLines/>
              <w:jc w:val="center"/>
              <w:rPr>
                <w:rFonts w:ascii="Arial" w:hAnsi="Arial" w:cs="Arial"/>
                <w:b/>
                <w:sz w:val="22"/>
                <w:szCs w:val="22"/>
              </w:rPr>
            </w:pPr>
            <w:r w:rsidRPr="00E478AF">
              <w:rPr>
                <w:rFonts w:ascii="Arial" w:hAnsi="Arial" w:cs="Arial"/>
                <w:b/>
                <w:sz w:val="22"/>
                <w:szCs w:val="22"/>
              </w:rPr>
              <w:t>Reference Load (kW</w:t>
            </w:r>
            <w:r w:rsidR="00A278B4">
              <w:rPr>
                <w:rFonts w:ascii="Arial" w:hAnsi="Arial" w:cs="Arial"/>
                <w:b/>
                <w:sz w:val="22"/>
                <w:szCs w:val="22"/>
              </w:rPr>
              <w:t>h/h</w:t>
            </w:r>
            <w:r w:rsidRPr="00E478AF">
              <w:rPr>
                <w:rFonts w:ascii="Arial" w:hAnsi="Arial" w:cs="Arial"/>
                <w:b/>
                <w:sz w:val="22"/>
                <w:szCs w:val="22"/>
              </w:rPr>
              <w:t>)</w:t>
            </w:r>
          </w:p>
        </w:tc>
        <w:tc>
          <w:tcPr>
            <w:tcW w:w="1715"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40074227" w14:textId="62B23495" w:rsidR="00791E2F" w:rsidRPr="00E478AF" w:rsidRDefault="00791E2F" w:rsidP="004061BB">
            <w:pPr>
              <w:keepNext/>
              <w:keepLines/>
              <w:jc w:val="center"/>
              <w:rPr>
                <w:rFonts w:ascii="Arial" w:hAnsi="Arial" w:cs="Arial"/>
                <w:b/>
                <w:sz w:val="22"/>
                <w:szCs w:val="22"/>
              </w:rPr>
            </w:pPr>
            <w:r w:rsidRPr="00E478AF">
              <w:rPr>
                <w:rFonts w:ascii="Arial" w:hAnsi="Arial" w:cs="Arial"/>
                <w:b/>
                <w:sz w:val="22"/>
                <w:szCs w:val="22"/>
              </w:rPr>
              <w:t>Load Impact (kW</w:t>
            </w:r>
            <w:r w:rsidR="00A278B4">
              <w:rPr>
                <w:rFonts w:ascii="Arial" w:hAnsi="Arial" w:cs="Arial"/>
                <w:b/>
                <w:sz w:val="22"/>
                <w:szCs w:val="22"/>
              </w:rPr>
              <w:t>h/h</w:t>
            </w:r>
            <w:r w:rsidRPr="00E478AF">
              <w:rPr>
                <w:rFonts w:ascii="Arial" w:hAnsi="Arial" w:cs="Arial"/>
                <w:b/>
                <w:sz w:val="22"/>
                <w:szCs w:val="22"/>
              </w:rPr>
              <w:t>)</w:t>
            </w:r>
          </w:p>
        </w:tc>
        <w:tc>
          <w:tcPr>
            <w:tcW w:w="1716" w:type="dxa"/>
            <w:tcBorders>
              <w:left w:val="single" w:sz="4" w:space="0" w:color="FFFFFF" w:themeColor="background1"/>
              <w:bottom w:val="single" w:sz="4" w:space="0" w:color="auto"/>
            </w:tcBorders>
            <w:shd w:val="clear" w:color="auto" w:fill="0C2577"/>
            <w:vAlign w:val="center"/>
          </w:tcPr>
          <w:p w14:paraId="7181B825" w14:textId="77777777" w:rsidR="00791E2F" w:rsidRPr="00E478AF" w:rsidRDefault="00791E2F" w:rsidP="004061BB">
            <w:pPr>
              <w:keepNext/>
              <w:keepLines/>
              <w:jc w:val="center"/>
              <w:rPr>
                <w:rFonts w:ascii="Arial" w:hAnsi="Arial" w:cs="Arial"/>
                <w:b/>
                <w:sz w:val="22"/>
                <w:szCs w:val="22"/>
              </w:rPr>
            </w:pPr>
            <w:r w:rsidRPr="00E478AF">
              <w:rPr>
                <w:rFonts w:ascii="Arial" w:hAnsi="Arial" w:cs="Arial"/>
                <w:b/>
                <w:sz w:val="22"/>
                <w:szCs w:val="22"/>
              </w:rPr>
              <w:t>% Load Impact</w:t>
            </w:r>
          </w:p>
        </w:tc>
      </w:tr>
      <w:tr w:rsidR="005644EE" w14:paraId="0093551E" w14:textId="77777777" w:rsidTr="00791E2F">
        <w:trPr>
          <w:jc w:val="center"/>
        </w:trPr>
        <w:tc>
          <w:tcPr>
            <w:tcW w:w="1726" w:type="dxa"/>
            <w:tcBorders>
              <w:top w:val="single" w:sz="4" w:space="0" w:color="auto"/>
              <w:left w:val="single" w:sz="4" w:space="0" w:color="auto"/>
              <w:bottom w:val="nil"/>
              <w:right w:val="single" w:sz="4" w:space="0" w:color="auto"/>
            </w:tcBorders>
            <w:vAlign w:val="center"/>
          </w:tcPr>
          <w:p w14:paraId="5007E87D" w14:textId="696154DD" w:rsidR="005644EE" w:rsidRPr="005F65C7" w:rsidRDefault="005644EE" w:rsidP="005644EE">
            <w:pPr>
              <w:keepNext/>
              <w:keepLines/>
              <w:jc w:val="center"/>
              <w:rPr>
                <w:rFonts w:asciiTheme="minorHAnsi" w:hAnsiTheme="minorHAnsi" w:cstheme="minorHAnsi"/>
              </w:rPr>
            </w:pPr>
            <w:r>
              <w:rPr>
                <w:rFonts w:asciiTheme="minorHAnsi" w:hAnsiTheme="minorHAnsi" w:cstheme="minorHAnsi"/>
              </w:rPr>
              <w:t xml:space="preserve">Utility </w:t>
            </w:r>
            <w:r w:rsidRPr="005F65C7">
              <w:rPr>
                <w:rFonts w:asciiTheme="minorHAnsi" w:hAnsiTheme="minorHAnsi" w:cstheme="minorHAnsi"/>
              </w:rPr>
              <w:t>1-in-2</w:t>
            </w:r>
          </w:p>
        </w:tc>
        <w:tc>
          <w:tcPr>
            <w:tcW w:w="1739" w:type="dxa"/>
            <w:tcBorders>
              <w:top w:val="single" w:sz="4" w:space="0" w:color="auto"/>
              <w:left w:val="single" w:sz="4" w:space="0" w:color="auto"/>
              <w:bottom w:val="nil"/>
              <w:right w:val="single" w:sz="4" w:space="0" w:color="auto"/>
            </w:tcBorders>
            <w:vAlign w:val="center"/>
          </w:tcPr>
          <w:p w14:paraId="5A6ED41B" w14:textId="3D29C42B" w:rsidR="005644EE" w:rsidRPr="005F65C7" w:rsidRDefault="005644EE" w:rsidP="005644EE">
            <w:pPr>
              <w:keepNext/>
              <w:keepLines/>
              <w:jc w:val="center"/>
              <w:rPr>
                <w:rFonts w:asciiTheme="minorHAnsi" w:hAnsiTheme="minorHAnsi" w:cstheme="minorHAnsi"/>
              </w:rPr>
            </w:pPr>
            <w:r>
              <w:rPr>
                <w:rFonts w:asciiTheme="minorHAnsi" w:hAnsiTheme="minorHAnsi" w:cstheme="minorHAnsi"/>
              </w:rPr>
              <w:t>853.2</w:t>
            </w:r>
          </w:p>
        </w:tc>
        <w:tc>
          <w:tcPr>
            <w:tcW w:w="1715" w:type="dxa"/>
            <w:tcBorders>
              <w:top w:val="single" w:sz="4" w:space="0" w:color="auto"/>
              <w:left w:val="single" w:sz="4" w:space="0" w:color="auto"/>
              <w:bottom w:val="nil"/>
              <w:right w:val="single" w:sz="4" w:space="0" w:color="auto"/>
            </w:tcBorders>
            <w:vAlign w:val="center"/>
          </w:tcPr>
          <w:p w14:paraId="68CC01B3" w14:textId="6614FFC9" w:rsidR="005644EE" w:rsidRPr="005F65C7" w:rsidRDefault="005644EE" w:rsidP="005644EE">
            <w:pPr>
              <w:keepNext/>
              <w:keepLines/>
              <w:jc w:val="center"/>
              <w:rPr>
                <w:rFonts w:asciiTheme="minorHAnsi" w:hAnsiTheme="minorHAnsi" w:cstheme="minorHAnsi"/>
              </w:rPr>
            </w:pPr>
            <w:r>
              <w:rPr>
                <w:rFonts w:asciiTheme="minorHAnsi" w:hAnsiTheme="minorHAnsi" w:cstheme="minorHAnsi"/>
              </w:rPr>
              <w:t>609.3</w:t>
            </w:r>
          </w:p>
        </w:tc>
        <w:tc>
          <w:tcPr>
            <w:tcW w:w="1716" w:type="dxa"/>
            <w:tcBorders>
              <w:top w:val="single" w:sz="4" w:space="0" w:color="auto"/>
              <w:left w:val="single" w:sz="4" w:space="0" w:color="auto"/>
              <w:bottom w:val="nil"/>
              <w:right w:val="single" w:sz="4" w:space="0" w:color="auto"/>
            </w:tcBorders>
          </w:tcPr>
          <w:p w14:paraId="756A0D76" w14:textId="475DFEC9" w:rsidR="005644EE" w:rsidRPr="00E478AF" w:rsidRDefault="005644EE" w:rsidP="005644EE">
            <w:pPr>
              <w:keepNext/>
              <w:keepLines/>
              <w:jc w:val="center"/>
              <w:rPr>
                <w:rFonts w:ascii="Arial" w:hAnsi="Arial" w:cs="Arial"/>
                <w:sz w:val="22"/>
                <w:szCs w:val="22"/>
              </w:rPr>
            </w:pPr>
            <w:r w:rsidRPr="000C41F5">
              <w:t>71.</w:t>
            </w:r>
            <w:r>
              <w:t>4</w:t>
            </w:r>
            <w:r w:rsidRPr="000C41F5">
              <w:t>%</w:t>
            </w:r>
          </w:p>
        </w:tc>
      </w:tr>
      <w:tr w:rsidR="00791E2F" w14:paraId="0FAC17EE" w14:textId="77777777" w:rsidTr="00791E2F">
        <w:trPr>
          <w:jc w:val="center"/>
        </w:trPr>
        <w:tc>
          <w:tcPr>
            <w:tcW w:w="1726" w:type="dxa"/>
            <w:tcBorders>
              <w:top w:val="nil"/>
              <w:left w:val="single" w:sz="4" w:space="0" w:color="auto"/>
              <w:bottom w:val="nil"/>
              <w:right w:val="single" w:sz="4" w:space="0" w:color="auto"/>
            </w:tcBorders>
            <w:vAlign w:val="center"/>
          </w:tcPr>
          <w:p w14:paraId="2143A66A" w14:textId="46576181" w:rsidR="00791E2F" w:rsidRPr="005F65C7" w:rsidRDefault="00791E2F" w:rsidP="00F73669">
            <w:pPr>
              <w:keepNext/>
              <w:keepLines/>
              <w:jc w:val="center"/>
              <w:rPr>
                <w:rFonts w:asciiTheme="minorHAnsi" w:hAnsiTheme="minorHAnsi" w:cstheme="minorHAnsi"/>
              </w:rPr>
            </w:pPr>
            <w:r>
              <w:rPr>
                <w:rFonts w:asciiTheme="minorHAnsi" w:hAnsiTheme="minorHAnsi" w:cstheme="minorHAnsi"/>
              </w:rPr>
              <w:t xml:space="preserve">Utility </w:t>
            </w:r>
            <w:r w:rsidRPr="005F65C7">
              <w:rPr>
                <w:rFonts w:asciiTheme="minorHAnsi" w:hAnsiTheme="minorHAnsi" w:cstheme="minorHAnsi"/>
              </w:rPr>
              <w:t>1-in-10</w:t>
            </w:r>
          </w:p>
        </w:tc>
        <w:tc>
          <w:tcPr>
            <w:tcW w:w="1739" w:type="dxa"/>
            <w:tcBorders>
              <w:top w:val="nil"/>
              <w:left w:val="single" w:sz="4" w:space="0" w:color="auto"/>
              <w:bottom w:val="nil"/>
              <w:right w:val="single" w:sz="4" w:space="0" w:color="auto"/>
            </w:tcBorders>
            <w:vAlign w:val="center"/>
          </w:tcPr>
          <w:p w14:paraId="3B53EFEF" w14:textId="537C6663" w:rsidR="00791E2F" w:rsidRPr="005F65C7" w:rsidRDefault="005644EE" w:rsidP="00F73669">
            <w:pPr>
              <w:keepNext/>
              <w:keepLines/>
              <w:jc w:val="center"/>
              <w:rPr>
                <w:rFonts w:asciiTheme="minorHAnsi" w:hAnsiTheme="minorHAnsi" w:cstheme="minorHAnsi"/>
              </w:rPr>
            </w:pPr>
            <w:r>
              <w:rPr>
                <w:rFonts w:asciiTheme="minorHAnsi" w:hAnsiTheme="minorHAnsi" w:cstheme="minorHAnsi"/>
              </w:rPr>
              <w:t>858.</w:t>
            </w:r>
            <w:r w:rsidR="000F493B">
              <w:rPr>
                <w:rFonts w:asciiTheme="minorHAnsi" w:hAnsiTheme="minorHAnsi" w:cstheme="minorHAnsi"/>
              </w:rPr>
              <w:t>2</w:t>
            </w:r>
          </w:p>
        </w:tc>
        <w:tc>
          <w:tcPr>
            <w:tcW w:w="1715" w:type="dxa"/>
            <w:tcBorders>
              <w:top w:val="nil"/>
              <w:left w:val="single" w:sz="4" w:space="0" w:color="auto"/>
              <w:bottom w:val="nil"/>
              <w:right w:val="single" w:sz="4" w:space="0" w:color="auto"/>
            </w:tcBorders>
            <w:vAlign w:val="center"/>
          </w:tcPr>
          <w:p w14:paraId="1E288798" w14:textId="100F4575" w:rsidR="00791E2F" w:rsidRPr="005F65C7" w:rsidRDefault="000F493B" w:rsidP="00F73669">
            <w:pPr>
              <w:keepNext/>
              <w:keepLines/>
              <w:jc w:val="center"/>
              <w:rPr>
                <w:rFonts w:asciiTheme="minorHAnsi" w:hAnsiTheme="minorHAnsi" w:cstheme="minorHAnsi"/>
              </w:rPr>
            </w:pPr>
            <w:r>
              <w:rPr>
                <w:rFonts w:asciiTheme="minorHAnsi" w:hAnsiTheme="minorHAnsi" w:cstheme="minorHAnsi"/>
              </w:rPr>
              <w:t>614.4</w:t>
            </w:r>
          </w:p>
        </w:tc>
        <w:tc>
          <w:tcPr>
            <w:tcW w:w="1716" w:type="dxa"/>
            <w:tcBorders>
              <w:top w:val="nil"/>
              <w:left w:val="single" w:sz="4" w:space="0" w:color="auto"/>
              <w:bottom w:val="nil"/>
              <w:right w:val="single" w:sz="4" w:space="0" w:color="auto"/>
            </w:tcBorders>
          </w:tcPr>
          <w:p w14:paraId="13E69342" w14:textId="60110ECD" w:rsidR="00791E2F" w:rsidRPr="00E478AF" w:rsidRDefault="00791E2F" w:rsidP="00F73669">
            <w:pPr>
              <w:keepNext/>
              <w:keepLines/>
              <w:jc w:val="center"/>
              <w:rPr>
                <w:rFonts w:ascii="Arial" w:hAnsi="Arial" w:cs="Arial"/>
                <w:sz w:val="22"/>
                <w:szCs w:val="22"/>
              </w:rPr>
            </w:pPr>
            <w:r w:rsidRPr="000C41F5">
              <w:t>71.</w:t>
            </w:r>
            <w:r w:rsidR="000F493B">
              <w:t>6</w:t>
            </w:r>
            <w:r w:rsidRPr="000C41F5">
              <w:t>%</w:t>
            </w:r>
          </w:p>
        </w:tc>
      </w:tr>
      <w:tr w:rsidR="00791E2F" w14:paraId="0C305618" w14:textId="77777777" w:rsidTr="00791E2F">
        <w:trPr>
          <w:jc w:val="center"/>
        </w:trPr>
        <w:tc>
          <w:tcPr>
            <w:tcW w:w="1726" w:type="dxa"/>
            <w:tcBorders>
              <w:top w:val="nil"/>
              <w:left w:val="single" w:sz="4" w:space="0" w:color="auto"/>
              <w:bottom w:val="nil"/>
              <w:right w:val="single" w:sz="4" w:space="0" w:color="auto"/>
            </w:tcBorders>
            <w:vAlign w:val="center"/>
          </w:tcPr>
          <w:p w14:paraId="30CB9CC7" w14:textId="31858390" w:rsidR="00791E2F" w:rsidRPr="005F65C7" w:rsidRDefault="00791E2F" w:rsidP="00F73669">
            <w:pPr>
              <w:keepNext/>
              <w:keepLines/>
              <w:jc w:val="center"/>
              <w:rPr>
                <w:rFonts w:asciiTheme="minorHAnsi" w:hAnsiTheme="minorHAnsi" w:cstheme="minorHAnsi"/>
              </w:rPr>
            </w:pPr>
            <w:r>
              <w:rPr>
                <w:rFonts w:asciiTheme="minorHAnsi" w:hAnsiTheme="minorHAnsi" w:cstheme="minorHAnsi"/>
              </w:rPr>
              <w:t xml:space="preserve">CAISO </w:t>
            </w:r>
            <w:r w:rsidRPr="005F65C7">
              <w:rPr>
                <w:rFonts w:asciiTheme="minorHAnsi" w:hAnsiTheme="minorHAnsi" w:cstheme="minorHAnsi"/>
              </w:rPr>
              <w:t>1-in-2</w:t>
            </w:r>
          </w:p>
        </w:tc>
        <w:tc>
          <w:tcPr>
            <w:tcW w:w="1739" w:type="dxa"/>
            <w:tcBorders>
              <w:top w:val="nil"/>
              <w:left w:val="single" w:sz="4" w:space="0" w:color="auto"/>
              <w:bottom w:val="nil"/>
              <w:right w:val="single" w:sz="4" w:space="0" w:color="auto"/>
            </w:tcBorders>
            <w:vAlign w:val="center"/>
          </w:tcPr>
          <w:p w14:paraId="0E4A58CF" w14:textId="27CCE49B" w:rsidR="00791E2F" w:rsidRPr="005F65C7" w:rsidRDefault="000F493B" w:rsidP="00F73669">
            <w:pPr>
              <w:keepNext/>
              <w:keepLines/>
              <w:jc w:val="center"/>
              <w:rPr>
                <w:rFonts w:asciiTheme="minorHAnsi" w:hAnsiTheme="minorHAnsi" w:cstheme="minorHAnsi"/>
              </w:rPr>
            </w:pPr>
            <w:r>
              <w:rPr>
                <w:rFonts w:asciiTheme="minorHAnsi" w:hAnsiTheme="minorHAnsi" w:cstheme="minorHAnsi"/>
              </w:rPr>
              <w:t>848.5</w:t>
            </w:r>
          </w:p>
        </w:tc>
        <w:tc>
          <w:tcPr>
            <w:tcW w:w="1715" w:type="dxa"/>
            <w:tcBorders>
              <w:top w:val="nil"/>
              <w:left w:val="single" w:sz="4" w:space="0" w:color="auto"/>
              <w:bottom w:val="nil"/>
              <w:right w:val="single" w:sz="4" w:space="0" w:color="auto"/>
            </w:tcBorders>
            <w:vAlign w:val="center"/>
          </w:tcPr>
          <w:p w14:paraId="553DC0DC" w14:textId="0AA49F8F" w:rsidR="00791E2F" w:rsidRPr="005F65C7" w:rsidRDefault="000F493B" w:rsidP="00F73669">
            <w:pPr>
              <w:keepNext/>
              <w:keepLines/>
              <w:jc w:val="center"/>
              <w:rPr>
                <w:rFonts w:asciiTheme="minorHAnsi" w:hAnsiTheme="minorHAnsi" w:cstheme="minorHAnsi"/>
              </w:rPr>
            </w:pPr>
            <w:r>
              <w:rPr>
                <w:rFonts w:asciiTheme="minorHAnsi" w:hAnsiTheme="minorHAnsi" w:cstheme="minorHAnsi"/>
              </w:rPr>
              <w:t>604.7</w:t>
            </w:r>
          </w:p>
        </w:tc>
        <w:tc>
          <w:tcPr>
            <w:tcW w:w="1716" w:type="dxa"/>
            <w:tcBorders>
              <w:top w:val="nil"/>
              <w:left w:val="single" w:sz="4" w:space="0" w:color="auto"/>
              <w:bottom w:val="nil"/>
              <w:right w:val="single" w:sz="4" w:space="0" w:color="auto"/>
            </w:tcBorders>
          </w:tcPr>
          <w:p w14:paraId="3D1C9296" w14:textId="06C662C9" w:rsidR="00791E2F" w:rsidRPr="00E478AF" w:rsidRDefault="00791E2F" w:rsidP="00F73669">
            <w:pPr>
              <w:keepNext/>
              <w:keepLines/>
              <w:jc w:val="center"/>
              <w:rPr>
                <w:rFonts w:ascii="Arial" w:hAnsi="Arial" w:cs="Arial"/>
                <w:sz w:val="22"/>
                <w:szCs w:val="22"/>
              </w:rPr>
            </w:pPr>
            <w:r w:rsidRPr="000C41F5">
              <w:t>71.</w:t>
            </w:r>
            <w:r w:rsidR="000F493B">
              <w:t>3</w:t>
            </w:r>
            <w:r w:rsidRPr="000C41F5">
              <w:t>%</w:t>
            </w:r>
          </w:p>
        </w:tc>
      </w:tr>
      <w:tr w:rsidR="00791E2F" w14:paraId="046FBD8F" w14:textId="77777777" w:rsidTr="00791E2F">
        <w:trPr>
          <w:jc w:val="center"/>
        </w:trPr>
        <w:tc>
          <w:tcPr>
            <w:tcW w:w="1726" w:type="dxa"/>
            <w:tcBorders>
              <w:top w:val="nil"/>
              <w:left w:val="single" w:sz="4" w:space="0" w:color="auto"/>
              <w:bottom w:val="single" w:sz="4" w:space="0" w:color="auto"/>
              <w:right w:val="single" w:sz="4" w:space="0" w:color="auto"/>
            </w:tcBorders>
            <w:vAlign w:val="center"/>
          </w:tcPr>
          <w:p w14:paraId="459CDEA4" w14:textId="0AD5BE23" w:rsidR="00791E2F" w:rsidRPr="005F65C7" w:rsidRDefault="00791E2F" w:rsidP="00F73669">
            <w:pPr>
              <w:keepNext/>
              <w:keepLines/>
              <w:jc w:val="center"/>
              <w:rPr>
                <w:rFonts w:asciiTheme="minorHAnsi" w:hAnsiTheme="minorHAnsi" w:cstheme="minorHAnsi"/>
              </w:rPr>
            </w:pPr>
            <w:r>
              <w:rPr>
                <w:rFonts w:asciiTheme="minorHAnsi" w:hAnsiTheme="minorHAnsi" w:cstheme="minorHAnsi"/>
              </w:rPr>
              <w:t xml:space="preserve">CAISO </w:t>
            </w:r>
            <w:r w:rsidRPr="005F65C7">
              <w:rPr>
                <w:rFonts w:asciiTheme="minorHAnsi" w:hAnsiTheme="minorHAnsi" w:cstheme="minorHAnsi"/>
              </w:rPr>
              <w:t>1-in-10</w:t>
            </w:r>
          </w:p>
        </w:tc>
        <w:tc>
          <w:tcPr>
            <w:tcW w:w="1739" w:type="dxa"/>
            <w:tcBorders>
              <w:top w:val="nil"/>
              <w:left w:val="single" w:sz="4" w:space="0" w:color="auto"/>
              <w:bottom w:val="single" w:sz="4" w:space="0" w:color="auto"/>
              <w:right w:val="single" w:sz="4" w:space="0" w:color="auto"/>
            </w:tcBorders>
            <w:vAlign w:val="center"/>
          </w:tcPr>
          <w:p w14:paraId="2E1604F5" w14:textId="63BE340D" w:rsidR="00791E2F" w:rsidRPr="005F65C7" w:rsidRDefault="000F493B" w:rsidP="00F73669">
            <w:pPr>
              <w:keepNext/>
              <w:keepLines/>
              <w:jc w:val="center"/>
              <w:rPr>
                <w:rFonts w:asciiTheme="minorHAnsi" w:hAnsiTheme="minorHAnsi" w:cstheme="minorHAnsi"/>
              </w:rPr>
            </w:pPr>
            <w:r>
              <w:rPr>
                <w:rFonts w:asciiTheme="minorHAnsi" w:hAnsiTheme="minorHAnsi" w:cstheme="minorHAnsi"/>
              </w:rPr>
              <w:t>855.2</w:t>
            </w:r>
          </w:p>
        </w:tc>
        <w:tc>
          <w:tcPr>
            <w:tcW w:w="1715" w:type="dxa"/>
            <w:tcBorders>
              <w:top w:val="nil"/>
              <w:left w:val="single" w:sz="4" w:space="0" w:color="auto"/>
              <w:bottom w:val="single" w:sz="4" w:space="0" w:color="auto"/>
              <w:right w:val="single" w:sz="4" w:space="0" w:color="auto"/>
            </w:tcBorders>
            <w:vAlign w:val="center"/>
          </w:tcPr>
          <w:p w14:paraId="1DC8FA81" w14:textId="050F0EA5" w:rsidR="00791E2F" w:rsidRPr="005F65C7" w:rsidRDefault="000F493B" w:rsidP="00F73669">
            <w:pPr>
              <w:keepNext/>
              <w:keepLines/>
              <w:jc w:val="center"/>
              <w:rPr>
                <w:rFonts w:asciiTheme="minorHAnsi" w:hAnsiTheme="minorHAnsi" w:cstheme="minorHAnsi"/>
              </w:rPr>
            </w:pPr>
            <w:r>
              <w:rPr>
                <w:rFonts w:asciiTheme="minorHAnsi" w:hAnsiTheme="minorHAnsi" w:cstheme="minorHAnsi"/>
              </w:rPr>
              <w:t>611.1</w:t>
            </w:r>
          </w:p>
        </w:tc>
        <w:tc>
          <w:tcPr>
            <w:tcW w:w="1716" w:type="dxa"/>
            <w:tcBorders>
              <w:top w:val="nil"/>
              <w:left w:val="single" w:sz="4" w:space="0" w:color="auto"/>
              <w:bottom w:val="single" w:sz="4" w:space="0" w:color="auto"/>
              <w:right w:val="single" w:sz="4" w:space="0" w:color="auto"/>
            </w:tcBorders>
          </w:tcPr>
          <w:p w14:paraId="423EF5FD" w14:textId="62C39C0E" w:rsidR="00791E2F" w:rsidRPr="00E478AF" w:rsidRDefault="00791E2F" w:rsidP="00F73669">
            <w:pPr>
              <w:keepNext/>
              <w:keepLines/>
              <w:jc w:val="center"/>
              <w:rPr>
                <w:rFonts w:ascii="Arial" w:hAnsi="Arial" w:cs="Arial"/>
                <w:sz w:val="22"/>
                <w:szCs w:val="22"/>
              </w:rPr>
            </w:pPr>
            <w:r w:rsidRPr="000C41F5">
              <w:t>71.</w:t>
            </w:r>
            <w:r w:rsidR="000F493B">
              <w:t>5</w:t>
            </w:r>
            <w:r w:rsidRPr="000C41F5">
              <w:t>%</w:t>
            </w:r>
          </w:p>
        </w:tc>
      </w:tr>
    </w:tbl>
    <w:p w14:paraId="4DC7D7D6" w14:textId="77777777" w:rsidR="003E718A" w:rsidRDefault="003E718A" w:rsidP="003E718A">
      <w:pPr>
        <w:pStyle w:val="Heading3"/>
        <w:rPr>
          <w:sz w:val="22"/>
        </w:rPr>
      </w:pPr>
      <w:bookmarkStart w:id="189" w:name="_Toc411324215"/>
      <w:bookmarkStart w:id="190" w:name="_Toc510091127"/>
      <w:r>
        <w:rPr>
          <w:sz w:val="22"/>
        </w:rPr>
        <w:t>5</w:t>
      </w:r>
      <w:r w:rsidRPr="00333379">
        <w:rPr>
          <w:sz w:val="22"/>
        </w:rPr>
        <w:t>.4.2 SCE</w:t>
      </w:r>
      <w:bookmarkEnd w:id="183"/>
      <w:bookmarkEnd w:id="184"/>
      <w:bookmarkEnd w:id="185"/>
      <w:bookmarkEnd w:id="186"/>
      <w:bookmarkEnd w:id="189"/>
      <w:bookmarkEnd w:id="190"/>
    </w:p>
    <w:p w14:paraId="6F824839" w14:textId="31704FD9" w:rsidR="008F77E6" w:rsidRDefault="008F77E6" w:rsidP="008F77E6">
      <w:bookmarkStart w:id="191" w:name="_Toc411324216"/>
      <w:bookmarkStart w:id="192" w:name="_Toc326224661"/>
      <w:r>
        <w:t>Figure 5.5 shows the August 201</w:t>
      </w:r>
      <w:r w:rsidR="00523540">
        <w:t>8</w:t>
      </w:r>
      <w:r>
        <w:t xml:space="preserve"> forecast load impacts in a utility-specific 1-in-2 weather year. Event-hour (1:00 to 6:0</w:t>
      </w:r>
      <w:r w:rsidR="002372FA">
        <w:t xml:space="preserve">0 p.m.) load impacts average </w:t>
      </w:r>
      <w:r w:rsidR="008E607C">
        <w:t>619</w:t>
      </w:r>
      <w:r w:rsidR="00233627">
        <w:t xml:space="preserve"> MW, which represents </w:t>
      </w:r>
      <w:r w:rsidR="008F46D4">
        <w:t>76.5</w:t>
      </w:r>
      <w:r>
        <w:t xml:space="preserve"> percent of the enrolled reference l</w:t>
      </w:r>
      <w:r w:rsidR="00233627">
        <w:t xml:space="preserve">oad. The program-level FSL is </w:t>
      </w:r>
      <w:r w:rsidR="008F46D4">
        <w:t>106.4</w:t>
      </w:r>
      <w:r>
        <w:t xml:space="preserve"> MW, compared to the average event-hour program load of </w:t>
      </w:r>
      <w:r w:rsidR="008F46D4">
        <w:t>190.2</w:t>
      </w:r>
      <w:r>
        <w:t xml:space="preserve"> MW. This under-</w:t>
      </w:r>
      <w:r>
        <w:lastRenderedPageBreak/>
        <w:t xml:space="preserve">performance at the program level is consistent with our estimates for the </w:t>
      </w:r>
      <w:r w:rsidR="008F46D4">
        <w:t>May 3, 2017</w:t>
      </w:r>
      <w:r>
        <w:t xml:space="preserve"> event day that serves as the basis for the </w:t>
      </w:r>
      <w:r w:rsidRPr="003643E3">
        <w:rPr>
          <w:i/>
        </w:rPr>
        <w:t>ex</w:t>
      </w:r>
      <w:r w:rsidR="003643E3" w:rsidRPr="003643E3">
        <w:rPr>
          <w:i/>
        </w:rPr>
        <w:t>-</w:t>
      </w:r>
      <w:r w:rsidRPr="003643E3">
        <w:rPr>
          <w:i/>
        </w:rPr>
        <w:t>ante</w:t>
      </w:r>
      <w:r>
        <w:t xml:space="preserve"> load impacts.</w:t>
      </w:r>
    </w:p>
    <w:p w14:paraId="3703DB68" w14:textId="77777777" w:rsidR="00334041" w:rsidRDefault="00334041" w:rsidP="008F77E6"/>
    <w:p w14:paraId="449600ED" w14:textId="5FD3F925" w:rsidR="00334041" w:rsidRDefault="00334041" w:rsidP="0077324D">
      <w:pPr>
        <w:pStyle w:val="FigureCaption"/>
        <w:keepNext/>
      </w:pPr>
      <w:bookmarkStart w:id="193" w:name="_Toc508800277"/>
      <w:r w:rsidRPr="0097115E">
        <w:t>Figure</w:t>
      </w:r>
      <w:r>
        <w:t xml:space="preserve"> 5.</w:t>
      </w:r>
      <w:r w:rsidR="00372CA5">
        <w:t>5</w:t>
      </w:r>
      <w:r>
        <w:t>: SC</w:t>
      </w:r>
      <w:r w:rsidRPr="0097115E">
        <w:t xml:space="preserve">E Hourly Event Day Load Impacts for the </w:t>
      </w:r>
      <w:r w:rsidR="00420A8C">
        <w:t xml:space="preserve">2018 August </w:t>
      </w:r>
      <w:r w:rsidRPr="0097115E">
        <w:t xml:space="preserve">Event Day in a </w:t>
      </w:r>
      <w:r>
        <w:t xml:space="preserve">Utility-Specific </w:t>
      </w:r>
      <w:r w:rsidRPr="0097115E">
        <w:t>1-in-2 Weather Year</w:t>
      </w:r>
      <w:bookmarkEnd w:id="193"/>
    </w:p>
    <w:p w14:paraId="09BBF11B" w14:textId="48C96ACD" w:rsidR="00334041" w:rsidRDefault="00E42A39" w:rsidP="00233627">
      <w:pPr>
        <w:jc w:val="center"/>
      </w:pPr>
      <w:r>
        <w:rPr>
          <w:noProof/>
        </w:rPr>
        <w:drawing>
          <wp:inline distT="0" distB="0" distL="0" distR="0" wp14:anchorId="3281F45C" wp14:editId="0649658C">
            <wp:extent cx="4572635" cy="2743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4EE40445" w14:textId="77777777" w:rsidR="00334041" w:rsidRDefault="00334041" w:rsidP="008F77E6"/>
    <w:p w14:paraId="2A04F542" w14:textId="31BAC087" w:rsidR="00334041" w:rsidRDefault="00334041" w:rsidP="008F77E6">
      <w:r>
        <w:t>Figure 5.6 shows the share of load impacts by local capacity area</w:t>
      </w:r>
      <w:r w:rsidR="00294E49">
        <w:t xml:space="preserve"> for an August 2018 </w:t>
      </w:r>
      <w:r w:rsidR="00D97601">
        <w:t xml:space="preserve">event day </w:t>
      </w:r>
      <w:r w:rsidR="00294E49">
        <w:t xml:space="preserve">in a </w:t>
      </w:r>
      <w:r>
        <w:t>utility-specific 1-in-2 weather year. LA Basin customers accoun</w:t>
      </w:r>
      <w:r w:rsidR="00C52CE7">
        <w:t xml:space="preserve">t for the largest share, with </w:t>
      </w:r>
      <w:r w:rsidR="00472699">
        <w:t>7</w:t>
      </w:r>
      <w:r w:rsidR="008F46D4">
        <w:t>4</w:t>
      </w:r>
      <w:r>
        <w:t xml:space="preserve"> percent of the load impacts.</w:t>
      </w:r>
    </w:p>
    <w:p w14:paraId="607FE0AD" w14:textId="77777777" w:rsidR="00334041" w:rsidRDefault="00334041" w:rsidP="008F77E6"/>
    <w:p w14:paraId="2E6E7646" w14:textId="4E31E330" w:rsidR="00334041" w:rsidRDefault="00334041" w:rsidP="00372CA5">
      <w:pPr>
        <w:pStyle w:val="FigureCaption"/>
        <w:keepNext/>
        <w:keepLines/>
      </w:pPr>
      <w:bookmarkStart w:id="194" w:name="_Toc508800278"/>
      <w:r w:rsidRPr="00DE60B8">
        <w:rPr>
          <w:highlight w:val="lightGray"/>
          <w:shd w:val="clear" w:color="auto" w:fill="E7E6E6" w:themeFill="background2"/>
        </w:rPr>
        <w:lastRenderedPageBreak/>
        <w:t>Figure 5.6: Share of SCE Load Im</w:t>
      </w:r>
      <w:r w:rsidR="00977E79" w:rsidRPr="00DE60B8">
        <w:rPr>
          <w:highlight w:val="lightGray"/>
          <w:shd w:val="clear" w:color="auto" w:fill="E7E6E6" w:themeFill="background2"/>
        </w:rPr>
        <w:t>pacts by LCA for the August 201</w:t>
      </w:r>
      <w:r w:rsidR="008F46D4" w:rsidRPr="00DE60B8">
        <w:rPr>
          <w:highlight w:val="lightGray"/>
          <w:shd w:val="clear" w:color="auto" w:fill="E7E6E6" w:themeFill="background2"/>
        </w:rPr>
        <w:t>8</w:t>
      </w:r>
      <w:r w:rsidRPr="00DE60B8">
        <w:rPr>
          <w:highlight w:val="lightGray"/>
          <w:shd w:val="clear" w:color="auto" w:fill="E7E6E6" w:themeFill="background2"/>
        </w:rPr>
        <w:t xml:space="preserve"> Event Day in a Utility-specific 1</w:t>
      </w:r>
      <w:r w:rsidRPr="00DE60B8">
        <w:rPr>
          <w:highlight w:val="lightGray"/>
          <w:shd w:val="clear" w:color="auto" w:fill="E7E6E6" w:themeFill="background2"/>
        </w:rPr>
        <w:noBreakHyphen/>
        <w:t>in</w:t>
      </w:r>
      <w:r w:rsidRPr="00DE60B8">
        <w:rPr>
          <w:highlight w:val="lightGray"/>
          <w:shd w:val="clear" w:color="auto" w:fill="E7E6E6" w:themeFill="background2"/>
        </w:rPr>
        <w:noBreakHyphen/>
        <w:t>2 Weather Year</w:t>
      </w:r>
      <w:bookmarkEnd w:id="194"/>
      <w:r>
        <w:t xml:space="preserve"> </w:t>
      </w:r>
    </w:p>
    <w:p w14:paraId="09D7980A" w14:textId="6A41B8FB" w:rsidR="00334041" w:rsidRPr="0097115E" w:rsidRDefault="00D67BC6" w:rsidP="00B17FFE">
      <w:pPr>
        <w:keepNext/>
        <w:keepLines/>
        <w:jc w:val="center"/>
      </w:pPr>
      <w:r>
        <w:rPr>
          <w:noProof/>
        </w:rPr>
        <w:drawing>
          <wp:inline distT="0" distB="0" distL="0" distR="0" wp14:anchorId="7662723C" wp14:editId="39C56E12">
            <wp:extent cx="4572000" cy="2743200"/>
            <wp:effectExtent l="0" t="0" r="0" b="0"/>
            <wp:docPr id="37" name="Chart 37">
              <a:extLst xmlns:a="http://schemas.openxmlformats.org/drawingml/2006/main">
                <a:ext uri="{FF2B5EF4-FFF2-40B4-BE49-F238E27FC236}">
                  <a16:creationId xmlns:a16="http://schemas.microsoft.com/office/drawing/2014/main" id="{DDBDE29C-35CB-413C-8EFD-A482C7CFA0F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2D0AEADD" w14:textId="56C6EFA9" w:rsidR="00354A34" w:rsidRDefault="00354A34" w:rsidP="00354A34">
      <w:r>
        <w:t xml:space="preserve">Figure 5.7 shows the share of load impacts by notification time, assuming </w:t>
      </w:r>
      <w:r w:rsidR="00977E79">
        <w:t>an August 201</w:t>
      </w:r>
      <w:r w:rsidR="00773141">
        <w:t>8</w:t>
      </w:r>
      <w:r>
        <w:t xml:space="preserve"> </w:t>
      </w:r>
      <w:r w:rsidR="00294E49">
        <w:t xml:space="preserve">event day in a </w:t>
      </w:r>
      <w:r>
        <w:t>utility-specific 1-in-2 weather year. Customers required to reduce demand to their FSL</w:t>
      </w:r>
      <w:r w:rsidR="00AC2427">
        <w:t xml:space="preserve"> within 15</w:t>
      </w:r>
      <w:r>
        <w:t xml:space="preserve"> minutes of a Notice of Interruption </w:t>
      </w:r>
      <w:r w:rsidR="00773141">
        <w:t xml:space="preserve">make up </w:t>
      </w:r>
      <w:r w:rsidR="00D67BC6" w:rsidRPr="00D67BC6">
        <w:rPr>
          <w:highlight w:val="black"/>
        </w:rPr>
        <w:t>----------------------------------------------------------------------------------------------------------------</w:t>
      </w:r>
    </w:p>
    <w:p w14:paraId="53382C5E" w14:textId="77777777" w:rsidR="00354A34" w:rsidRDefault="00354A34" w:rsidP="008F77E6"/>
    <w:p w14:paraId="71098752" w14:textId="30D690E7" w:rsidR="00354A34" w:rsidRDefault="00354A34" w:rsidP="002712E7">
      <w:pPr>
        <w:keepNext/>
        <w:keepLines/>
        <w:jc w:val="center"/>
        <w:rPr>
          <w:noProof/>
        </w:rPr>
      </w:pPr>
      <w:bookmarkStart w:id="195" w:name="_Toc508800279"/>
      <w:r w:rsidRPr="00294E49">
        <w:rPr>
          <w:rStyle w:val="FigureCaptionChar"/>
          <w:highlight w:val="lightGray"/>
        </w:rPr>
        <w:t>Figure 5.7: Share of SCE Load Impacts by Notification Time</w:t>
      </w:r>
      <w:r w:rsidR="00977E79" w:rsidRPr="00294E49">
        <w:rPr>
          <w:rStyle w:val="FigureCaptionChar"/>
          <w:highlight w:val="lightGray"/>
        </w:rPr>
        <w:t xml:space="preserve"> for the August </w:t>
      </w:r>
      <w:r w:rsidR="008B6A7C" w:rsidRPr="00294E49">
        <w:rPr>
          <w:rStyle w:val="FigureCaptionChar"/>
          <w:highlight w:val="lightGray"/>
        </w:rPr>
        <w:t xml:space="preserve">2018 </w:t>
      </w:r>
      <w:r w:rsidRPr="00294E49">
        <w:rPr>
          <w:rStyle w:val="FigureCaptionChar"/>
          <w:highlight w:val="lightGray"/>
        </w:rPr>
        <w:t>Event Day in a Utility-specific 1</w:t>
      </w:r>
      <w:r w:rsidRPr="00294E49">
        <w:rPr>
          <w:rStyle w:val="FigureCaptionChar"/>
          <w:highlight w:val="lightGray"/>
        </w:rPr>
        <w:noBreakHyphen/>
        <w:t>in</w:t>
      </w:r>
      <w:r w:rsidRPr="00294E49">
        <w:rPr>
          <w:rStyle w:val="FigureCaptionChar"/>
          <w:highlight w:val="lightGray"/>
        </w:rPr>
        <w:noBreakHyphen/>
        <w:t>2 Weather Year</w:t>
      </w:r>
      <w:bookmarkEnd w:id="195"/>
      <w:r w:rsidR="00AC2427" w:rsidRPr="00AC2427">
        <w:rPr>
          <w:noProof/>
        </w:rPr>
        <w:t xml:space="preserve"> </w:t>
      </w:r>
    </w:p>
    <w:p w14:paraId="15995AD7" w14:textId="33248337" w:rsidR="00354A34" w:rsidRDefault="00D67BC6" w:rsidP="00EF4165">
      <w:pPr>
        <w:keepNext/>
        <w:keepLines/>
        <w:jc w:val="center"/>
      </w:pPr>
      <w:r>
        <w:rPr>
          <w:noProof/>
        </w:rPr>
        <w:drawing>
          <wp:inline distT="0" distB="0" distL="0" distR="0" wp14:anchorId="1ACAB0EC" wp14:editId="6CF1FC56">
            <wp:extent cx="4572000" cy="2743200"/>
            <wp:effectExtent l="0" t="0" r="0" b="0"/>
            <wp:docPr id="38" name="Chart 38">
              <a:extLst xmlns:a="http://schemas.openxmlformats.org/drawingml/2006/main">
                <a:ext uri="{FF2B5EF4-FFF2-40B4-BE49-F238E27FC236}">
                  <a16:creationId xmlns:a16="http://schemas.microsoft.com/office/drawing/2014/main" id="{DDBDE29C-35CB-413C-8EFD-A482C7CFA0F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094C8DB5" w14:textId="77777777" w:rsidR="002712E7" w:rsidRDefault="002712E7" w:rsidP="008F77E6"/>
    <w:p w14:paraId="27A478C4" w14:textId="749B21C6" w:rsidR="00DB7F6B" w:rsidRDefault="00DB7F6B" w:rsidP="008F77E6">
      <w:r>
        <w:t>Figure 5.</w:t>
      </w:r>
      <w:r w:rsidR="00354A34">
        <w:t>8</w:t>
      </w:r>
      <w:r>
        <w:t xml:space="preserve"> illustrates August</w:t>
      </w:r>
      <w:r w:rsidR="00A04E4B">
        <w:t xml:space="preserve"> event day</w:t>
      </w:r>
      <w:r>
        <w:t xml:space="preserve"> load i</w:t>
      </w:r>
      <w:r w:rsidR="007E6864">
        <w:t>mpact</w:t>
      </w:r>
      <w:r w:rsidR="00A04E4B">
        <w:t>s</w:t>
      </w:r>
      <w:r w:rsidR="007E6864">
        <w:t xml:space="preserve"> for each forecast scenario</w:t>
      </w:r>
      <w:r>
        <w:t xml:space="preserve">, differentiated by 1-in-2 versus 1-in-10 weather conditions under both utility-specific and CAISO-coincident peak conditions. </w:t>
      </w:r>
      <w:r w:rsidR="007E6864">
        <w:t xml:space="preserve">These load impacts are shown for </w:t>
      </w:r>
      <w:r w:rsidR="001E76C8">
        <w:t>forecast years 2018 through 2021</w:t>
      </w:r>
      <w:r w:rsidR="007E6864">
        <w:t xml:space="preserve">. </w:t>
      </w:r>
      <w:r>
        <w:t xml:space="preserve">The load impact is not sensitive to weather conditions, </w:t>
      </w:r>
      <w:r w:rsidR="007E6864">
        <w:t xml:space="preserve">but it </w:t>
      </w:r>
      <w:r w:rsidR="007E6864">
        <w:lastRenderedPageBreak/>
        <w:t xml:space="preserve">decreases </w:t>
      </w:r>
      <w:r w:rsidR="008B6A7C">
        <w:t>until 2023</w:t>
      </w:r>
      <w:r w:rsidR="007E6864">
        <w:t xml:space="preserve"> due to forecast</w:t>
      </w:r>
      <w:r w:rsidR="008B6A7C">
        <w:t>ed</w:t>
      </w:r>
      <w:r w:rsidR="007E6864">
        <w:t xml:space="preserve"> reductions in enrollment</w:t>
      </w:r>
      <w:r w:rsidR="008B6A7C">
        <w:t>, at which point it remains constant</w:t>
      </w:r>
      <w:r w:rsidR="007E6864">
        <w:t>.</w:t>
      </w:r>
    </w:p>
    <w:p w14:paraId="7E002CFC" w14:textId="77777777" w:rsidR="00DB7F6B" w:rsidRDefault="00DB7F6B" w:rsidP="008F77E6"/>
    <w:p w14:paraId="67CACB10" w14:textId="71AED8EB" w:rsidR="00DB7F6B" w:rsidRDefault="00DB7F6B" w:rsidP="00AB21AC">
      <w:pPr>
        <w:pStyle w:val="FigureCaption"/>
        <w:keepNext/>
        <w:keepLines/>
      </w:pPr>
      <w:bookmarkStart w:id="196" w:name="_Toc508800280"/>
      <w:r w:rsidRPr="0097115E">
        <w:t xml:space="preserve">Figure </w:t>
      </w:r>
      <w:r>
        <w:t>5</w:t>
      </w:r>
      <w:r w:rsidRPr="0097115E">
        <w:t>.</w:t>
      </w:r>
      <w:r w:rsidR="00354A34">
        <w:t>8</w:t>
      </w:r>
      <w:r w:rsidRPr="0097115E">
        <w:t xml:space="preserve">:  Average </w:t>
      </w:r>
      <w:r w:rsidR="00A22D15">
        <w:t>August</w:t>
      </w:r>
      <w:r w:rsidRPr="0097115E">
        <w:t xml:space="preserve"> </w:t>
      </w:r>
      <w:r w:rsidRPr="003643E3">
        <w:rPr>
          <w:i/>
        </w:rPr>
        <w:t>Ex</w:t>
      </w:r>
      <w:r w:rsidR="003643E3" w:rsidRPr="003643E3">
        <w:rPr>
          <w:i/>
        </w:rPr>
        <w:t>-a</w:t>
      </w:r>
      <w:r w:rsidRPr="003643E3">
        <w:rPr>
          <w:i/>
        </w:rPr>
        <w:t>nte</w:t>
      </w:r>
      <w:r w:rsidRPr="0097115E">
        <w:t xml:space="preserve"> Load Impacts by Scenario</w:t>
      </w:r>
      <w:r w:rsidR="007E6864">
        <w:t xml:space="preserve"> and Year</w:t>
      </w:r>
      <w:r w:rsidRPr="0097115E">
        <w:t xml:space="preserve">, </w:t>
      </w:r>
      <w:r>
        <w:rPr>
          <w:i/>
        </w:rPr>
        <w:t>SC</w:t>
      </w:r>
      <w:r w:rsidRPr="0097115E">
        <w:rPr>
          <w:i/>
        </w:rPr>
        <w:t>E</w:t>
      </w:r>
      <w:bookmarkEnd w:id="196"/>
    </w:p>
    <w:p w14:paraId="44F85773" w14:textId="56B2A483" w:rsidR="00DB7F6B" w:rsidRDefault="00716A04" w:rsidP="00A45694">
      <w:pPr>
        <w:jc w:val="center"/>
      </w:pPr>
      <w:r>
        <w:rPr>
          <w:noProof/>
        </w:rPr>
        <w:drawing>
          <wp:inline distT="0" distB="0" distL="0" distR="0" wp14:anchorId="6BC22076" wp14:editId="5C9B8E65">
            <wp:extent cx="4572635" cy="27432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24A2F031" w14:textId="5BC4A98C" w:rsidR="00027B68" w:rsidRDefault="00027B68" w:rsidP="00D3007C"/>
    <w:p w14:paraId="2596537D" w14:textId="388BE893" w:rsidR="00D3007C" w:rsidRDefault="00D3007C" w:rsidP="00D3007C">
      <w:r>
        <w:t>Table 5.3</w:t>
      </w:r>
      <w:r w:rsidR="00BF5521">
        <w:t xml:space="preserve"> shows the </w:t>
      </w:r>
      <w:r>
        <w:t xml:space="preserve">per-customer reference loads and load impacts by weather year (1-in-2 and 1-in-10 for both utility-specific and CAISO-coincident peak conditions) for the August </w:t>
      </w:r>
      <w:r w:rsidR="00610DFA">
        <w:t>201</w:t>
      </w:r>
      <w:r w:rsidR="001E76C8">
        <w:t>8</w:t>
      </w:r>
      <w:r w:rsidR="00BF5521">
        <w:t xml:space="preserve"> </w:t>
      </w:r>
      <w:r w:rsidR="00583E48">
        <w:t>event</w:t>
      </w:r>
      <w:r>
        <w:t xml:space="preserve"> day.</w:t>
      </w:r>
    </w:p>
    <w:p w14:paraId="130DA985" w14:textId="77777777" w:rsidR="00D3007C" w:rsidRDefault="00D3007C" w:rsidP="00D3007C"/>
    <w:p w14:paraId="0E2D1542" w14:textId="4DFCDA1D" w:rsidR="00D3007C" w:rsidRDefault="00D3007C" w:rsidP="00D3007C">
      <w:pPr>
        <w:pStyle w:val="TableCaption"/>
        <w:keepNext/>
        <w:keepLines/>
      </w:pPr>
      <w:bookmarkStart w:id="197" w:name="_Toc508800230"/>
      <w:r>
        <w:t xml:space="preserve">Table 5.3: Per-customer </w:t>
      </w:r>
      <w:r w:rsidRPr="003643E3">
        <w:rPr>
          <w:i/>
        </w:rPr>
        <w:t>Ex</w:t>
      </w:r>
      <w:r w:rsidR="003643E3" w:rsidRPr="003643E3">
        <w:rPr>
          <w:i/>
        </w:rPr>
        <w:t>-a</w:t>
      </w:r>
      <w:r w:rsidR="003643E3">
        <w:rPr>
          <w:i/>
        </w:rPr>
        <w:t>n</w:t>
      </w:r>
      <w:r w:rsidRPr="003643E3">
        <w:rPr>
          <w:i/>
        </w:rPr>
        <w:t>te</w:t>
      </w:r>
      <w:r>
        <w:t xml:space="preserve"> </w:t>
      </w:r>
      <w:r w:rsidR="00610DFA">
        <w:t>August 201</w:t>
      </w:r>
      <w:r w:rsidR="001E76C8">
        <w:t>8</w:t>
      </w:r>
      <w:r w:rsidR="00610DFA">
        <w:t xml:space="preserve"> </w:t>
      </w:r>
      <w:r>
        <w:t>Load Impacts</w:t>
      </w:r>
      <w:r w:rsidR="00610DFA">
        <w:t xml:space="preserve"> by Scenario</w:t>
      </w:r>
      <w:r>
        <w:t xml:space="preserve">, </w:t>
      </w:r>
      <w:r>
        <w:rPr>
          <w:i/>
        </w:rPr>
        <w:t>SC</w:t>
      </w:r>
      <w:r w:rsidRPr="00624938">
        <w:rPr>
          <w:i/>
        </w:rPr>
        <w:t>E</w:t>
      </w:r>
      <w:bookmarkEnd w:id="197"/>
    </w:p>
    <w:tbl>
      <w:tblPr>
        <w:tblStyle w:val="TableGrid"/>
        <w:tblW w:w="0" w:type="auto"/>
        <w:jc w:val="center"/>
        <w:tblLook w:val="04A0" w:firstRow="1" w:lastRow="0" w:firstColumn="1" w:lastColumn="0" w:noHBand="0" w:noVBand="1"/>
      </w:tblPr>
      <w:tblGrid>
        <w:gridCol w:w="1725"/>
        <w:gridCol w:w="1738"/>
        <w:gridCol w:w="1717"/>
        <w:gridCol w:w="1716"/>
      </w:tblGrid>
      <w:tr w:rsidR="00710F70" w14:paraId="40722049" w14:textId="77777777" w:rsidTr="006B55F6">
        <w:trPr>
          <w:jc w:val="center"/>
        </w:trPr>
        <w:tc>
          <w:tcPr>
            <w:tcW w:w="1725" w:type="dxa"/>
            <w:tcBorders>
              <w:left w:val="single" w:sz="4" w:space="0" w:color="auto"/>
              <w:bottom w:val="single" w:sz="4" w:space="0" w:color="auto"/>
              <w:right w:val="single" w:sz="4" w:space="0" w:color="FFFFFF" w:themeColor="background1"/>
            </w:tcBorders>
            <w:shd w:val="clear" w:color="auto" w:fill="0C2577"/>
            <w:vAlign w:val="center"/>
          </w:tcPr>
          <w:p w14:paraId="60BD9628" w14:textId="77777777" w:rsidR="00710F70" w:rsidRPr="00E478AF" w:rsidRDefault="00710F70" w:rsidP="00AF1B75">
            <w:pPr>
              <w:keepNext/>
              <w:keepLines/>
              <w:jc w:val="center"/>
              <w:rPr>
                <w:rFonts w:ascii="Arial" w:hAnsi="Arial" w:cs="Arial"/>
                <w:b/>
                <w:sz w:val="22"/>
                <w:szCs w:val="22"/>
              </w:rPr>
            </w:pPr>
            <w:r w:rsidRPr="00E478AF">
              <w:rPr>
                <w:rFonts w:ascii="Arial" w:hAnsi="Arial" w:cs="Arial"/>
                <w:b/>
                <w:sz w:val="22"/>
                <w:szCs w:val="22"/>
              </w:rPr>
              <w:t>Weather Year</w:t>
            </w:r>
          </w:p>
        </w:tc>
        <w:tc>
          <w:tcPr>
            <w:tcW w:w="1738"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64366CD9" w14:textId="5463F2BB" w:rsidR="00710F70" w:rsidRPr="00E478AF" w:rsidRDefault="00710F70" w:rsidP="00AF1B75">
            <w:pPr>
              <w:keepNext/>
              <w:keepLines/>
              <w:jc w:val="center"/>
              <w:rPr>
                <w:rFonts w:ascii="Arial" w:hAnsi="Arial" w:cs="Arial"/>
                <w:b/>
                <w:sz w:val="22"/>
                <w:szCs w:val="22"/>
              </w:rPr>
            </w:pPr>
            <w:r w:rsidRPr="00E478AF">
              <w:rPr>
                <w:rFonts w:ascii="Arial" w:hAnsi="Arial" w:cs="Arial"/>
                <w:b/>
                <w:sz w:val="22"/>
                <w:szCs w:val="22"/>
              </w:rPr>
              <w:t>Reference Load (kW</w:t>
            </w:r>
            <w:r w:rsidR="00A278B4">
              <w:rPr>
                <w:rFonts w:ascii="Arial" w:hAnsi="Arial" w:cs="Arial"/>
                <w:b/>
                <w:sz w:val="22"/>
                <w:szCs w:val="22"/>
              </w:rPr>
              <w:t>h/h</w:t>
            </w:r>
            <w:r w:rsidRPr="00E478AF">
              <w:rPr>
                <w:rFonts w:ascii="Arial" w:hAnsi="Arial" w:cs="Arial"/>
                <w:b/>
                <w:sz w:val="22"/>
                <w:szCs w:val="22"/>
              </w:rPr>
              <w:t>)</w:t>
            </w:r>
          </w:p>
        </w:tc>
        <w:tc>
          <w:tcPr>
            <w:tcW w:w="1717"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16FAA563" w14:textId="58E76D91" w:rsidR="00710F70" w:rsidRPr="00E478AF" w:rsidRDefault="00710F70" w:rsidP="00AF1B75">
            <w:pPr>
              <w:keepNext/>
              <w:keepLines/>
              <w:jc w:val="center"/>
              <w:rPr>
                <w:rFonts w:ascii="Arial" w:hAnsi="Arial" w:cs="Arial"/>
                <w:b/>
                <w:sz w:val="22"/>
                <w:szCs w:val="22"/>
              </w:rPr>
            </w:pPr>
            <w:r w:rsidRPr="00E478AF">
              <w:rPr>
                <w:rFonts w:ascii="Arial" w:hAnsi="Arial" w:cs="Arial"/>
                <w:b/>
                <w:sz w:val="22"/>
                <w:szCs w:val="22"/>
              </w:rPr>
              <w:t>Load Impact (kW</w:t>
            </w:r>
            <w:r w:rsidR="00A278B4">
              <w:rPr>
                <w:rFonts w:ascii="Arial" w:hAnsi="Arial" w:cs="Arial"/>
                <w:b/>
                <w:sz w:val="22"/>
                <w:szCs w:val="22"/>
              </w:rPr>
              <w:t>h/h</w:t>
            </w:r>
            <w:r w:rsidRPr="00E478AF">
              <w:rPr>
                <w:rFonts w:ascii="Arial" w:hAnsi="Arial" w:cs="Arial"/>
                <w:b/>
                <w:sz w:val="22"/>
                <w:szCs w:val="22"/>
              </w:rPr>
              <w:t>)</w:t>
            </w:r>
          </w:p>
        </w:tc>
        <w:tc>
          <w:tcPr>
            <w:tcW w:w="1716" w:type="dxa"/>
            <w:tcBorders>
              <w:left w:val="single" w:sz="4" w:space="0" w:color="FFFFFF" w:themeColor="background1"/>
              <w:bottom w:val="single" w:sz="4" w:space="0" w:color="auto"/>
            </w:tcBorders>
            <w:shd w:val="clear" w:color="auto" w:fill="0C2577"/>
            <w:vAlign w:val="center"/>
          </w:tcPr>
          <w:p w14:paraId="28A797AA" w14:textId="77777777" w:rsidR="00710F70" w:rsidRPr="00E478AF" w:rsidRDefault="00710F70" w:rsidP="00AF1B75">
            <w:pPr>
              <w:keepNext/>
              <w:keepLines/>
              <w:jc w:val="center"/>
              <w:rPr>
                <w:rFonts w:ascii="Arial" w:hAnsi="Arial" w:cs="Arial"/>
                <w:b/>
                <w:sz w:val="22"/>
                <w:szCs w:val="22"/>
              </w:rPr>
            </w:pPr>
            <w:r w:rsidRPr="00E478AF">
              <w:rPr>
                <w:rFonts w:ascii="Arial" w:hAnsi="Arial" w:cs="Arial"/>
                <w:b/>
                <w:sz w:val="22"/>
                <w:szCs w:val="22"/>
              </w:rPr>
              <w:t>% Load Impact</w:t>
            </w:r>
          </w:p>
        </w:tc>
      </w:tr>
      <w:tr w:rsidR="00710F70" w14:paraId="1075E7D6" w14:textId="77777777" w:rsidTr="00710F70">
        <w:trPr>
          <w:jc w:val="center"/>
        </w:trPr>
        <w:tc>
          <w:tcPr>
            <w:tcW w:w="1725" w:type="dxa"/>
            <w:tcBorders>
              <w:top w:val="single" w:sz="4" w:space="0" w:color="auto"/>
              <w:left w:val="single" w:sz="4" w:space="0" w:color="auto"/>
              <w:bottom w:val="nil"/>
              <w:right w:val="single" w:sz="4" w:space="0" w:color="auto"/>
            </w:tcBorders>
            <w:vAlign w:val="center"/>
          </w:tcPr>
          <w:p w14:paraId="368016E3" w14:textId="46826631" w:rsidR="00710F70" w:rsidRPr="00982373" w:rsidRDefault="00710F70" w:rsidP="00982373">
            <w:pPr>
              <w:keepNext/>
              <w:keepLines/>
              <w:jc w:val="center"/>
              <w:rPr>
                <w:rFonts w:asciiTheme="minorHAnsi" w:hAnsiTheme="minorHAnsi" w:cstheme="minorHAnsi"/>
              </w:rPr>
            </w:pPr>
            <w:r>
              <w:rPr>
                <w:rFonts w:asciiTheme="minorHAnsi" w:hAnsiTheme="minorHAnsi" w:cstheme="minorHAnsi"/>
              </w:rPr>
              <w:t xml:space="preserve">Utility </w:t>
            </w:r>
            <w:r w:rsidRPr="00982373">
              <w:rPr>
                <w:rFonts w:asciiTheme="minorHAnsi" w:hAnsiTheme="minorHAnsi" w:cstheme="minorHAnsi"/>
              </w:rPr>
              <w:t>1-in-2</w:t>
            </w:r>
          </w:p>
        </w:tc>
        <w:tc>
          <w:tcPr>
            <w:tcW w:w="1738" w:type="dxa"/>
            <w:tcBorders>
              <w:top w:val="single" w:sz="4" w:space="0" w:color="auto"/>
              <w:left w:val="single" w:sz="4" w:space="0" w:color="auto"/>
              <w:bottom w:val="nil"/>
              <w:right w:val="single" w:sz="4" w:space="0" w:color="auto"/>
            </w:tcBorders>
            <w:vAlign w:val="center"/>
          </w:tcPr>
          <w:p w14:paraId="6AFAD602" w14:textId="22109068" w:rsidR="00710F70" w:rsidRPr="00982373" w:rsidRDefault="00710F70" w:rsidP="00982373">
            <w:pPr>
              <w:keepNext/>
              <w:keepLines/>
              <w:jc w:val="center"/>
              <w:rPr>
                <w:rFonts w:asciiTheme="minorHAnsi" w:hAnsiTheme="minorHAnsi" w:cstheme="minorHAnsi"/>
              </w:rPr>
            </w:pPr>
            <w:r w:rsidRPr="00982373">
              <w:rPr>
                <w:rFonts w:asciiTheme="minorHAnsi" w:hAnsiTheme="minorHAnsi" w:cstheme="minorHAnsi"/>
              </w:rPr>
              <w:t>1,455.3</w:t>
            </w:r>
          </w:p>
        </w:tc>
        <w:tc>
          <w:tcPr>
            <w:tcW w:w="1717" w:type="dxa"/>
            <w:tcBorders>
              <w:top w:val="single" w:sz="4" w:space="0" w:color="auto"/>
              <w:left w:val="single" w:sz="4" w:space="0" w:color="auto"/>
              <w:bottom w:val="nil"/>
              <w:right w:val="single" w:sz="4" w:space="0" w:color="auto"/>
            </w:tcBorders>
            <w:vAlign w:val="center"/>
          </w:tcPr>
          <w:p w14:paraId="33F0F8DF" w14:textId="0A9D7E21" w:rsidR="00710F70" w:rsidRPr="00982373" w:rsidRDefault="00710F70" w:rsidP="00982373">
            <w:pPr>
              <w:keepNext/>
              <w:keepLines/>
              <w:jc w:val="center"/>
              <w:rPr>
                <w:rFonts w:asciiTheme="minorHAnsi" w:hAnsiTheme="minorHAnsi" w:cstheme="minorHAnsi"/>
              </w:rPr>
            </w:pPr>
            <w:r w:rsidRPr="00982373">
              <w:rPr>
                <w:rFonts w:asciiTheme="minorHAnsi" w:hAnsiTheme="minorHAnsi" w:cstheme="minorHAnsi"/>
              </w:rPr>
              <w:t>1,111.2</w:t>
            </w:r>
          </w:p>
        </w:tc>
        <w:tc>
          <w:tcPr>
            <w:tcW w:w="1716" w:type="dxa"/>
            <w:tcBorders>
              <w:top w:val="single" w:sz="4" w:space="0" w:color="auto"/>
              <w:left w:val="single" w:sz="4" w:space="0" w:color="auto"/>
              <w:bottom w:val="nil"/>
              <w:right w:val="single" w:sz="4" w:space="0" w:color="auto"/>
            </w:tcBorders>
          </w:tcPr>
          <w:p w14:paraId="3E885D73" w14:textId="5F593C40" w:rsidR="00710F70" w:rsidRPr="00E478AF" w:rsidRDefault="00710F70" w:rsidP="00982373">
            <w:pPr>
              <w:keepNext/>
              <w:keepLines/>
              <w:jc w:val="center"/>
              <w:rPr>
                <w:rFonts w:ascii="Arial" w:hAnsi="Arial" w:cs="Arial"/>
                <w:sz w:val="22"/>
                <w:szCs w:val="22"/>
              </w:rPr>
            </w:pPr>
            <w:r w:rsidRPr="00CA3396">
              <w:t>76.4%</w:t>
            </w:r>
          </w:p>
        </w:tc>
      </w:tr>
      <w:tr w:rsidR="00710F70" w14:paraId="2D8AE291" w14:textId="77777777" w:rsidTr="00710F70">
        <w:trPr>
          <w:jc w:val="center"/>
        </w:trPr>
        <w:tc>
          <w:tcPr>
            <w:tcW w:w="1725" w:type="dxa"/>
            <w:tcBorders>
              <w:top w:val="nil"/>
              <w:left w:val="single" w:sz="4" w:space="0" w:color="auto"/>
              <w:bottom w:val="nil"/>
              <w:right w:val="single" w:sz="4" w:space="0" w:color="auto"/>
            </w:tcBorders>
            <w:vAlign w:val="center"/>
          </w:tcPr>
          <w:p w14:paraId="7171DD7A" w14:textId="6E82EA0E" w:rsidR="00710F70" w:rsidRPr="00982373" w:rsidRDefault="00710F70" w:rsidP="00982373">
            <w:pPr>
              <w:keepNext/>
              <w:keepLines/>
              <w:jc w:val="center"/>
              <w:rPr>
                <w:rFonts w:asciiTheme="minorHAnsi" w:hAnsiTheme="minorHAnsi" w:cstheme="minorHAnsi"/>
              </w:rPr>
            </w:pPr>
            <w:r>
              <w:rPr>
                <w:rFonts w:asciiTheme="minorHAnsi" w:hAnsiTheme="minorHAnsi" w:cstheme="minorHAnsi"/>
              </w:rPr>
              <w:t xml:space="preserve">Utility </w:t>
            </w:r>
            <w:r w:rsidRPr="00982373">
              <w:rPr>
                <w:rFonts w:asciiTheme="minorHAnsi" w:hAnsiTheme="minorHAnsi" w:cstheme="minorHAnsi"/>
              </w:rPr>
              <w:t>1-in-10</w:t>
            </w:r>
          </w:p>
        </w:tc>
        <w:tc>
          <w:tcPr>
            <w:tcW w:w="1738" w:type="dxa"/>
            <w:tcBorders>
              <w:top w:val="nil"/>
              <w:left w:val="single" w:sz="4" w:space="0" w:color="auto"/>
              <w:bottom w:val="nil"/>
              <w:right w:val="single" w:sz="4" w:space="0" w:color="auto"/>
            </w:tcBorders>
            <w:vAlign w:val="center"/>
          </w:tcPr>
          <w:p w14:paraId="384A8DA1" w14:textId="1548D50C" w:rsidR="00710F70" w:rsidRPr="00982373" w:rsidRDefault="00710F70" w:rsidP="00982373">
            <w:pPr>
              <w:keepNext/>
              <w:keepLines/>
              <w:jc w:val="center"/>
              <w:rPr>
                <w:rFonts w:asciiTheme="minorHAnsi" w:hAnsiTheme="minorHAnsi" w:cstheme="minorHAnsi"/>
              </w:rPr>
            </w:pPr>
            <w:r w:rsidRPr="00982373">
              <w:rPr>
                <w:rFonts w:asciiTheme="minorHAnsi" w:hAnsiTheme="minorHAnsi" w:cstheme="minorHAnsi"/>
              </w:rPr>
              <w:t>1,461.8</w:t>
            </w:r>
          </w:p>
        </w:tc>
        <w:tc>
          <w:tcPr>
            <w:tcW w:w="1717" w:type="dxa"/>
            <w:tcBorders>
              <w:top w:val="nil"/>
              <w:left w:val="single" w:sz="4" w:space="0" w:color="auto"/>
              <w:bottom w:val="nil"/>
              <w:right w:val="single" w:sz="4" w:space="0" w:color="auto"/>
            </w:tcBorders>
            <w:vAlign w:val="center"/>
          </w:tcPr>
          <w:p w14:paraId="1F281A27" w14:textId="43664697" w:rsidR="00710F70" w:rsidRPr="00982373" w:rsidRDefault="00710F70" w:rsidP="00982373">
            <w:pPr>
              <w:keepNext/>
              <w:keepLines/>
              <w:jc w:val="center"/>
              <w:rPr>
                <w:rFonts w:asciiTheme="minorHAnsi" w:hAnsiTheme="minorHAnsi" w:cstheme="minorHAnsi"/>
              </w:rPr>
            </w:pPr>
            <w:r w:rsidRPr="00982373">
              <w:rPr>
                <w:rFonts w:asciiTheme="minorHAnsi" w:hAnsiTheme="minorHAnsi" w:cstheme="minorHAnsi"/>
              </w:rPr>
              <w:t>1,114.9</w:t>
            </w:r>
          </w:p>
        </w:tc>
        <w:tc>
          <w:tcPr>
            <w:tcW w:w="1716" w:type="dxa"/>
            <w:tcBorders>
              <w:top w:val="nil"/>
              <w:left w:val="single" w:sz="4" w:space="0" w:color="auto"/>
              <w:bottom w:val="nil"/>
              <w:right w:val="single" w:sz="4" w:space="0" w:color="auto"/>
            </w:tcBorders>
          </w:tcPr>
          <w:p w14:paraId="60801AA4" w14:textId="4D9ADC03" w:rsidR="00710F70" w:rsidRPr="00E478AF" w:rsidRDefault="00710F70" w:rsidP="00982373">
            <w:pPr>
              <w:keepNext/>
              <w:keepLines/>
              <w:jc w:val="center"/>
              <w:rPr>
                <w:rFonts w:ascii="Arial" w:hAnsi="Arial" w:cs="Arial"/>
                <w:sz w:val="22"/>
                <w:szCs w:val="22"/>
              </w:rPr>
            </w:pPr>
            <w:r w:rsidRPr="00CA3396">
              <w:t>76.3%</w:t>
            </w:r>
          </w:p>
        </w:tc>
      </w:tr>
      <w:tr w:rsidR="00710F70" w14:paraId="587803E8" w14:textId="77777777" w:rsidTr="00710F70">
        <w:trPr>
          <w:jc w:val="center"/>
        </w:trPr>
        <w:tc>
          <w:tcPr>
            <w:tcW w:w="1725" w:type="dxa"/>
            <w:tcBorders>
              <w:top w:val="nil"/>
              <w:left w:val="single" w:sz="4" w:space="0" w:color="auto"/>
              <w:bottom w:val="nil"/>
              <w:right w:val="single" w:sz="4" w:space="0" w:color="auto"/>
            </w:tcBorders>
            <w:vAlign w:val="center"/>
          </w:tcPr>
          <w:p w14:paraId="7E32564A" w14:textId="2370CC81" w:rsidR="00710F70" w:rsidRPr="00982373" w:rsidRDefault="00710F70" w:rsidP="00982373">
            <w:pPr>
              <w:keepNext/>
              <w:keepLines/>
              <w:jc w:val="center"/>
              <w:rPr>
                <w:rFonts w:asciiTheme="minorHAnsi" w:hAnsiTheme="minorHAnsi" w:cstheme="minorHAnsi"/>
              </w:rPr>
            </w:pPr>
            <w:r>
              <w:rPr>
                <w:rFonts w:asciiTheme="minorHAnsi" w:hAnsiTheme="minorHAnsi" w:cstheme="minorHAnsi"/>
              </w:rPr>
              <w:t xml:space="preserve">CAISO </w:t>
            </w:r>
            <w:r w:rsidRPr="00982373">
              <w:rPr>
                <w:rFonts w:asciiTheme="minorHAnsi" w:hAnsiTheme="minorHAnsi" w:cstheme="minorHAnsi"/>
              </w:rPr>
              <w:t>1-in-2</w:t>
            </w:r>
          </w:p>
        </w:tc>
        <w:tc>
          <w:tcPr>
            <w:tcW w:w="1738" w:type="dxa"/>
            <w:tcBorders>
              <w:top w:val="nil"/>
              <w:left w:val="single" w:sz="4" w:space="0" w:color="auto"/>
              <w:bottom w:val="nil"/>
              <w:right w:val="single" w:sz="4" w:space="0" w:color="auto"/>
            </w:tcBorders>
            <w:vAlign w:val="center"/>
          </w:tcPr>
          <w:p w14:paraId="6C255934" w14:textId="54580477" w:rsidR="00710F70" w:rsidRPr="00982373" w:rsidRDefault="00710F70" w:rsidP="00982373">
            <w:pPr>
              <w:keepNext/>
              <w:keepLines/>
              <w:jc w:val="center"/>
              <w:rPr>
                <w:rFonts w:asciiTheme="minorHAnsi" w:hAnsiTheme="minorHAnsi" w:cstheme="minorHAnsi"/>
              </w:rPr>
            </w:pPr>
            <w:r w:rsidRPr="00982373">
              <w:rPr>
                <w:rFonts w:asciiTheme="minorHAnsi" w:hAnsiTheme="minorHAnsi" w:cstheme="minorHAnsi"/>
              </w:rPr>
              <w:t>1,453.5</w:t>
            </w:r>
          </w:p>
        </w:tc>
        <w:tc>
          <w:tcPr>
            <w:tcW w:w="1717" w:type="dxa"/>
            <w:tcBorders>
              <w:top w:val="nil"/>
              <w:left w:val="single" w:sz="4" w:space="0" w:color="auto"/>
              <w:bottom w:val="nil"/>
              <w:right w:val="single" w:sz="4" w:space="0" w:color="auto"/>
            </w:tcBorders>
            <w:vAlign w:val="center"/>
          </w:tcPr>
          <w:p w14:paraId="6FDC17B3" w14:textId="6BE5303D" w:rsidR="00710F70" w:rsidRPr="00982373" w:rsidRDefault="00710F70" w:rsidP="00982373">
            <w:pPr>
              <w:keepNext/>
              <w:keepLines/>
              <w:jc w:val="center"/>
              <w:rPr>
                <w:rFonts w:asciiTheme="minorHAnsi" w:hAnsiTheme="minorHAnsi" w:cstheme="minorHAnsi"/>
              </w:rPr>
            </w:pPr>
            <w:r w:rsidRPr="00982373">
              <w:rPr>
                <w:rFonts w:asciiTheme="minorHAnsi" w:hAnsiTheme="minorHAnsi" w:cstheme="minorHAnsi"/>
              </w:rPr>
              <w:t>1,110.2</w:t>
            </w:r>
          </w:p>
        </w:tc>
        <w:tc>
          <w:tcPr>
            <w:tcW w:w="1716" w:type="dxa"/>
            <w:tcBorders>
              <w:top w:val="nil"/>
              <w:left w:val="single" w:sz="4" w:space="0" w:color="auto"/>
              <w:bottom w:val="nil"/>
              <w:right w:val="single" w:sz="4" w:space="0" w:color="auto"/>
            </w:tcBorders>
          </w:tcPr>
          <w:p w14:paraId="698618F3" w14:textId="50E801C5" w:rsidR="00710F70" w:rsidRPr="00E478AF" w:rsidRDefault="00710F70" w:rsidP="00982373">
            <w:pPr>
              <w:keepNext/>
              <w:keepLines/>
              <w:jc w:val="center"/>
              <w:rPr>
                <w:rFonts w:ascii="Arial" w:hAnsi="Arial" w:cs="Arial"/>
                <w:sz w:val="22"/>
                <w:szCs w:val="22"/>
              </w:rPr>
            </w:pPr>
            <w:r w:rsidRPr="00CA3396">
              <w:t>76.4%</w:t>
            </w:r>
          </w:p>
        </w:tc>
      </w:tr>
      <w:tr w:rsidR="00710F70" w14:paraId="3067173D" w14:textId="77777777" w:rsidTr="00710F70">
        <w:trPr>
          <w:jc w:val="center"/>
        </w:trPr>
        <w:tc>
          <w:tcPr>
            <w:tcW w:w="1725" w:type="dxa"/>
            <w:tcBorders>
              <w:top w:val="nil"/>
              <w:left w:val="single" w:sz="4" w:space="0" w:color="auto"/>
              <w:bottom w:val="single" w:sz="4" w:space="0" w:color="auto"/>
              <w:right w:val="single" w:sz="4" w:space="0" w:color="auto"/>
            </w:tcBorders>
            <w:vAlign w:val="center"/>
          </w:tcPr>
          <w:p w14:paraId="5E28AB0E" w14:textId="6738413E" w:rsidR="00710F70" w:rsidRPr="00982373" w:rsidRDefault="00710F70" w:rsidP="00982373">
            <w:pPr>
              <w:keepNext/>
              <w:keepLines/>
              <w:jc w:val="center"/>
              <w:rPr>
                <w:rFonts w:asciiTheme="minorHAnsi" w:hAnsiTheme="minorHAnsi" w:cstheme="minorHAnsi"/>
              </w:rPr>
            </w:pPr>
            <w:r>
              <w:rPr>
                <w:rFonts w:asciiTheme="minorHAnsi" w:hAnsiTheme="minorHAnsi" w:cstheme="minorHAnsi"/>
              </w:rPr>
              <w:t xml:space="preserve">CAISO </w:t>
            </w:r>
            <w:r w:rsidRPr="00982373">
              <w:rPr>
                <w:rFonts w:asciiTheme="minorHAnsi" w:hAnsiTheme="minorHAnsi" w:cstheme="minorHAnsi"/>
              </w:rPr>
              <w:t>1-in-10</w:t>
            </w:r>
          </w:p>
        </w:tc>
        <w:tc>
          <w:tcPr>
            <w:tcW w:w="1738" w:type="dxa"/>
            <w:tcBorders>
              <w:top w:val="nil"/>
              <w:left w:val="single" w:sz="4" w:space="0" w:color="auto"/>
              <w:bottom w:val="single" w:sz="4" w:space="0" w:color="auto"/>
              <w:right w:val="single" w:sz="4" w:space="0" w:color="auto"/>
            </w:tcBorders>
            <w:vAlign w:val="center"/>
          </w:tcPr>
          <w:p w14:paraId="59372D46" w14:textId="04BC691E" w:rsidR="00710F70" w:rsidRPr="00982373" w:rsidRDefault="00710F70" w:rsidP="00982373">
            <w:pPr>
              <w:keepNext/>
              <w:keepLines/>
              <w:jc w:val="center"/>
              <w:rPr>
                <w:rFonts w:asciiTheme="minorHAnsi" w:hAnsiTheme="minorHAnsi" w:cstheme="minorHAnsi"/>
              </w:rPr>
            </w:pPr>
            <w:r w:rsidRPr="00982373">
              <w:rPr>
                <w:rFonts w:asciiTheme="minorHAnsi" w:hAnsiTheme="minorHAnsi" w:cstheme="minorHAnsi"/>
              </w:rPr>
              <w:t>1,458.2</w:t>
            </w:r>
          </w:p>
        </w:tc>
        <w:tc>
          <w:tcPr>
            <w:tcW w:w="1717" w:type="dxa"/>
            <w:tcBorders>
              <w:top w:val="nil"/>
              <w:left w:val="single" w:sz="4" w:space="0" w:color="auto"/>
              <w:bottom w:val="single" w:sz="4" w:space="0" w:color="auto"/>
              <w:right w:val="single" w:sz="4" w:space="0" w:color="auto"/>
            </w:tcBorders>
            <w:vAlign w:val="center"/>
          </w:tcPr>
          <w:p w14:paraId="34D0B391" w14:textId="61EF101B" w:rsidR="00710F70" w:rsidRPr="00982373" w:rsidRDefault="00710F70" w:rsidP="00982373">
            <w:pPr>
              <w:keepNext/>
              <w:keepLines/>
              <w:jc w:val="center"/>
              <w:rPr>
                <w:rFonts w:asciiTheme="minorHAnsi" w:hAnsiTheme="minorHAnsi" w:cstheme="minorHAnsi"/>
              </w:rPr>
            </w:pPr>
            <w:r w:rsidRPr="00982373">
              <w:rPr>
                <w:rFonts w:asciiTheme="minorHAnsi" w:hAnsiTheme="minorHAnsi" w:cstheme="minorHAnsi"/>
              </w:rPr>
              <w:t>1,113.0</w:t>
            </w:r>
          </w:p>
        </w:tc>
        <w:tc>
          <w:tcPr>
            <w:tcW w:w="1716" w:type="dxa"/>
            <w:tcBorders>
              <w:top w:val="nil"/>
              <w:left w:val="single" w:sz="4" w:space="0" w:color="auto"/>
              <w:bottom w:val="single" w:sz="4" w:space="0" w:color="auto"/>
              <w:right w:val="single" w:sz="4" w:space="0" w:color="auto"/>
            </w:tcBorders>
          </w:tcPr>
          <w:p w14:paraId="4585930C" w14:textId="4FF9C50A" w:rsidR="00710F70" w:rsidRPr="00E478AF" w:rsidRDefault="00710F70" w:rsidP="00982373">
            <w:pPr>
              <w:keepNext/>
              <w:keepLines/>
              <w:jc w:val="center"/>
              <w:rPr>
                <w:rFonts w:ascii="Arial" w:hAnsi="Arial" w:cs="Arial"/>
                <w:sz w:val="22"/>
                <w:szCs w:val="22"/>
              </w:rPr>
            </w:pPr>
            <w:r w:rsidRPr="00CA3396">
              <w:t>76.3%</w:t>
            </w:r>
          </w:p>
        </w:tc>
      </w:tr>
    </w:tbl>
    <w:p w14:paraId="7F38154E" w14:textId="77777777" w:rsidR="00D3007C" w:rsidRDefault="00D3007C" w:rsidP="008F77E6"/>
    <w:p w14:paraId="4D565A1C" w14:textId="77777777" w:rsidR="003E718A" w:rsidRPr="007E650A" w:rsidRDefault="003E718A" w:rsidP="003E718A">
      <w:pPr>
        <w:pStyle w:val="Heading3"/>
        <w:rPr>
          <w:sz w:val="22"/>
        </w:rPr>
      </w:pPr>
      <w:bookmarkStart w:id="198" w:name="_Toc510091128"/>
      <w:r>
        <w:rPr>
          <w:sz w:val="22"/>
        </w:rPr>
        <w:t>5</w:t>
      </w:r>
      <w:r w:rsidRPr="000334AA">
        <w:rPr>
          <w:sz w:val="22"/>
        </w:rPr>
        <w:t>.4.3 SDG&amp;E</w:t>
      </w:r>
      <w:bookmarkEnd w:id="191"/>
      <w:bookmarkEnd w:id="198"/>
    </w:p>
    <w:bookmarkEnd w:id="192"/>
    <w:p w14:paraId="6728DB1C" w14:textId="6F8F70AC" w:rsidR="00A20B16" w:rsidRDefault="00A20B16" w:rsidP="00A20B16">
      <w:r w:rsidRPr="00363C63">
        <w:t xml:space="preserve">Figure </w:t>
      </w:r>
      <w:r w:rsidR="00B47CA3" w:rsidRPr="00363C63">
        <w:t>5.9</w:t>
      </w:r>
      <w:r w:rsidRPr="00363C63">
        <w:t xml:space="preserve"> shows</w:t>
      </w:r>
      <w:r>
        <w:t xml:space="preserve"> the load impact</w:t>
      </w:r>
      <w:r w:rsidR="00C505BD">
        <w:t xml:space="preserve"> forecast</w:t>
      </w:r>
      <w:r>
        <w:t xml:space="preserve"> for</w:t>
      </w:r>
      <w:r w:rsidR="00C505BD">
        <w:t xml:space="preserve"> </w:t>
      </w:r>
      <w:r>
        <w:t>a</w:t>
      </w:r>
      <w:r w:rsidR="00294E49">
        <w:t>n August</w:t>
      </w:r>
      <w:r>
        <w:t xml:space="preserve"> </w:t>
      </w:r>
      <w:r w:rsidR="00BE4307">
        <w:t xml:space="preserve">2018 </w:t>
      </w:r>
      <w:r>
        <w:t xml:space="preserve">event day in a utility-specific 1-in-2 weather year. </w:t>
      </w:r>
      <w:r w:rsidR="006F6DCC" w:rsidRPr="0086367A">
        <w:t xml:space="preserve">The average hourly load impact from 1:00 to 6:00 p.m. is forecast to be </w:t>
      </w:r>
      <w:r w:rsidR="00707297" w:rsidRPr="0086367A">
        <w:t>1.</w:t>
      </w:r>
      <w:r w:rsidR="008F37E0" w:rsidRPr="0086367A">
        <w:t>3</w:t>
      </w:r>
      <w:r w:rsidR="00B44B37" w:rsidRPr="0086367A">
        <w:t xml:space="preserve"> </w:t>
      </w:r>
      <w:r w:rsidRPr="0086367A">
        <w:t xml:space="preserve">MW, which represents </w:t>
      </w:r>
      <w:r w:rsidR="008F37E0" w:rsidRPr="0086367A">
        <w:t>52.7</w:t>
      </w:r>
      <w:r w:rsidRPr="0086367A">
        <w:t xml:space="preserve"> percent of the enrolled reference load. </w:t>
      </w:r>
      <w:r w:rsidR="006F6DCC" w:rsidRPr="0086367A">
        <w:t>T</w:t>
      </w:r>
      <w:r w:rsidRPr="0086367A">
        <w:t xml:space="preserve">he average event-hour program load of </w:t>
      </w:r>
      <w:r w:rsidR="008F37E0" w:rsidRPr="0086367A">
        <w:t>1.1</w:t>
      </w:r>
      <w:r w:rsidR="00B44B37" w:rsidRPr="0086367A">
        <w:t xml:space="preserve"> MW</w:t>
      </w:r>
      <w:r w:rsidR="006F6DCC" w:rsidRPr="0086367A">
        <w:t xml:space="preserve"> is lower than the program-level FSL of </w:t>
      </w:r>
      <w:r w:rsidR="008F37E0" w:rsidRPr="0086367A">
        <w:t>1.4</w:t>
      </w:r>
      <w:r w:rsidR="006F6DCC" w:rsidRPr="0086367A">
        <w:t xml:space="preserve"> MW</w:t>
      </w:r>
      <w:r w:rsidR="00B44B37" w:rsidRPr="0086367A">
        <w:t xml:space="preserve">. </w:t>
      </w:r>
      <w:r w:rsidR="006F6DCC" w:rsidRPr="0086367A">
        <w:t>Customers over-perform throughout</w:t>
      </w:r>
      <w:r w:rsidR="00BE4307" w:rsidRPr="0086367A">
        <w:t xml:space="preserve"> all </w:t>
      </w:r>
      <w:r w:rsidR="006F6DCC" w:rsidRPr="0086367A">
        <w:t xml:space="preserve">event hours, </w:t>
      </w:r>
      <w:r w:rsidRPr="0086367A">
        <w:t xml:space="preserve">consistent with our </w:t>
      </w:r>
      <w:r w:rsidR="006F6DCC" w:rsidRPr="0086367A">
        <w:rPr>
          <w:i/>
        </w:rPr>
        <w:t>ex-post</w:t>
      </w:r>
      <w:r w:rsidR="006F6DCC" w:rsidRPr="0086367A">
        <w:t xml:space="preserve"> </w:t>
      </w:r>
      <w:r w:rsidRPr="0086367A">
        <w:t xml:space="preserve">estimates for the </w:t>
      </w:r>
      <w:r w:rsidR="008F37E0" w:rsidRPr="0086367A">
        <w:t>August 31, 2017</w:t>
      </w:r>
      <w:r w:rsidRPr="0086367A">
        <w:t xml:space="preserve"> event day that serves as the basis for the </w:t>
      </w:r>
      <w:r w:rsidRPr="0086367A">
        <w:rPr>
          <w:i/>
        </w:rPr>
        <w:t>ex</w:t>
      </w:r>
      <w:r w:rsidR="00500BCF" w:rsidRPr="0086367A">
        <w:rPr>
          <w:i/>
        </w:rPr>
        <w:t>-</w:t>
      </w:r>
      <w:r w:rsidRPr="0086367A">
        <w:rPr>
          <w:i/>
        </w:rPr>
        <w:t>ante</w:t>
      </w:r>
      <w:r w:rsidRPr="0086367A">
        <w:t xml:space="preserve"> load impacts.</w:t>
      </w:r>
      <w:r w:rsidR="00B44B37">
        <w:t xml:space="preserve"> </w:t>
      </w:r>
    </w:p>
    <w:p w14:paraId="256AC0DA" w14:textId="77777777" w:rsidR="00A20B16" w:rsidRDefault="00A20B16" w:rsidP="00A20B16"/>
    <w:p w14:paraId="0B753275" w14:textId="06714DDC" w:rsidR="00A20B16" w:rsidRPr="0097115E" w:rsidRDefault="00A20B16" w:rsidP="0086367A">
      <w:pPr>
        <w:pStyle w:val="FigureCaption"/>
        <w:keepNext/>
        <w:keepLines/>
      </w:pPr>
      <w:bookmarkStart w:id="199" w:name="_Toc508800281"/>
      <w:r w:rsidRPr="00363C63">
        <w:lastRenderedPageBreak/>
        <w:t xml:space="preserve">Figure </w:t>
      </w:r>
      <w:r w:rsidR="00B93C09" w:rsidRPr="00363C63">
        <w:t>5.9</w:t>
      </w:r>
      <w:r w:rsidRPr="00363C63">
        <w:t>: SDG</w:t>
      </w:r>
      <w:r w:rsidRPr="0097115E">
        <w:t xml:space="preserve">&amp;E Hourly Event Day Load Impacts for the </w:t>
      </w:r>
      <w:r w:rsidR="008B6A7C">
        <w:t xml:space="preserve">August 2018 </w:t>
      </w:r>
      <w:r w:rsidRPr="0097115E">
        <w:t xml:space="preserve">Event Day in a </w:t>
      </w:r>
      <w:r>
        <w:t xml:space="preserve">Utility-Specific </w:t>
      </w:r>
      <w:r w:rsidRPr="0097115E">
        <w:t>1-in-2 Weather Year</w:t>
      </w:r>
      <w:bookmarkEnd w:id="199"/>
    </w:p>
    <w:p w14:paraId="392D1937" w14:textId="71DAD773" w:rsidR="00A20B16" w:rsidRPr="00A22D9A" w:rsidRDefault="00E42A39" w:rsidP="0007751F">
      <w:pPr>
        <w:keepNext/>
        <w:keepLines/>
        <w:spacing w:after="120"/>
        <w:jc w:val="center"/>
      </w:pPr>
      <w:r>
        <w:rPr>
          <w:noProof/>
        </w:rPr>
        <w:drawing>
          <wp:inline distT="0" distB="0" distL="0" distR="0" wp14:anchorId="3628C46A" wp14:editId="74295CD2">
            <wp:extent cx="4572635" cy="2743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69934C2B" w14:textId="77777777" w:rsidR="00A20B16" w:rsidRDefault="00A20B16" w:rsidP="00A20B16"/>
    <w:p w14:paraId="0B1E950C" w14:textId="05856519" w:rsidR="00A22D15" w:rsidRDefault="00A22D15" w:rsidP="00A20B16">
      <w:r>
        <w:t xml:space="preserve">Figure 5.10 illustrates </w:t>
      </w:r>
      <w:r w:rsidR="00EC0256">
        <w:t>2018</w:t>
      </w:r>
      <w:r w:rsidR="00294E49">
        <w:t xml:space="preserve"> to </w:t>
      </w:r>
      <w:r w:rsidR="00EC0256">
        <w:t xml:space="preserve">2028 </w:t>
      </w:r>
      <w:r>
        <w:t xml:space="preserve">August load impact for each forecast scenario, differentiated by 1-in-2 versus 1-in-10 weather conditions under both utility-specific and CAISO-coincident peak conditions. The enrollment forecast </w:t>
      </w:r>
      <w:r w:rsidR="00EC0256">
        <w:t>slightly increases until 2022 and then remains constant.</w:t>
      </w:r>
      <w:r>
        <w:t xml:space="preserve"> </w:t>
      </w:r>
      <w:r w:rsidR="00EC0256">
        <w:t xml:space="preserve">These load impacts are consistent with the increases in enrollments and the load impacts found in the </w:t>
      </w:r>
      <w:r w:rsidR="00EC0256" w:rsidRPr="00294E49">
        <w:rPr>
          <w:i/>
        </w:rPr>
        <w:t>ex-post</w:t>
      </w:r>
      <w:r w:rsidR="00EC0256">
        <w:t xml:space="preserve"> analysis.</w:t>
      </w:r>
    </w:p>
    <w:p w14:paraId="7DB558AF" w14:textId="77777777" w:rsidR="00605144" w:rsidRDefault="00605144" w:rsidP="00A20B16"/>
    <w:p w14:paraId="456B4FD7" w14:textId="10AF3FEE" w:rsidR="00027B68" w:rsidRPr="0097115E" w:rsidRDefault="00027B68" w:rsidP="0086367A">
      <w:pPr>
        <w:pStyle w:val="FigureCaption"/>
        <w:keepNext/>
        <w:keepLines/>
      </w:pPr>
      <w:bookmarkStart w:id="200" w:name="_Toc508800282"/>
      <w:r w:rsidRPr="0086367A">
        <w:t xml:space="preserve">Figure 5.10:  Average </w:t>
      </w:r>
      <w:r w:rsidR="00A22D15" w:rsidRPr="0086367A">
        <w:t>August</w:t>
      </w:r>
      <w:r w:rsidRPr="0086367A">
        <w:t xml:space="preserve"> </w:t>
      </w:r>
      <w:r w:rsidRPr="0086367A">
        <w:rPr>
          <w:i/>
        </w:rPr>
        <w:t>Ex-ante</w:t>
      </w:r>
      <w:r w:rsidRPr="0086367A">
        <w:t xml:space="preserve"> Load Impacts by Scenario, 201</w:t>
      </w:r>
      <w:r w:rsidR="00CD3E18" w:rsidRPr="0086367A">
        <w:t>8</w:t>
      </w:r>
      <w:r w:rsidR="00EC0256" w:rsidRPr="0086367A">
        <w:t>-2028</w:t>
      </w:r>
      <w:r w:rsidR="00CD3E18" w:rsidRPr="0086367A">
        <w:t>,</w:t>
      </w:r>
      <w:r w:rsidRPr="0086367A">
        <w:t xml:space="preserve"> </w:t>
      </w:r>
      <w:r w:rsidRPr="0086367A">
        <w:rPr>
          <w:i/>
        </w:rPr>
        <w:t>SDG&amp;E</w:t>
      </w:r>
      <w:bookmarkEnd w:id="200"/>
    </w:p>
    <w:p w14:paraId="40E2B669" w14:textId="5701BC6B" w:rsidR="00027B68" w:rsidRPr="004C2509" w:rsidRDefault="00EC0256" w:rsidP="00027B68">
      <w:pPr>
        <w:keepNext/>
        <w:keepLines/>
        <w:jc w:val="center"/>
      </w:pPr>
      <w:r>
        <w:rPr>
          <w:noProof/>
        </w:rPr>
        <w:drawing>
          <wp:inline distT="0" distB="0" distL="0" distR="0" wp14:anchorId="2BF53B5B" wp14:editId="1B47A315">
            <wp:extent cx="4572635" cy="2743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42D0466D" w14:textId="77777777" w:rsidR="00027B68" w:rsidRDefault="00027B68" w:rsidP="00A20B16"/>
    <w:p w14:paraId="33DD0157" w14:textId="14282C36" w:rsidR="00A20B16" w:rsidRDefault="00A20B16" w:rsidP="00A20B16">
      <w:r w:rsidRPr="00363C63">
        <w:t>Table 5.</w:t>
      </w:r>
      <w:r w:rsidR="00A12FE8" w:rsidRPr="00363C63">
        <w:t>4</w:t>
      </w:r>
      <w:r>
        <w:t xml:space="preserve"> shows the per-customer reference loads and loa</w:t>
      </w:r>
      <w:r w:rsidR="00A12FE8">
        <w:t>d impacts by weather year (1-in</w:t>
      </w:r>
      <w:r>
        <w:t>-2 and 1-in-10 for both utility-specific and CAISO-coincident</w:t>
      </w:r>
      <w:r w:rsidR="00A00D81">
        <w:t xml:space="preserve"> peak conditions) for the</w:t>
      </w:r>
      <w:r>
        <w:t xml:space="preserve"> </w:t>
      </w:r>
      <w:r w:rsidR="00CD3E18">
        <w:lastRenderedPageBreak/>
        <w:t>2018</w:t>
      </w:r>
      <w:r w:rsidR="00A12FE8">
        <w:t xml:space="preserve"> </w:t>
      </w:r>
      <w:r w:rsidR="00294E49">
        <w:t xml:space="preserve">August </w:t>
      </w:r>
      <w:r w:rsidR="00D1417B">
        <w:t>e</w:t>
      </w:r>
      <w:r w:rsidR="00A00D81">
        <w:t xml:space="preserve">vent </w:t>
      </w:r>
      <w:r w:rsidR="00D1417B">
        <w:t>d</w:t>
      </w:r>
      <w:r w:rsidR="00A00D81">
        <w:t>ay</w:t>
      </w:r>
      <w:r>
        <w:t>.</w:t>
      </w:r>
      <w:r w:rsidR="00852E76">
        <w:t xml:space="preserve"> The lack of variation across scenarios indicates that the reference loads (and therefore the load impacts) are not very sensitive to weather conditions.</w:t>
      </w:r>
    </w:p>
    <w:p w14:paraId="094E3787" w14:textId="77777777" w:rsidR="00027B68" w:rsidRDefault="00027B68" w:rsidP="00A20B16"/>
    <w:p w14:paraId="40893C53" w14:textId="519B6F44" w:rsidR="00A20B16" w:rsidRDefault="00A20B16" w:rsidP="00A20B16">
      <w:pPr>
        <w:pStyle w:val="TableCaption"/>
        <w:keepNext/>
        <w:keepLines/>
      </w:pPr>
      <w:bookmarkStart w:id="201" w:name="_Toc508800231"/>
      <w:r>
        <w:t>Table 5.</w:t>
      </w:r>
      <w:r w:rsidR="00F1414D">
        <w:t>4</w:t>
      </w:r>
      <w:r>
        <w:t xml:space="preserve">: Per-customer </w:t>
      </w:r>
      <w:r w:rsidRPr="00500BCF">
        <w:rPr>
          <w:i/>
        </w:rPr>
        <w:t>Ex</w:t>
      </w:r>
      <w:r w:rsidR="00500BCF" w:rsidRPr="00500BCF">
        <w:rPr>
          <w:i/>
        </w:rPr>
        <w:t>-a</w:t>
      </w:r>
      <w:r w:rsidRPr="00500BCF">
        <w:rPr>
          <w:i/>
        </w:rPr>
        <w:t>nte</w:t>
      </w:r>
      <w:r>
        <w:t xml:space="preserve"> </w:t>
      </w:r>
      <w:r w:rsidR="00B74FF3">
        <w:t>August 201</w:t>
      </w:r>
      <w:r w:rsidR="00CD3E18">
        <w:t>8</w:t>
      </w:r>
      <w:r w:rsidR="00B74FF3">
        <w:t xml:space="preserve"> </w:t>
      </w:r>
      <w:r>
        <w:t>Load Impacts</w:t>
      </w:r>
      <w:r w:rsidR="00B74FF3">
        <w:t xml:space="preserve"> by Scenario</w:t>
      </w:r>
      <w:r>
        <w:t xml:space="preserve">, </w:t>
      </w:r>
      <w:r w:rsidR="00B44B37">
        <w:rPr>
          <w:i/>
        </w:rPr>
        <w:t>SD</w:t>
      </w:r>
      <w:r w:rsidRPr="00624938">
        <w:rPr>
          <w:i/>
        </w:rPr>
        <w:t>G&amp;E</w:t>
      </w:r>
      <w:bookmarkEnd w:id="201"/>
    </w:p>
    <w:tbl>
      <w:tblPr>
        <w:tblStyle w:val="TableGrid"/>
        <w:tblW w:w="0" w:type="auto"/>
        <w:jc w:val="center"/>
        <w:tblLook w:val="04A0" w:firstRow="1" w:lastRow="0" w:firstColumn="1" w:lastColumn="0" w:noHBand="0" w:noVBand="1"/>
      </w:tblPr>
      <w:tblGrid>
        <w:gridCol w:w="1726"/>
        <w:gridCol w:w="1739"/>
        <w:gridCol w:w="1715"/>
        <w:gridCol w:w="1716"/>
      </w:tblGrid>
      <w:tr w:rsidR="00C172EB" w14:paraId="543AB52E" w14:textId="77777777" w:rsidTr="006A4795">
        <w:trPr>
          <w:jc w:val="center"/>
        </w:trPr>
        <w:tc>
          <w:tcPr>
            <w:tcW w:w="1726" w:type="dxa"/>
            <w:tcBorders>
              <w:left w:val="single" w:sz="4" w:space="0" w:color="auto"/>
              <w:bottom w:val="single" w:sz="4" w:space="0" w:color="auto"/>
              <w:right w:val="single" w:sz="4" w:space="0" w:color="FFFFFF" w:themeColor="background1"/>
            </w:tcBorders>
            <w:shd w:val="clear" w:color="auto" w:fill="0C2577"/>
            <w:vAlign w:val="center"/>
          </w:tcPr>
          <w:p w14:paraId="74199064" w14:textId="77777777" w:rsidR="00C172EB" w:rsidRPr="00E478AF" w:rsidRDefault="00C172EB" w:rsidP="00173834">
            <w:pPr>
              <w:keepNext/>
              <w:keepLines/>
              <w:jc w:val="center"/>
              <w:rPr>
                <w:rFonts w:ascii="Arial" w:hAnsi="Arial" w:cs="Arial"/>
                <w:b/>
                <w:sz w:val="22"/>
                <w:szCs w:val="22"/>
              </w:rPr>
            </w:pPr>
            <w:r w:rsidRPr="00E478AF">
              <w:rPr>
                <w:rFonts w:ascii="Arial" w:hAnsi="Arial" w:cs="Arial"/>
                <w:b/>
                <w:sz w:val="22"/>
                <w:szCs w:val="22"/>
              </w:rPr>
              <w:t>Weather Year</w:t>
            </w:r>
          </w:p>
        </w:tc>
        <w:tc>
          <w:tcPr>
            <w:tcW w:w="1739"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13C552D4" w14:textId="6830EF29" w:rsidR="00C172EB" w:rsidRPr="00E478AF" w:rsidRDefault="00C172EB" w:rsidP="00173834">
            <w:pPr>
              <w:keepNext/>
              <w:keepLines/>
              <w:jc w:val="center"/>
              <w:rPr>
                <w:rFonts w:ascii="Arial" w:hAnsi="Arial" w:cs="Arial"/>
                <w:b/>
                <w:sz w:val="22"/>
                <w:szCs w:val="22"/>
              </w:rPr>
            </w:pPr>
            <w:r w:rsidRPr="00E478AF">
              <w:rPr>
                <w:rFonts w:ascii="Arial" w:hAnsi="Arial" w:cs="Arial"/>
                <w:b/>
                <w:sz w:val="22"/>
                <w:szCs w:val="22"/>
              </w:rPr>
              <w:t>Reference Load (kW</w:t>
            </w:r>
            <w:r w:rsidR="00A278B4">
              <w:rPr>
                <w:rFonts w:ascii="Arial" w:hAnsi="Arial" w:cs="Arial"/>
                <w:b/>
                <w:sz w:val="22"/>
                <w:szCs w:val="22"/>
              </w:rPr>
              <w:t>h/h</w:t>
            </w:r>
            <w:r w:rsidRPr="00E478AF">
              <w:rPr>
                <w:rFonts w:ascii="Arial" w:hAnsi="Arial" w:cs="Arial"/>
                <w:b/>
                <w:sz w:val="22"/>
                <w:szCs w:val="22"/>
              </w:rPr>
              <w:t>)</w:t>
            </w:r>
          </w:p>
        </w:tc>
        <w:tc>
          <w:tcPr>
            <w:tcW w:w="1715" w:type="dxa"/>
            <w:tcBorders>
              <w:left w:val="single" w:sz="4" w:space="0" w:color="FFFFFF" w:themeColor="background1"/>
              <w:bottom w:val="single" w:sz="4" w:space="0" w:color="auto"/>
              <w:right w:val="single" w:sz="4" w:space="0" w:color="FFFFFF" w:themeColor="background1"/>
            </w:tcBorders>
            <w:shd w:val="clear" w:color="auto" w:fill="0C2577"/>
            <w:vAlign w:val="center"/>
          </w:tcPr>
          <w:p w14:paraId="1407444B" w14:textId="712F3D41" w:rsidR="00C172EB" w:rsidRPr="00E478AF" w:rsidRDefault="00C172EB" w:rsidP="00173834">
            <w:pPr>
              <w:keepNext/>
              <w:keepLines/>
              <w:jc w:val="center"/>
              <w:rPr>
                <w:rFonts w:ascii="Arial" w:hAnsi="Arial" w:cs="Arial"/>
                <w:b/>
                <w:sz w:val="22"/>
                <w:szCs w:val="22"/>
              </w:rPr>
            </w:pPr>
            <w:r w:rsidRPr="00E478AF">
              <w:rPr>
                <w:rFonts w:ascii="Arial" w:hAnsi="Arial" w:cs="Arial"/>
                <w:b/>
                <w:sz w:val="22"/>
                <w:szCs w:val="22"/>
              </w:rPr>
              <w:t>Load Impact (kW</w:t>
            </w:r>
            <w:r w:rsidR="00A278B4">
              <w:rPr>
                <w:rFonts w:ascii="Arial" w:hAnsi="Arial" w:cs="Arial"/>
                <w:b/>
                <w:sz w:val="22"/>
                <w:szCs w:val="22"/>
              </w:rPr>
              <w:t>h/h</w:t>
            </w:r>
            <w:r w:rsidRPr="00E478AF">
              <w:rPr>
                <w:rFonts w:ascii="Arial" w:hAnsi="Arial" w:cs="Arial"/>
                <w:b/>
                <w:sz w:val="22"/>
                <w:szCs w:val="22"/>
              </w:rPr>
              <w:t>)</w:t>
            </w:r>
          </w:p>
        </w:tc>
        <w:tc>
          <w:tcPr>
            <w:tcW w:w="1716" w:type="dxa"/>
            <w:tcBorders>
              <w:left w:val="single" w:sz="4" w:space="0" w:color="FFFFFF" w:themeColor="background1"/>
              <w:bottom w:val="single" w:sz="4" w:space="0" w:color="auto"/>
            </w:tcBorders>
            <w:shd w:val="clear" w:color="auto" w:fill="0C2577"/>
            <w:vAlign w:val="center"/>
          </w:tcPr>
          <w:p w14:paraId="75D3AA57" w14:textId="77777777" w:rsidR="00C172EB" w:rsidRPr="00E478AF" w:rsidRDefault="00C172EB" w:rsidP="00173834">
            <w:pPr>
              <w:keepNext/>
              <w:keepLines/>
              <w:jc w:val="center"/>
              <w:rPr>
                <w:rFonts w:ascii="Arial" w:hAnsi="Arial" w:cs="Arial"/>
                <w:b/>
                <w:sz w:val="22"/>
                <w:szCs w:val="22"/>
              </w:rPr>
            </w:pPr>
            <w:r w:rsidRPr="00E478AF">
              <w:rPr>
                <w:rFonts w:ascii="Arial" w:hAnsi="Arial" w:cs="Arial"/>
                <w:b/>
                <w:sz w:val="22"/>
                <w:szCs w:val="22"/>
              </w:rPr>
              <w:t>% Load Impact</w:t>
            </w:r>
          </w:p>
        </w:tc>
      </w:tr>
      <w:tr w:rsidR="00C172EB" w14:paraId="179FB3B9" w14:textId="77777777" w:rsidTr="0086367A">
        <w:trPr>
          <w:jc w:val="center"/>
        </w:trPr>
        <w:tc>
          <w:tcPr>
            <w:tcW w:w="1726" w:type="dxa"/>
            <w:tcBorders>
              <w:top w:val="single" w:sz="4" w:space="0" w:color="auto"/>
              <w:left w:val="single" w:sz="4" w:space="0" w:color="auto"/>
              <w:bottom w:val="nil"/>
              <w:right w:val="single" w:sz="4" w:space="0" w:color="auto"/>
            </w:tcBorders>
            <w:vAlign w:val="center"/>
          </w:tcPr>
          <w:p w14:paraId="63D95A4A" w14:textId="30C04583" w:rsidR="00C172EB" w:rsidRPr="004215B5" w:rsidRDefault="00C172EB" w:rsidP="00C172EB">
            <w:pPr>
              <w:keepNext/>
              <w:keepLines/>
              <w:jc w:val="center"/>
              <w:rPr>
                <w:rFonts w:asciiTheme="minorHAnsi" w:hAnsiTheme="minorHAnsi" w:cstheme="minorHAnsi"/>
              </w:rPr>
            </w:pPr>
            <w:r>
              <w:rPr>
                <w:rFonts w:asciiTheme="minorHAnsi" w:hAnsiTheme="minorHAnsi" w:cstheme="minorHAnsi"/>
              </w:rPr>
              <w:t xml:space="preserve">Utility </w:t>
            </w:r>
            <w:r w:rsidRPr="004215B5">
              <w:rPr>
                <w:rFonts w:asciiTheme="minorHAnsi" w:hAnsiTheme="minorHAnsi" w:cstheme="minorHAnsi"/>
              </w:rPr>
              <w:t>1-in-2</w:t>
            </w:r>
          </w:p>
        </w:tc>
        <w:tc>
          <w:tcPr>
            <w:tcW w:w="1739" w:type="dxa"/>
            <w:tcBorders>
              <w:top w:val="single" w:sz="4" w:space="0" w:color="auto"/>
              <w:left w:val="single" w:sz="4" w:space="0" w:color="auto"/>
              <w:bottom w:val="nil"/>
              <w:right w:val="single" w:sz="4" w:space="0" w:color="auto"/>
            </w:tcBorders>
            <w:shd w:val="clear" w:color="auto" w:fill="auto"/>
            <w:vAlign w:val="center"/>
          </w:tcPr>
          <w:p w14:paraId="2469BB4D" w14:textId="7AA13F3B" w:rsidR="00C172EB" w:rsidRPr="004215B5" w:rsidRDefault="00C172EB" w:rsidP="004215B5">
            <w:pPr>
              <w:keepNext/>
              <w:keepLines/>
              <w:jc w:val="center"/>
              <w:rPr>
                <w:rFonts w:asciiTheme="minorHAnsi" w:hAnsiTheme="minorHAnsi" w:cstheme="minorHAnsi"/>
              </w:rPr>
            </w:pPr>
            <w:r w:rsidRPr="004215B5">
              <w:rPr>
                <w:rFonts w:asciiTheme="minorHAnsi" w:hAnsiTheme="minorHAnsi" w:cstheme="minorHAnsi"/>
              </w:rPr>
              <w:t>345.1</w:t>
            </w:r>
          </w:p>
        </w:tc>
        <w:tc>
          <w:tcPr>
            <w:tcW w:w="1715" w:type="dxa"/>
            <w:tcBorders>
              <w:top w:val="single" w:sz="4" w:space="0" w:color="auto"/>
              <w:left w:val="single" w:sz="4" w:space="0" w:color="auto"/>
              <w:bottom w:val="nil"/>
              <w:right w:val="single" w:sz="4" w:space="0" w:color="auto"/>
            </w:tcBorders>
            <w:shd w:val="clear" w:color="auto" w:fill="auto"/>
            <w:vAlign w:val="center"/>
          </w:tcPr>
          <w:p w14:paraId="07433A77" w14:textId="6A1C7B0D" w:rsidR="00C172EB" w:rsidRPr="004215B5" w:rsidRDefault="00C172EB" w:rsidP="004215B5">
            <w:pPr>
              <w:keepNext/>
              <w:keepLines/>
              <w:jc w:val="center"/>
              <w:rPr>
                <w:rFonts w:asciiTheme="minorHAnsi" w:hAnsiTheme="minorHAnsi" w:cstheme="minorHAnsi"/>
              </w:rPr>
            </w:pPr>
            <w:r w:rsidRPr="004215B5">
              <w:rPr>
                <w:rFonts w:asciiTheme="minorHAnsi" w:hAnsiTheme="minorHAnsi" w:cstheme="minorHAnsi"/>
              </w:rPr>
              <w:t>182.8</w:t>
            </w:r>
          </w:p>
        </w:tc>
        <w:tc>
          <w:tcPr>
            <w:tcW w:w="1716" w:type="dxa"/>
            <w:tcBorders>
              <w:top w:val="single" w:sz="4" w:space="0" w:color="auto"/>
              <w:left w:val="single" w:sz="4" w:space="0" w:color="auto"/>
              <w:bottom w:val="nil"/>
              <w:right w:val="single" w:sz="4" w:space="0" w:color="auto"/>
            </w:tcBorders>
            <w:shd w:val="clear" w:color="auto" w:fill="auto"/>
          </w:tcPr>
          <w:p w14:paraId="39269144" w14:textId="07D7C128" w:rsidR="00C172EB" w:rsidRPr="00E478AF" w:rsidRDefault="00C172EB" w:rsidP="004215B5">
            <w:pPr>
              <w:keepNext/>
              <w:keepLines/>
              <w:jc w:val="center"/>
              <w:rPr>
                <w:rFonts w:ascii="Arial" w:hAnsi="Arial" w:cs="Arial"/>
                <w:sz w:val="22"/>
                <w:szCs w:val="22"/>
              </w:rPr>
            </w:pPr>
            <w:r w:rsidRPr="00473A19">
              <w:t>53.0%</w:t>
            </w:r>
          </w:p>
        </w:tc>
      </w:tr>
      <w:tr w:rsidR="00C172EB" w14:paraId="47E806D5" w14:textId="77777777" w:rsidTr="0086367A">
        <w:trPr>
          <w:jc w:val="center"/>
        </w:trPr>
        <w:tc>
          <w:tcPr>
            <w:tcW w:w="1726" w:type="dxa"/>
            <w:tcBorders>
              <w:top w:val="nil"/>
              <w:left w:val="single" w:sz="4" w:space="0" w:color="auto"/>
              <w:bottom w:val="nil"/>
              <w:right w:val="single" w:sz="4" w:space="0" w:color="auto"/>
            </w:tcBorders>
            <w:vAlign w:val="center"/>
          </w:tcPr>
          <w:p w14:paraId="7C6B2F95" w14:textId="2726D8D6" w:rsidR="00C172EB" w:rsidRPr="004215B5" w:rsidRDefault="00C172EB" w:rsidP="004215B5">
            <w:pPr>
              <w:keepNext/>
              <w:keepLines/>
              <w:jc w:val="center"/>
              <w:rPr>
                <w:rFonts w:asciiTheme="minorHAnsi" w:hAnsiTheme="minorHAnsi" w:cstheme="minorHAnsi"/>
              </w:rPr>
            </w:pPr>
            <w:r>
              <w:rPr>
                <w:rFonts w:asciiTheme="minorHAnsi" w:hAnsiTheme="minorHAnsi" w:cstheme="minorHAnsi"/>
              </w:rPr>
              <w:t xml:space="preserve">Utility </w:t>
            </w:r>
            <w:r w:rsidRPr="004215B5">
              <w:rPr>
                <w:rFonts w:asciiTheme="minorHAnsi" w:hAnsiTheme="minorHAnsi" w:cstheme="minorHAnsi"/>
              </w:rPr>
              <w:t>1-in-10</w:t>
            </w:r>
          </w:p>
        </w:tc>
        <w:tc>
          <w:tcPr>
            <w:tcW w:w="1739" w:type="dxa"/>
            <w:tcBorders>
              <w:top w:val="nil"/>
              <w:left w:val="single" w:sz="4" w:space="0" w:color="auto"/>
              <w:bottom w:val="nil"/>
              <w:right w:val="single" w:sz="4" w:space="0" w:color="auto"/>
            </w:tcBorders>
            <w:shd w:val="clear" w:color="auto" w:fill="auto"/>
            <w:vAlign w:val="center"/>
          </w:tcPr>
          <w:p w14:paraId="370D6EFA" w14:textId="4A51D4B6" w:rsidR="00C172EB" w:rsidRPr="004215B5" w:rsidRDefault="00C172EB" w:rsidP="004215B5">
            <w:pPr>
              <w:keepNext/>
              <w:keepLines/>
              <w:jc w:val="center"/>
              <w:rPr>
                <w:rFonts w:asciiTheme="minorHAnsi" w:hAnsiTheme="minorHAnsi" w:cstheme="minorHAnsi"/>
              </w:rPr>
            </w:pPr>
            <w:r w:rsidRPr="004215B5">
              <w:rPr>
                <w:rFonts w:asciiTheme="minorHAnsi" w:hAnsiTheme="minorHAnsi" w:cstheme="minorHAnsi"/>
              </w:rPr>
              <w:t>347.3</w:t>
            </w:r>
          </w:p>
        </w:tc>
        <w:tc>
          <w:tcPr>
            <w:tcW w:w="1715" w:type="dxa"/>
            <w:tcBorders>
              <w:top w:val="nil"/>
              <w:left w:val="single" w:sz="4" w:space="0" w:color="auto"/>
              <w:bottom w:val="nil"/>
              <w:right w:val="single" w:sz="4" w:space="0" w:color="auto"/>
            </w:tcBorders>
            <w:shd w:val="clear" w:color="auto" w:fill="auto"/>
            <w:vAlign w:val="center"/>
          </w:tcPr>
          <w:p w14:paraId="19672C70" w14:textId="08681817" w:rsidR="00C172EB" w:rsidRPr="004215B5" w:rsidRDefault="00C172EB" w:rsidP="004215B5">
            <w:pPr>
              <w:keepNext/>
              <w:keepLines/>
              <w:jc w:val="center"/>
              <w:rPr>
                <w:rFonts w:asciiTheme="minorHAnsi" w:hAnsiTheme="minorHAnsi" w:cstheme="minorHAnsi"/>
              </w:rPr>
            </w:pPr>
            <w:r w:rsidRPr="004215B5">
              <w:rPr>
                <w:rFonts w:asciiTheme="minorHAnsi" w:hAnsiTheme="minorHAnsi" w:cstheme="minorHAnsi"/>
              </w:rPr>
              <w:t>182.6</w:t>
            </w:r>
          </w:p>
        </w:tc>
        <w:tc>
          <w:tcPr>
            <w:tcW w:w="1716" w:type="dxa"/>
            <w:tcBorders>
              <w:top w:val="nil"/>
              <w:left w:val="single" w:sz="4" w:space="0" w:color="auto"/>
              <w:bottom w:val="nil"/>
              <w:right w:val="single" w:sz="4" w:space="0" w:color="auto"/>
            </w:tcBorders>
            <w:shd w:val="clear" w:color="auto" w:fill="auto"/>
          </w:tcPr>
          <w:p w14:paraId="26208055" w14:textId="29D67E00" w:rsidR="00C172EB" w:rsidRPr="00E478AF" w:rsidRDefault="00C172EB" w:rsidP="004215B5">
            <w:pPr>
              <w:keepNext/>
              <w:keepLines/>
              <w:jc w:val="center"/>
              <w:rPr>
                <w:rFonts w:ascii="Arial" w:hAnsi="Arial" w:cs="Arial"/>
                <w:sz w:val="22"/>
                <w:szCs w:val="22"/>
              </w:rPr>
            </w:pPr>
            <w:r w:rsidRPr="00473A19">
              <w:t>52.6%</w:t>
            </w:r>
          </w:p>
        </w:tc>
      </w:tr>
      <w:tr w:rsidR="00C172EB" w14:paraId="445B9F78" w14:textId="77777777" w:rsidTr="0086367A">
        <w:trPr>
          <w:jc w:val="center"/>
        </w:trPr>
        <w:tc>
          <w:tcPr>
            <w:tcW w:w="1726" w:type="dxa"/>
            <w:tcBorders>
              <w:top w:val="nil"/>
              <w:left w:val="single" w:sz="4" w:space="0" w:color="auto"/>
              <w:bottom w:val="nil"/>
              <w:right w:val="single" w:sz="4" w:space="0" w:color="auto"/>
            </w:tcBorders>
            <w:vAlign w:val="center"/>
          </w:tcPr>
          <w:p w14:paraId="5CCC8A85" w14:textId="3A84AD98" w:rsidR="00C172EB" w:rsidRPr="004215B5" w:rsidRDefault="00C172EB" w:rsidP="004215B5">
            <w:pPr>
              <w:keepNext/>
              <w:keepLines/>
              <w:jc w:val="center"/>
              <w:rPr>
                <w:rFonts w:asciiTheme="minorHAnsi" w:hAnsiTheme="minorHAnsi" w:cstheme="minorHAnsi"/>
              </w:rPr>
            </w:pPr>
            <w:r>
              <w:rPr>
                <w:rFonts w:asciiTheme="minorHAnsi" w:hAnsiTheme="minorHAnsi" w:cstheme="minorHAnsi"/>
              </w:rPr>
              <w:t xml:space="preserve">CAISO </w:t>
            </w:r>
            <w:r w:rsidRPr="004215B5">
              <w:rPr>
                <w:rFonts w:asciiTheme="minorHAnsi" w:hAnsiTheme="minorHAnsi" w:cstheme="minorHAnsi"/>
              </w:rPr>
              <w:t>1-in-2</w:t>
            </w:r>
          </w:p>
        </w:tc>
        <w:tc>
          <w:tcPr>
            <w:tcW w:w="1739" w:type="dxa"/>
            <w:tcBorders>
              <w:top w:val="nil"/>
              <w:left w:val="single" w:sz="4" w:space="0" w:color="auto"/>
              <w:bottom w:val="nil"/>
              <w:right w:val="single" w:sz="4" w:space="0" w:color="auto"/>
            </w:tcBorders>
            <w:shd w:val="clear" w:color="auto" w:fill="auto"/>
            <w:vAlign w:val="center"/>
          </w:tcPr>
          <w:p w14:paraId="2DEB0235" w14:textId="7F411625" w:rsidR="00C172EB" w:rsidRPr="004215B5" w:rsidRDefault="00C172EB" w:rsidP="004215B5">
            <w:pPr>
              <w:keepNext/>
              <w:keepLines/>
              <w:jc w:val="center"/>
              <w:rPr>
                <w:rFonts w:asciiTheme="minorHAnsi" w:hAnsiTheme="minorHAnsi" w:cstheme="minorHAnsi"/>
              </w:rPr>
            </w:pPr>
            <w:r w:rsidRPr="004215B5">
              <w:rPr>
                <w:rFonts w:asciiTheme="minorHAnsi" w:hAnsiTheme="minorHAnsi" w:cstheme="minorHAnsi"/>
              </w:rPr>
              <w:t>346.6</w:t>
            </w:r>
          </w:p>
        </w:tc>
        <w:tc>
          <w:tcPr>
            <w:tcW w:w="1715" w:type="dxa"/>
            <w:tcBorders>
              <w:top w:val="nil"/>
              <w:left w:val="single" w:sz="4" w:space="0" w:color="auto"/>
              <w:bottom w:val="nil"/>
              <w:right w:val="single" w:sz="4" w:space="0" w:color="auto"/>
            </w:tcBorders>
            <w:shd w:val="clear" w:color="auto" w:fill="auto"/>
            <w:vAlign w:val="center"/>
          </w:tcPr>
          <w:p w14:paraId="2BC088B1" w14:textId="60574458" w:rsidR="00C172EB" w:rsidRPr="004215B5" w:rsidRDefault="00C172EB" w:rsidP="004215B5">
            <w:pPr>
              <w:keepNext/>
              <w:keepLines/>
              <w:jc w:val="center"/>
              <w:rPr>
                <w:rFonts w:asciiTheme="minorHAnsi" w:hAnsiTheme="minorHAnsi" w:cstheme="minorHAnsi"/>
              </w:rPr>
            </w:pPr>
            <w:r w:rsidRPr="004215B5">
              <w:rPr>
                <w:rFonts w:asciiTheme="minorHAnsi" w:hAnsiTheme="minorHAnsi" w:cstheme="minorHAnsi"/>
              </w:rPr>
              <w:t>183.5</w:t>
            </w:r>
          </w:p>
        </w:tc>
        <w:tc>
          <w:tcPr>
            <w:tcW w:w="1716" w:type="dxa"/>
            <w:tcBorders>
              <w:top w:val="nil"/>
              <w:left w:val="single" w:sz="4" w:space="0" w:color="auto"/>
              <w:bottom w:val="nil"/>
              <w:right w:val="single" w:sz="4" w:space="0" w:color="auto"/>
            </w:tcBorders>
            <w:shd w:val="clear" w:color="auto" w:fill="auto"/>
          </w:tcPr>
          <w:p w14:paraId="1448B530" w14:textId="0CC4D50F" w:rsidR="00C172EB" w:rsidRPr="00E478AF" w:rsidRDefault="00C172EB" w:rsidP="004215B5">
            <w:pPr>
              <w:keepNext/>
              <w:keepLines/>
              <w:jc w:val="center"/>
              <w:rPr>
                <w:rFonts w:ascii="Arial" w:hAnsi="Arial" w:cs="Arial"/>
                <w:sz w:val="22"/>
                <w:szCs w:val="22"/>
              </w:rPr>
            </w:pPr>
            <w:r w:rsidRPr="00473A19">
              <w:t>52.9%</w:t>
            </w:r>
          </w:p>
        </w:tc>
      </w:tr>
      <w:tr w:rsidR="00C172EB" w14:paraId="00F2B852" w14:textId="77777777" w:rsidTr="0086367A">
        <w:trPr>
          <w:jc w:val="center"/>
        </w:trPr>
        <w:tc>
          <w:tcPr>
            <w:tcW w:w="1726" w:type="dxa"/>
            <w:tcBorders>
              <w:top w:val="nil"/>
              <w:left w:val="single" w:sz="4" w:space="0" w:color="auto"/>
              <w:bottom w:val="single" w:sz="4" w:space="0" w:color="auto"/>
              <w:right w:val="single" w:sz="4" w:space="0" w:color="auto"/>
            </w:tcBorders>
            <w:vAlign w:val="center"/>
          </w:tcPr>
          <w:p w14:paraId="5555A4DE" w14:textId="75229ACA" w:rsidR="00C172EB" w:rsidRPr="004215B5" w:rsidRDefault="00C172EB" w:rsidP="004215B5">
            <w:pPr>
              <w:keepNext/>
              <w:keepLines/>
              <w:jc w:val="center"/>
              <w:rPr>
                <w:rFonts w:asciiTheme="minorHAnsi" w:hAnsiTheme="minorHAnsi" w:cstheme="minorHAnsi"/>
              </w:rPr>
            </w:pPr>
            <w:r>
              <w:rPr>
                <w:rFonts w:asciiTheme="minorHAnsi" w:hAnsiTheme="minorHAnsi" w:cstheme="minorHAnsi"/>
              </w:rPr>
              <w:t xml:space="preserve">CAISO </w:t>
            </w:r>
            <w:r w:rsidRPr="004215B5">
              <w:rPr>
                <w:rFonts w:asciiTheme="minorHAnsi" w:hAnsiTheme="minorHAnsi" w:cstheme="minorHAnsi"/>
              </w:rPr>
              <w:t>1-in-10</w:t>
            </w:r>
          </w:p>
        </w:tc>
        <w:tc>
          <w:tcPr>
            <w:tcW w:w="1739" w:type="dxa"/>
            <w:tcBorders>
              <w:top w:val="nil"/>
              <w:left w:val="single" w:sz="4" w:space="0" w:color="auto"/>
              <w:bottom w:val="single" w:sz="4" w:space="0" w:color="auto"/>
              <w:right w:val="single" w:sz="4" w:space="0" w:color="auto"/>
            </w:tcBorders>
            <w:shd w:val="clear" w:color="auto" w:fill="auto"/>
            <w:vAlign w:val="center"/>
          </w:tcPr>
          <w:p w14:paraId="51A2A9B8" w14:textId="6F2B1596" w:rsidR="00C172EB" w:rsidRPr="004215B5" w:rsidRDefault="00C172EB" w:rsidP="004215B5">
            <w:pPr>
              <w:keepNext/>
              <w:keepLines/>
              <w:jc w:val="center"/>
              <w:rPr>
                <w:rFonts w:asciiTheme="minorHAnsi" w:hAnsiTheme="minorHAnsi" w:cstheme="minorHAnsi"/>
              </w:rPr>
            </w:pPr>
            <w:r w:rsidRPr="004215B5">
              <w:rPr>
                <w:rFonts w:asciiTheme="minorHAnsi" w:hAnsiTheme="minorHAnsi" w:cstheme="minorHAnsi"/>
              </w:rPr>
              <w:t>343.8</w:t>
            </w:r>
          </w:p>
        </w:tc>
        <w:tc>
          <w:tcPr>
            <w:tcW w:w="1715" w:type="dxa"/>
            <w:tcBorders>
              <w:top w:val="nil"/>
              <w:left w:val="single" w:sz="4" w:space="0" w:color="auto"/>
              <w:bottom w:val="single" w:sz="4" w:space="0" w:color="auto"/>
              <w:right w:val="single" w:sz="4" w:space="0" w:color="auto"/>
            </w:tcBorders>
            <w:shd w:val="clear" w:color="auto" w:fill="auto"/>
            <w:vAlign w:val="center"/>
          </w:tcPr>
          <w:p w14:paraId="6855E636" w14:textId="7B9C975F" w:rsidR="00C172EB" w:rsidRPr="004215B5" w:rsidRDefault="00C172EB" w:rsidP="004215B5">
            <w:pPr>
              <w:keepNext/>
              <w:keepLines/>
              <w:jc w:val="center"/>
              <w:rPr>
                <w:rFonts w:asciiTheme="minorHAnsi" w:hAnsiTheme="minorHAnsi" w:cstheme="minorHAnsi"/>
              </w:rPr>
            </w:pPr>
            <w:r w:rsidRPr="004215B5">
              <w:rPr>
                <w:rFonts w:asciiTheme="minorHAnsi" w:hAnsiTheme="minorHAnsi" w:cstheme="minorHAnsi"/>
              </w:rPr>
              <w:t>181.1</w:t>
            </w:r>
          </w:p>
        </w:tc>
        <w:tc>
          <w:tcPr>
            <w:tcW w:w="1716" w:type="dxa"/>
            <w:tcBorders>
              <w:top w:val="nil"/>
              <w:left w:val="single" w:sz="4" w:space="0" w:color="auto"/>
              <w:bottom w:val="single" w:sz="4" w:space="0" w:color="auto"/>
              <w:right w:val="single" w:sz="4" w:space="0" w:color="auto"/>
            </w:tcBorders>
            <w:shd w:val="clear" w:color="auto" w:fill="auto"/>
          </w:tcPr>
          <w:p w14:paraId="426D94D0" w14:textId="698D45D2" w:rsidR="00C172EB" w:rsidRDefault="00C172EB" w:rsidP="004215B5">
            <w:pPr>
              <w:keepNext/>
              <w:keepLines/>
              <w:jc w:val="center"/>
              <w:rPr>
                <w:rFonts w:ascii="Arial" w:hAnsi="Arial" w:cs="Arial"/>
                <w:sz w:val="22"/>
                <w:szCs w:val="22"/>
              </w:rPr>
            </w:pPr>
            <w:r w:rsidRPr="00473A19">
              <w:t>52.7%</w:t>
            </w:r>
          </w:p>
        </w:tc>
      </w:tr>
    </w:tbl>
    <w:p w14:paraId="09CD5D24" w14:textId="6934620D" w:rsidR="000B223E" w:rsidRDefault="000B223E" w:rsidP="000B223E"/>
    <w:p w14:paraId="6D2BE31D" w14:textId="068BCAAF" w:rsidR="00A72CC4" w:rsidRDefault="00DD01A1" w:rsidP="00A72CC4">
      <w:pPr>
        <w:pStyle w:val="Heading1"/>
      </w:pPr>
      <w:bookmarkStart w:id="202" w:name="_Toc510091129"/>
      <w:r>
        <w:t>6</w:t>
      </w:r>
      <w:r w:rsidR="00A72CC4">
        <w:t>. Comparisons of Results</w:t>
      </w:r>
      <w:bookmarkEnd w:id="202"/>
    </w:p>
    <w:p w14:paraId="1880E335" w14:textId="77777777" w:rsidR="00DA4753" w:rsidRDefault="00DA4753" w:rsidP="00DA4753">
      <w:r>
        <w:t>In this section, we present several comparisons of load impacts for each utility:</w:t>
      </w:r>
    </w:p>
    <w:p w14:paraId="23991AD5" w14:textId="551C9C47" w:rsidR="00DA4753" w:rsidRDefault="00DA4753" w:rsidP="00DA4753">
      <w:pPr>
        <w:numPr>
          <w:ilvl w:val="0"/>
          <w:numId w:val="10"/>
        </w:numPr>
      </w:pPr>
      <w:r w:rsidRPr="000F1678">
        <w:rPr>
          <w:i/>
        </w:rPr>
        <w:t>Ex</w:t>
      </w:r>
      <w:r w:rsidR="000F1678" w:rsidRPr="000F1678">
        <w:rPr>
          <w:i/>
        </w:rPr>
        <w:t>-</w:t>
      </w:r>
      <w:r w:rsidRPr="000F1678">
        <w:rPr>
          <w:i/>
        </w:rPr>
        <w:t>post</w:t>
      </w:r>
      <w:r>
        <w:t xml:space="preserve"> load impacts from the current and previous studies;</w:t>
      </w:r>
    </w:p>
    <w:p w14:paraId="43A72828" w14:textId="45D83DC8" w:rsidR="00DA4753" w:rsidRDefault="00DA4753" w:rsidP="00DA4753">
      <w:pPr>
        <w:numPr>
          <w:ilvl w:val="0"/>
          <w:numId w:val="10"/>
        </w:numPr>
      </w:pPr>
      <w:r w:rsidRPr="000F1678">
        <w:rPr>
          <w:i/>
        </w:rPr>
        <w:t>Ex</w:t>
      </w:r>
      <w:r w:rsidR="000F1678" w:rsidRPr="000F1678">
        <w:rPr>
          <w:i/>
        </w:rPr>
        <w:t>-</w:t>
      </w:r>
      <w:r w:rsidRPr="000F1678">
        <w:rPr>
          <w:i/>
        </w:rPr>
        <w:t>ante</w:t>
      </w:r>
      <w:r>
        <w:t xml:space="preserve"> load impacts from the current and previous studies; </w:t>
      </w:r>
    </w:p>
    <w:p w14:paraId="7EBC6B02" w14:textId="4238F22B" w:rsidR="00DA4753" w:rsidRDefault="00DA4753" w:rsidP="00DA4753">
      <w:pPr>
        <w:numPr>
          <w:ilvl w:val="0"/>
          <w:numId w:val="10"/>
        </w:numPr>
      </w:pPr>
      <w:r>
        <w:t xml:space="preserve">Previous </w:t>
      </w:r>
      <w:r w:rsidRPr="000F1678">
        <w:rPr>
          <w:i/>
        </w:rPr>
        <w:t>ex</w:t>
      </w:r>
      <w:r w:rsidR="000F1678" w:rsidRPr="000F1678">
        <w:rPr>
          <w:i/>
        </w:rPr>
        <w:t>-</w:t>
      </w:r>
      <w:r w:rsidRPr="000F1678">
        <w:rPr>
          <w:i/>
        </w:rPr>
        <w:t>ante</w:t>
      </w:r>
      <w:r>
        <w:t xml:space="preserve"> and current </w:t>
      </w:r>
      <w:r w:rsidRPr="000F1678">
        <w:rPr>
          <w:i/>
        </w:rPr>
        <w:t>ex</w:t>
      </w:r>
      <w:r w:rsidR="000F1678" w:rsidRPr="000F1678">
        <w:rPr>
          <w:i/>
        </w:rPr>
        <w:t>-</w:t>
      </w:r>
      <w:r w:rsidRPr="000F1678">
        <w:rPr>
          <w:i/>
        </w:rPr>
        <w:t>post</w:t>
      </w:r>
      <w:r>
        <w:t xml:space="preserve"> load impacts; and</w:t>
      </w:r>
    </w:p>
    <w:p w14:paraId="1D621BD2" w14:textId="75BD3FD3" w:rsidR="00DA4753" w:rsidRDefault="00DA4753" w:rsidP="00DA4753">
      <w:pPr>
        <w:numPr>
          <w:ilvl w:val="0"/>
          <w:numId w:val="10"/>
        </w:numPr>
      </w:pPr>
      <w:r>
        <w:t xml:space="preserve">Current </w:t>
      </w:r>
      <w:r w:rsidRPr="000F1678">
        <w:rPr>
          <w:i/>
        </w:rPr>
        <w:t>ex</w:t>
      </w:r>
      <w:r w:rsidR="000F1678" w:rsidRPr="000F1678">
        <w:rPr>
          <w:i/>
        </w:rPr>
        <w:t>-</w:t>
      </w:r>
      <w:r w:rsidRPr="000F1678">
        <w:rPr>
          <w:i/>
        </w:rPr>
        <w:t>post</w:t>
      </w:r>
      <w:r>
        <w:t xml:space="preserve"> and </w:t>
      </w:r>
      <w:r w:rsidRPr="000F1678">
        <w:rPr>
          <w:i/>
        </w:rPr>
        <w:t>ex</w:t>
      </w:r>
      <w:r w:rsidR="000F1678" w:rsidRPr="000F1678">
        <w:rPr>
          <w:i/>
        </w:rPr>
        <w:t>-</w:t>
      </w:r>
      <w:r w:rsidRPr="000F1678">
        <w:rPr>
          <w:i/>
        </w:rPr>
        <w:t>ante</w:t>
      </w:r>
      <w:r>
        <w:t xml:space="preserve"> load impacts.</w:t>
      </w:r>
    </w:p>
    <w:p w14:paraId="57D216F0" w14:textId="77777777" w:rsidR="00DA4753" w:rsidRDefault="00DA4753" w:rsidP="00DA4753"/>
    <w:p w14:paraId="31C6D240" w14:textId="2C22BC3D" w:rsidR="00DA4753" w:rsidRDefault="00DA4753" w:rsidP="00DA4753">
      <w:r>
        <w:t>In the above “current study” refers to this report, which is based on findings from the 201</w:t>
      </w:r>
      <w:r w:rsidR="0000593B">
        <w:t>7</w:t>
      </w:r>
      <w:r>
        <w:t xml:space="preserve"> program year; and “previous study” refers to the report that was developed following the 201</w:t>
      </w:r>
      <w:r w:rsidR="001D276D">
        <w:t>6</w:t>
      </w:r>
      <w:r>
        <w:t xml:space="preserve"> program year. </w:t>
      </w:r>
    </w:p>
    <w:p w14:paraId="337CABA8" w14:textId="77777777" w:rsidR="00DA4753" w:rsidRDefault="00DA4753" w:rsidP="00DA4753">
      <w:pPr>
        <w:pStyle w:val="Heading2"/>
      </w:pPr>
      <w:bookmarkStart w:id="203" w:name="_Toc383597951"/>
      <w:bookmarkStart w:id="204" w:name="_Toc510091130"/>
      <w:r>
        <w:t>6.1 PG&amp;E</w:t>
      </w:r>
      <w:bookmarkEnd w:id="203"/>
      <w:bookmarkEnd w:id="204"/>
    </w:p>
    <w:p w14:paraId="50D20DAB" w14:textId="12AFCBC9" w:rsidR="00DA4753" w:rsidRDefault="00DA4753" w:rsidP="00DA4753">
      <w:pPr>
        <w:pStyle w:val="Heading3"/>
      </w:pPr>
      <w:bookmarkStart w:id="205" w:name="_Toc383597952"/>
      <w:bookmarkStart w:id="206" w:name="_Toc510091131"/>
      <w:r>
        <w:t xml:space="preserve">6.1.1 Previous versus current </w:t>
      </w:r>
      <w:r w:rsidRPr="000F1678">
        <w:rPr>
          <w:i/>
        </w:rPr>
        <w:t>ex</w:t>
      </w:r>
      <w:r w:rsidR="000F1678" w:rsidRPr="000F1678">
        <w:rPr>
          <w:i/>
        </w:rPr>
        <w:t>-</w:t>
      </w:r>
      <w:r w:rsidRPr="000F1678">
        <w:rPr>
          <w:i/>
        </w:rPr>
        <w:t>post</w:t>
      </w:r>
      <w:bookmarkEnd w:id="205"/>
      <w:bookmarkEnd w:id="206"/>
    </w:p>
    <w:p w14:paraId="25633775" w14:textId="73E5A819" w:rsidR="00DA4753" w:rsidRDefault="00DA4753" w:rsidP="00DA4753">
      <w:r w:rsidRPr="00E63762">
        <w:t>Table 6.1 shows the average event-hour reference loads and load impacts for PY201</w:t>
      </w:r>
      <w:r w:rsidR="00CB3E70">
        <w:t>6</w:t>
      </w:r>
      <w:r w:rsidR="00E63762" w:rsidRPr="00E63762">
        <w:t xml:space="preserve"> and PY201</w:t>
      </w:r>
      <w:r w:rsidR="00CB3E70">
        <w:t>7</w:t>
      </w:r>
      <w:r w:rsidRPr="00E63762">
        <w:t xml:space="preserve">. The </w:t>
      </w:r>
      <w:r w:rsidR="00CB3E70" w:rsidRPr="00E63762">
        <w:t>PY201</w:t>
      </w:r>
      <w:r w:rsidR="00CB3E70">
        <w:t>6</w:t>
      </w:r>
      <w:r w:rsidR="00CB3E70" w:rsidRPr="00E63762">
        <w:t xml:space="preserve"> </w:t>
      </w:r>
      <w:r w:rsidRPr="00E63762">
        <w:t xml:space="preserve">load impacts are based on the </w:t>
      </w:r>
      <w:r w:rsidR="00F01E18">
        <w:t>four</w:t>
      </w:r>
      <w:r w:rsidRPr="00E63762">
        <w:t xml:space="preserve"> e</w:t>
      </w:r>
      <w:r w:rsidR="00CB3E70">
        <w:t xml:space="preserve">vent hours on </w:t>
      </w:r>
      <w:r w:rsidR="00F01E18">
        <w:t>July 26</w:t>
      </w:r>
      <w:r w:rsidR="00CB3E70">
        <w:t>, 2016</w:t>
      </w:r>
      <w:r w:rsidRPr="00E63762">
        <w:t>.</w:t>
      </w:r>
      <w:r w:rsidR="00E63762">
        <w:t xml:space="preserve"> The </w:t>
      </w:r>
      <w:r w:rsidR="00CB3E70" w:rsidRPr="00E63762">
        <w:t>PY201</w:t>
      </w:r>
      <w:r w:rsidR="00CB3E70">
        <w:t>7</w:t>
      </w:r>
      <w:r w:rsidR="00F01E18">
        <w:t xml:space="preserve"> </w:t>
      </w:r>
      <w:r w:rsidR="00E63762" w:rsidRPr="00E63762">
        <w:t>load impacts are b</w:t>
      </w:r>
      <w:r w:rsidR="00E636C9">
        <w:t xml:space="preserve">ased on the </w:t>
      </w:r>
      <w:r w:rsidR="00F01E18">
        <w:t>two</w:t>
      </w:r>
      <w:r w:rsidR="00E636C9">
        <w:t xml:space="preserve"> event hours on </w:t>
      </w:r>
      <w:r w:rsidR="00F01E18">
        <w:t>May 3</w:t>
      </w:r>
      <w:r w:rsidR="00E63762" w:rsidRPr="00E63762">
        <w:t>, 201</w:t>
      </w:r>
      <w:r w:rsidR="00F01E18">
        <w:t>7</w:t>
      </w:r>
      <w:r w:rsidR="00E63762" w:rsidRPr="00E63762">
        <w:t>.</w:t>
      </w:r>
    </w:p>
    <w:p w14:paraId="6A535147" w14:textId="77777777" w:rsidR="00DA4753" w:rsidRDefault="00DA4753" w:rsidP="00DA4753"/>
    <w:p w14:paraId="46114ECE" w14:textId="599F7944" w:rsidR="0082431E" w:rsidRDefault="00DA4753" w:rsidP="0082431E">
      <w:pPr>
        <w:pStyle w:val="TableCaption"/>
        <w:keepNext/>
        <w:keepLines/>
        <w:rPr>
          <w:i/>
        </w:rPr>
      </w:pPr>
      <w:bookmarkStart w:id="207" w:name="_Toc383598016"/>
      <w:bookmarkStart w:id="208" w:name="_Toc508800232"/>
      <w:r w:rsidRPr="00376F46">
        <w:t xml:space="preserve">Table </w:t>
      </w:r>
      <w:r>
        <w:t>6</w:t>
      </w:r>
      <w:r w:rsidRPr="00376F46">
        <w:t>.</w:t>
      </w:r>
      <w:r>
        <w:t>1</w:t>
      </w:r>
      <w:r w:rsidRPr="00376F46">
        <w:t xml:space="preserve">: Comparison of </w:t>
      </w:r>
      <w:r w:rsidRPr="00AD09CF">
        <w:rPr>
          <w:i/>
        </w:rPr>
        <w:t>Ex</w:t>
      </w:r>
      <w:r w:rsidR="003F0152" w:rsidRPr="00AD09CF">
        <w:rPr>
          <w:i/>
        </w:rPr>
        <w:t>-</w:t>
      </w:r>
      <w:r w:rsidR="00AD09CF" w:rsidRPr="00AD09CF">
        <w:rPr>
          <w:i/>
        </w:rPr>
        <w:t>p</w:t>
      </w:r>
      <w:r w:rsidRPr="00AD09CF">
        <w:rPr>
          <w:i/>
        </w:rPr>
        <w:t>ost</w:t>
      </w:r>
      <w:r>
        <w:t xml:space="preserve"> </w:t>
      </w:r>
      <w:r w:rsidR="006B6630">
        <w:t>Impacts</w:t>
      </w:r>
      <w:r w:rsidRPr="00376F46">
        <w:t xml:space="preserve"> in PY201</w:t>
      </w:r>
      <w:r w:rsidR="00CB3E70">
        <w:t>6</w:t>
      </w:r>
      <w:r>
        <w:t xml:space="preserve"> and </w:t>
      </w:r>
      <w:r w:rsidRPr="00376F46">
        <w:t>PY201</w:t>
      </w:r>
      <w:r w:rsidR="00CB3E70">
        <w:t>7</w:t>
      </w:r>
      <w:r w:rsidRPr="00376F46">
        <w:t xml:space="preserve">, </w:t>
      </w:r>
      <w:r w:rsidRPr="00376F46">
        <w:rPr>
          <w:i/>
        </w:rPr>
        <w:t>PG&amp;E</w:t>
      </w:r>
      <w:bookmarkEnd w:id="207"/>
      <w:bookmarkEnd w:id="208"/>
    </w:p>
    <w:tbl>
      <w:tblPr>
        <w:tblW w:w="7439" w:type="dxa"/>
        <w:jc w:val="center"/>
        <w:tblLook w:val="04A0" w:firstRow="1" w:lastRow="0" w:firstColumn="1" w:lastColumn="0" w:noHBand="0" w:noVBand="1"/>
      </w:tblPr>
      <w:tblGrid>
        <w:gridCol w:w="1223"/>
        <w:gridCol w:w="2275"/>
        <w:gridCol w:w="2041"/>
        <w:gridCol w:w="1900"/>
      </w:tblGrid>
      <w:tr w:rsidR="0082431E" w:rsidRPr="0082431E" w14:paraId="5B88B5F4" w14:textId="77777777" w:rsidTr="006B55F6">
        <w:trPr>
          <w:trHeight w:val="262"/>
          <w:jc w:val="center"/>
        </w:trPr>
        <w:tc>
          <w:tcPr>
            <w:tcW w:w="1223" w:type="dxa"/>
            <w:tcBorders>
              <w:top w:val="single" w:sz="4" w:space="0" w:color="auto"/>
              <w:left w:val="single" w:sz="4" w:space="0" w:color="auto"/>
              <w:bottom w:val="single" w:sz="4" w:space="0" w:color="auto"/>
              <w:right w:val="nil"/>
            </w:tcBorders>
            <w:shd w:val="clear" w:color="auto" w:fill="0C2577"/>
            <w:vAlign w:val="center"/>
            <w:hideMark/>
          </w:tcPr>
          <w:p w14:paraId="18B1F365" w14:textId="77777777" w:rsidR="0082431E" w:rsidRPr="0082431E" w:rsidRDefault="0082431E" w:rsidP="0082431E">
            <w:pPr>
              <w:jc w:val="center"/>
              <w:rPr>
                <w:rFonts w:ascii="Arial" w:hAnsi="Arial" w:cs="Arial"/>
                <w:b/>
                <w:bCs/>
                <w:color w:val="FFFFFF"/>
                <w:sz w:val="20"/>
                <w:szCs w:val="20"/>
              </w:rPr>
            </w:pPr>
            <w:r w:rsidRPr="0082431E">
              <w:rPr>
                <w:rFonts w:ascii="Arial" w:hAnsi="Arial" w:cs="Arial"/>
                <w:b/>
                <w:bCs/>
                <w:color w:val="FFFFFF"/>
                <w:sz w:val="20"/>
                <w:szCs w:val="20"/>
              </w:rPr>
              <w:t>Level</w:t>
            </w:r>
          </w:p>
        </w:tc>
        <w:tc>
          <w:tcPr>
            <w:tcW w:w="2275" w:type="dxa"/>
            <w:tcBorders>
              <w:top w:val="single" w:sz="4" w:space="0" w:color="auto"/>
              <w:left w:val="single" w:sz="4" w:space="0" w:color="FFFFFF"/>
              <w:bottom w:val="single" w:sz="4" w:space="0" w:color="auto"/>
              <w:right w:val="nil"/>
            </w:tcBorders>
            <w:shd w:val="clear" w:color="auto" w:fill="0C2577"/>
            <w:vAlign w:val="center"/>
            <w:hideMark/>
          </w:tcPr>
          <w:p w14:paraId="7DD3293A" w14:textId="77777777" w:rsidR="0082431E" w:rsidRPr="0082431E" w:rsidRDefault="0082431E" w:rsidP="0082431E">
            <w:pPr>
              <w:jc w:val="center"/>
              <w:rPr>
                <w:rFonts w:ascii="Arial" w:hAnsi="Arial" w:cs="Arial"/>
                <w:b/>
                <w:bCs/>
                <w:color w:val="FFFFFF"/>
                <w:sz w:val="20"/>
                <w:szCs w:val="20"/>
              </w:rPr>
            </w:pPr>
            <w:r w:rsidRPr="0082431E">
              <w:rPr>
                <w:rFonts w:ascii="Arial" w:hAnsi="Arial" w:cs="Arial"/>
                <w:b/>
                <w:bCs/>
                <w:color w:val="FFFFFF"/>
                <w:sz w:val="20"/>
                <w:szCs w:val="20"/>
              </w:rPr>
              <w:t>Outcome</w:t>
            </w:r>
          </w:p>
        </w:tc>
        <w:tc>
          <w:tcPr>
            <w:tcW w:w="2041" w:type="dxa"/>
            <w:tcBorders>
              <w:top w:val="single" w:sz="4" w:space="0" w:color="auto"/>
              <w:left w:val="single" w:sz="4" w:space="0" w:color="FFFFFF"/>
              <w:bottom w:val="single" w:sz="4" w:space="0" w:color="auto"/>
              <w:right w:val="nil"/>
            </w:tcBorders>
            <w:shd w:val="clear" w:color="auto" w:fill="0C2577"/>
            <w:vAlign w:val="center"/>
            <w:hideMark/>
          </w:tcPr>
          <w:p w14:paraId="28E19779" w14:textId="77777777" w:rsidR="0082431E" w:rsidRPr="0082431E" w:rsidRDefault="0082431E" w:rsidP="0082431E">
            <w:pPr>
              <w:jc w:val="center"/>
              <w:rPr>
                <w:rFonts w:ascii="Arial" w:hAnsi="Arial" w:cs="Arial"/>
                <w:b/>
                <w:bCs/>
                <w:i/>
                <w:iCs/>
                <w:color w:val="FFFFFF"/>
                <w:sz w:val="20"/>
                <w:szCs w:val="20"/>
              </w:rPr>
            </w:pPr>
            <w:r w:rsidRPr="0082431E">
              <w:rPr>
                <w:rFonts w:ascii="Arial" w:hAnsi="Arial" w:cs="Arial"/>
                <w:b/>
                <w:bCs/>
                <w:i/>
                <w:iCs/>
                <w:color w:val="FFFFFF"/>
                <w:sz w:val="20"/>
                <w:szCs w:val="20"/>
              </w:rPr>
              <w:t>Ex-post</w:t>
            </w:r>
            <w:r w:rsidRPr="0082431E">
              <w:rPr>
                <w:rFonts w:ascii="Arial" w:hAnsi="Arial" w:cs="Arial"/>
                <w:b/>
                <w:bCs/>
                <w:color w:val="FFFFFF"/>
                <w:sz w:val="20"/>
                <w:szCs w:val="20"/>
              </w:rPr>
              <w:t xml:space="preserve"> PY2016</w:t>
            </w:r>
          </w:p>
        </w:tc>
        <w:tc>
          <w:tcPr>
            <w:tcW w:w="1900" w:type="dxa"/>
            <w:tcBorders>
              <w:top w:val="single" w:sz="4" w:space="0" w:color="auto"/>
              <w:left w:val="single" w:sz="4" w:space="0" w:color="FFFFFF"/>
              <w:bottom w:val="single" w:sz="4" w:space="0" w:color="auto"/>
              <w:right w:val="single" w:sz="4" w:space="0" w:color="auto"/>
            </w:tcBorders>
            <w:shd w:val="clear" w:color="auto" w:fill="0C2577"/>
            <w:vAlign w:val="center"/>
            <w:hideMark/>
          </w:tcPr>
          <w:p w14:paraId="717CCB1B" w14:textId="77777777" w:rsidR="0082431E" w:rsidRPr="0082431E" w:rsidRDefault="0082431E" w:rsidP="0082431E">
            <w:pPr>
              <w:jc w:val="center"/>
              <w:rPr>
                <w:rFonts w:ascii="Arial" w:hAnsi="Arial" w:cs="Arial"/>
                <w:b/>
                <w:bCs/>
                <w:i/>
                <w:iCs/>
                <w:color w:val="FFFFFF"/>
                <w:sz w:val="20"/>
                <w:szCs w:val="20"/>
              </w:rPr>
            </w:pPr>
            <w:r w:rsidRPr="0082431E">
              <w:rPr>
                <w:rFonts w:ascii="Arial" w:hAnsi="Arial" w:cs="Arial"/>
                <w:b/>
                <w:bCs/>
                <w:i/>
                <w:iCs/>
                <w:color w:val="FFFFFF"/>
                <w:sz w:val="20"/>
                <w:szCs w:val="20"/>
              </w:rPr>
              <w:t>Ex-post</w:t>
            </w:r>
            <w:r w:rsidRPr="0082431E">
              <w:rPr>
                <w:rFonts w:ascii="Arial" w:hAnsi="Arial" w:cs="Arial"/>
                <w:b/>
                <w:bCs/>
                <w:color w:val="FFFFFF"/>
                <w:sz w:val="20"/>
                <w:szCs w:val="20"/>
              </w:rPr>
              <w:t xml:space="preserve"> PY2017</w:t>
            </w:r>
          </w:p>
        </w:tc>
      </w:tr>
      <w:tr w:rsidR="00CD50C8" w:rsidRPr="0082431E" w14:paraId="642258CF" w14:textId="77777777" w:rsidTr="00B15225">
        <w:trPr>
          <w:trHeight w:val="262"/>
          <w:jc w:val="center"/>
        </w:trPr>
        <w:tc>
          <w:tcPr>
            <w:tcW w:w="1223" w:type="dxa"/>
            <w:vMerge w:val="restart"/>
            <w:tcBorders>
              <w:top w:val="nil"/>
              <w:left w:val="single" w:sz="4" w:space="0" w:color="auto"/>
              <w:bottom w:val="single" w:sz="4" w:space="0" w:color="auto"/>
              <w:right w:val="nil"/>
            </w:tcBorders>
            <w:shd w:val="clear" w:color="auto" w:fill="auto"/>
            <w:vAlign w:val="center"/>
            <w:hideMark/>
          </w:tcPr>
          <w:p w14:paraId="26B94841" w14:textId="77777777" w:rsidR="00CD50C8" w:rsidRPr="0082431E" w:rsidRDefault="00CD50C8" w:rsidP="00CD50C8">
            <w:pPr>
              <w:rPr>
                <w:rFonts w:ascii="Arial" w:hAnsi="Arial" w:cs="Arial"/>
                <w:b/>
                <w:bCs/>
                <w:color w:val="000000"/>
                <w:sz w:val="20"/>
                <w:szCs w:val="20"/>
              </w:rPr>
            </w:pPr>
            <w:r w:rsidRPr="0082431E">
              <w:rPr>
                <w:rFonts w:ascii="Arial" w:hAnsi="Arial" w:cs="Arial"/>
                <w:b/>
                <w:bCs/>
                <w:color w:val="000000"/>
                <w:sz w:val="20"/>
                <w:szCs w:val="20"/>
              </w:rPr>
              <w:t>Total</w:t>
            </w:r>
          </w:p>
        </w:tc>
        <w:tc>
          <w:tcPr>
            <w:tcW w:w="2275" w:type="dxa"/>
            <w:tcBorders>
              <w:top w:val="nil"/>
              <w:left w:val="single" w:sz="4" w:space="0" w:color="auto"/>
              <w:bottom w:val="nil"/>
              <w:right w:val="single" w:sz="4" w:space="0" w:color="auto"/>
            </w:tcBorders>
            <w:shd w:val="clear" w:color="000000" w:fill="FFFFFF"/>
            <w:vAlign w:val="center"/>
            <w:hideMark/>
          </w:tcPr>
          <w:p w14:paraId="2D15ADB2" w14:textId="2B7AB850" w:rsidR="00CD50C8" w:rsidRPr="0082431E" w:rsidRDefault="00CD50C8" w:rsidP="00CD50C8">
            <w:pPr>
              <w:rPr>
                <w:rFonts w:ascii="Arial" w:hAnsi="Arial" w:cs="Arial"/>
                <w:color w:val="000000"/>
                <w:sz w:val="20"/>
                <w:szCs w:val="20"/>
              </w:rPr>
            </w:pPr>
            <w:r w:rsidRPr="0082431E">
              <w:rPr>
                <w:rFonts w:ascii="Arial" w:hAnsi="Arial" w:cs="Arial"/>
                <w:color w:val="000000"/>
                <w:sz w:val="20"/>
                <w:szCs w:val="20"/>
              </w:rPr>
              <w:t xml:space="preserve"># </w:t>
            </w:r>
            <w:r w:rsidR="00DF5A48">
              <w:rPr>
                <w:rFonts w:ascii="Arial" w:hAnsi="Arial" w:cs="Arial"/>
                <w:color w:val="000000"/>
                <w:sz w:val="20"/>
                <w:szCs w:val="20"/>
              </w:rPr>
              <w:t>Customers</w:t>
            </w:r>
          </w:p>
        </w:tc>
        <w:tc>
          <w:tcPr>
            <w:tcW w:w="2041" w:type="dxa"/>
            <w:tcBorders>
              <w:top w:val="nil"/>
              <w:left w:val="nil"/>
              <w:bottom w:val="nil"/>
              <w:right w:val="single" w:sz="4" w:space="0" w:color="auto"/>
            </w:tcBorders>
            <w:shd w:val="clear" w:color="000000" w:fill="FFFFFF"/>
            <w:vAlign w:val="center"/>
            <w:hideMark/>
          </w:tcPr>
          <w:p w14:paraId="33B55577" w14:textId="77777777" w:rsidR="00CD50C8" w:rsidRPr="0082431E" w:rsidRDefault="00CD50C8" w:rsidP="00CD50C8">
            <w:pPr>
              <w:jc w:val="center"/>
              <w:rPr>
                <w:rFonts w:ascii="Arial" w:hAnsi="Arial" w:cs="Arial"/>
                <w:color w:val="000000"/>
                <w:sz w:val="20"/>
                <w:szCs w:val="20"/>
              </w:rPr>
            </w:pPr>
            <w:r w:rsidRPr="0082431E">
              <w:rPr>
                <w:rFonts w:ascii="Arial" w:hAnsi="Arial" w:cs="Arial"/>
                <w:color w:val="000000"/>
                <w:sz w:val="20"/>
                <w:szCs w:val="20"/>
              </w:rPr>
              <w:t>247</w:t>
            </w:r>
          </w:p>
        </w:tc>
        <w:tc>
          <w:tcPr>
            <w:tcW w:w="1900" w:type="dxa"/>
            <w:tcBorders>
              <w:top w:val="nil"/>
              <w:left w:val="nil"/>
              <w:bottom w:val="nil"/>
              <w:right w:val="single" w:sz="4" w:space="0" w:color="auto"/>
            </w:tcBorders>
            <w:shd w:val="clear" w:color="000000" w:fill="FFFFFF"/>
            <w:vAlign w:val="center"/>
            <w:hideMark/>
          </w:tcPr>
          <w:p w14:paraId="4E9C7ADD" w14:textId="18A806BC" w:rsidR="00CD50C8" w:rsidRPr="0082431E" w:rsidRDefault="00CD50C8" w:rsidP="00CD50C8">
            <w:pPr>
              <w:jc w:val="center"/>
              <w:rPr>
                <w:rFonts w:ascii="Arial" w:hAnsi="Arial" w:cs="Arial"/>
                <w:color w:val="000000"/>
                <w:sz w:val="20"/>
                <w:szCs w:val="20"/>
              </w:rPr>
            </w:pPr>
            <w:r>
              <w:rPr>
                <w:rFonts w:ascii="Arial" w:hAnsi="Arial" w:cs="Arial"/>
                <w:color w:val="000000"/>
                <w:sz w:val="20"/>
                <w:szCs w:val="20"/>
              </w:rPr>
              <w:t>331</w:t>
            </w:r>
          </w:p>
        </w:tc>
      </w:tr>
      <w:tr w:rsidR="00CD50C8" w:rsidRPr="0082431E" w14:paraId="2F954E4B" w14:textId="77777777" w:rsidTr="00B15225">
        <w:trPr>
          <w:trHeight w:val="262"/>
          <w:jc w:val="center"/>
        </w:trPr>
        <w:tc>
          <w:tcPr>
            <w:tcW w:w="1223" w:type="dxa"/>
            <w:vMerge/>
            <w:tcBorders>
              <w:top w:val="nil"/>
              <w:left w:val="single" w:sz="4" w:space="0" w:color="auto"/>
              <w:bottom w:val="single" w:sz="4" w:space="0" w:color="auto"/>
              <w:right w:val="nil"/>
            </w:tcBorders>
            <w:vAlign w:val="center"/>
            <w:hideMark/>
          </w:tcPr>
          <w:p w14:paraId="14B5E5F4" w14:textId="77777777" w:rsidR="00CD50C8" w:rsidRPr="0082431E" w:rsidRDefault="00CD50C8" w:rsidP="00CD50C8">
            <w:pPr>
              <w:rPr>
                <w:rFonts w:ascii="Arial" w:hAnsi="Arial" w:cs="Arial"/>
                <w:b/>
                <w:bCs/>
                <w:color w:val="000000"/>
                <w:sz w:val="20"/>
                <w:szCs w:val="20"/>
              </w:rPr>
            </w:pPr>
          </w:p>
        </w:tc>
        <w:tc>
          <w:tcPr>
            <w:tcW w:w="2275" w:type="dxa"/>
            <w:tcBorders>
              <w:top w:val="nil"/>
              <w:left w:val="single" w:sz="4" w:space="0" w:color="auto"/>
              <w:bottom w:val="nil"/>
              <w:right w:val="single" w:sz="4" w:space="0" w:color="auto"/>
            </w:tcBorders>
            <w:shd w:val="clear" w:color="000000" w:fill="FFFFFF"/>
            <w:vAlign w:val="center"/>
            <w:hideMark/>
          </w:tcPr>
          <w:p w14:paraId="21437292" w14:textId="6DC2ED52" w:rsidR="00CD50C8" w:rsidRPr="0082431E" w:rsidRDefault="00CD50C8" w:rsidP="00CD50C8">
            <w:pPr>
              <w:rPr>
                <w:rFonts w:ascii="Arial" w:hAnsi="Arial" w:cs="Arial"/>
                <w:color w:val="000000"/>
                <w:sz w:val="20"/>
                <w:szCs w:val="20"/>
              </w:rPr>
            </w:pPr>
            <w:r w:rsidRPr="0082431E">
              <w:rPr>
                <w:rFonts w:ascii="Arial" w:hAnsi="Arial" w:cs="Arial"/>
                <w:color w:val="000000"/>
                <w:sz w:val="20"/>
                <w:szCs w:val="20"/>
              </w:rPr>
              <w:t>Reference (MW</w:t>
            </w:r>
            <w:r>
              <w:rPr>
                <w:rFonts w:ascii="Arial" w:hAnsi="Arial" w:cs="Arial"/>
                <w:color w:val="000000"/>
                <w:sz w:val="20"/>
                <w:szCs w:val="20"/>
              </w:rPr>
              <w:t>h/h</w:t>
            </w:r>
            <w:r w:rsidRPr="0082431E">
              <w:rPr>
                <w:rFonts w:ascii="Arial" w:hAnsi="Arial" w:cs="Arial"/>
                <w:color w:val="000000"/>
                <w:sz w:val="20"/>
                <w:szCs w:val="20"/>
              </w:rPr>
              <w:t>)</w:t>
            </w:r>
          </w:p>
        </w:tc>
        <w:tc>
          <w:tcPr>
            <w:tcW w:w="2041" w:type="dxa"/>
            <w:tcBorders>
              <w:top w:val="nil"/>
              <w:left w:val="nil"/>
              <w:bottom w:val="nil"/>
              <w:right w:val="single" w:sz="4" w:space="0" w:color="auto"/>
            </w:tcBorders>
            <w:shd w:val="clear" w:color="000000" w:fill="FFFFFF"/>
            <w:vAlign w:val="center"/>
            <w:hideMark/>
          </w:tcPr>
          <w:p w14:paraId="338F15F8" w14:textId="77777777" w:rsidR="00CD50C8" w:rsidRPr="0082431E" w:rsidRDefault="00CD50C8" w:rsidP="00CD50C8">
            <w:pPr>
              <w:jc w:val="center"/>
              <w:rPr>
                <w:rFonts w:ascii="Arial" w:hAnsi="Arial" w:cs="Arial"/>
                <w:color w:val="000000"/>
                <w:sz w:val="20"/>
                <w:szCs w:val="20"/>
              </w:rPr>
            </w:pPr>
            <w:r w:rsidRPr="0082431E">
              <w:rPr>
                <w:rFonts w:ascii="Arial" w:hAnsi="Arial" w:cs="Arial"/>
                <w:color w:val="000000"/>
                <w:sz w:val="20"/>
                <w:szCs w:val="20"/>
              </w:rPr>
              <w:t>332.6</w:t>
            </w:r>
          </w:p>
        </w:tc>
        <w:tc>
          <w:tcPr>
            <w:tcW w:w="1900" w:type="dxa"/>
            <w:tcBorders>
              <w:top w:val="nil"/>
              <w:left w:val="nil"/>
              <w:bottom w:val="nil"/>
              <w:right w:val="single" w:sz="4" w:space="0" w:color="auto"/>
            </w:tcBorders>
            <w:shd w:val="clear" w:color="000000" w:fill="FFFFFF"/>
            <w:vAlign w:val="center"/>
            <w:hideMark/>
          </w:tcPr>
          <w:p w14:paraId="134A9726" w14:textId="6B6FC27F" w:rsidR="00CD50C8" w:rsidRPr="0082431E" w:rsidRDefault="00CD50C8" w:rsidP="00CD50C8">
            <w:pPr>
              <w:jc w:val="center"/>
              <w:rPr>
                <w:rFonts w:ascii="Arial" w:hAnsi="Arial" w:cs="Arial"/>
                <w:color w:val="000000"/>
                <w:sz w:val="20"/>
                <w:szCs w:val="20"/>
              </w:rPr>
            </w:pPr>
            <w:r>
              <w:rPr>
                <w:rFonts w:ascii="Arial" w:hAnsi="Arial" w:cs="Arial"/>
                <w:color w:val="000000"/>
                <w:sz w:val="20"/>
                <w:szCs w:val="20"/>
              </w:rPr>
              <w:t>343.6</w:t>
            </w:r>
          </w:p>
        </w:tc>
      </w:tr>
      <w:tr w:rsidR="00CD50C8" w:rsidRPr="0082431E" w14:paraId="6160372A" w14:textId="77777777" w:rsidTr="00B15225">
        <w:trPr>
          <w:trHeight w:val="262"/>
          <w:jc w:val="center"/>
        </w:trPr>
        <w:tc>
          <w:tcPr>
            <w:tcW w:w="1223" w:type="dxa"/>
            <w:vMerge/>
            <w:tcBorders>
              <w:top w:val="nil"/>
              <w:left w:val="single" w:sz="4" w:space="0" w:color="auto"/>
              <w:bottom w:val="single" w:sz="4" w:space="0" w:color="auto"/>
              <w:right w:val="nil"/>
            </w:tcBorders>
            <w:vAlign w:val="center"/>
            <w:hideMark/>
          </w:tcPr>
          <w:p w14:paraId="0DE963A6" w14:textId="77777777" w:rsidR="00CD50C8" w:rsidRPr="0082431E" w:rsidRDefault="00CD50C8" w:rsidP="00CD50C8">
            <w:pPr>
              <w:rPr>
                <w:rFonts w:ascii="Arial" w:hAnsi="Arial" w:cs="Arial"/>
                <w:b/>
                <w:bCs/>
                <w:color w:val="000000"/>
                <w:sz w:val="20"/>
                <w:szCs w:val="20"/>
              </w:rPr>
            </w:pPr>
          </w:p>
        </w:tc>
        <w:tc>
          <w:tcPr>
            <w:tcW w:w="2275" w:type="dxa"/>
            <w:tcBorders>
              <w:top w:val="nil"/>
              <w:left w:val="single" w:sz="4" w:space="0" w:color="auto"/>
              <w:bottom w:val="single" w:sz="4" w:space="0" w:color="auto"/>
              <w:right w:val="single" w:sz="4" w:space="0" w:color="auto"/>
            </w:tcBorders>
            <w:shd w:val="clear" w:color="000000" w:fill="FFFFFF"/>
            <w:vAlign w:val="center"/>
            <w:hideMark/>
          </w:tcPr>
          <w:p w14:paraId="4DA086F5" w14:textId="7D660260" w:rsidR="00CD50C8" w:rsidRPr="0082431E" w:rsidRDefault="00CD50C8" w:rsidP="00CD50C8">
            <w:pPr>
              <w:rPr>
                <w:rFonts w:ascii="Arial" w:hAnsi="Arial" w:cs="Arial"/>
                <w:color w:val="000000"/>
                <w:sz w:val="20"/>
                <w:szCs w:val="20"/>
              </w:rPr>
            </w:pPr>
            <w:r w:rsidRPr="0082431E">
              <w:rPr>
                <w:rFonts w:ascii="Arial" w:hAnsi="Arial" w:cs="Arial"/>
                <w:color w:val="000000"/>
                <w:sz w:val="20"/>
                <w:szCs w:val="20"/>
              </w:rPr>
              <w:t>Load Impact (MW</w:t>
            </w:r>
            <w:r>
              <w:rPr>
                <w:rFonts w:ascii="Arial" w:hAnsi="Arial" w:cs="Arial"/>
                <w:color w:val="000000"/>
                <w:sz w:val="20"/>
                <w:szCs w:val="20"/>
              </w:rPr>
              <w:t>h/h</w:t>
            </w:r>
            <w:r w:rsidRPr="0082431E">
              <w:rPr>
                <w:rFonts w:ascii="Arial" w:hAnsi="Arial" w:cs="Arial"/>
                <w:color w:val="000000"/>
                <w:sz w:val="20"/>
                <w:szCs w:val="20"/>
              </w:rPr>
              <w:t>)</w:t>
            </w:r>
          </w:p>
        </w:tc>
        <w:tc>
          <w:tcPr>
            <w:tcW w:w="2041" w:type="dxa"/>
            <w:tcBorders>
              <w:top w:val="nil"/>
              <w:left w:val="nil"/>
              <w:bottom w:val="single" w:sz="4" w:space="0" w:color="auto"/>
              <w:right w:val="single" w:sz="4" w:space="0" w:color="auto"/>
            </w:tcBorders>
            <w:shd w:val="clear" w:color="000000" w:fill="FFFFFF"/>
            <w:vAlign w:val="center"/>
            <w:hideMark/>
          </w:tcPr>
          <w:p w14:paraId="226652ED" w14:textId="77777777" w:rsidR="00CD50C8" w:rsidRPr="0082431E" w:rsidRDefault="00CD50C8" w:rsidP="00CD50C8">
            <w:pPr>
              <w:jc w:val="center"/>
              <w:rPr>
                <w:rFonts w:ascii="Arial" w:hAnsi="Arial" w:cs="Arial"/>
                <w:color w:val="000000"/>
                <w:sz w:val="20"/>
                <w:szCs w:val="20"/>
              </w:rPr>
            </w:pPr>
            <w:r w:rsidRPr="0082431E">
              <w:rPr>
                <w:rFonts w:ascii="Arial" w:hAnsi="Arial" w:cs="Arial"/>
                <w:color w:val="000000"/>
                <w:sz w:val="20"/>
                <w:szCs w:val="20"/>
              </w:rPr>
              <w:t>253.8</w:t>
            </w:r>
          </w:p>
        </w:tc>
        <w:tc>
          <w:tcPr>
            <w:tcW w:w="1900" w:type="dxa"/>
            <w:tcBorders>
              <w:top w:val="nil"/>
              <w:left w:val="nil"/>
              <w:bottom w:val="single" w:sz="4" w:space="0" w:color="auto"/>
              <w:right w:val="single" w:sz="4" w:space="0" w:color="auto"/>
            </w:tcBorders>
            <w:shd w:val="clear" w:color="000000" w:fill="FFFFFF"/>
            <w:vAlign w:val="center"/>
            <w:hideMark/>
          </w:tcPr>
          <w:p w14:paraId="4A88137B" w14:textId="5128696D" w:rsidR="00CD50C8" w:rsidRPr="0082431E" w:rsidRDefault="00CD50C8" w:rsidP="00CD50C8">
            <w:pPr>
              <w:jc w:val="center"/>
              <w:rPr>
                <w:rFonts w:ascii="Arial" w:hAnsi="Arial" w:cs="Arial"/>
                <w:color w:val="000000"/>
                <w:sz w:val="20"/>
                <w:szCs w:val="20"/>
              </w:rPr>
            </w:pPr>
            <w:r>
              <w:rPr>
                <w:rFonts w:ascii="Arial" w:hAnsi="Arial" w:cs="Arial"/>
                <w:color w:val="000000"/>
                <w:sz w:val="20"/>
                <w:szCs w:val="20"/>
              </w:rPr>
              <w:t>195.4</w:t>
            </w:r>
          </w:p>
        </w:tc>
      </w:tr>
      <w:tr w:rsidR="00CD50C8" w:rsidRPr="0082431E" w14:paraId="52210484" w14:textId="77777777" w:rsidTr="00B15225">
        <w:trPr>
          <w:trHeight w:val="262"/>
          <w:jc w:val="center"/>
        </w:trPr>
        <w:tc>
          <w:tcPr>
            <w:tcW w:w="1223" w:type="dxa"/>
            <w:vMerge w:val="restart"/>
            <w:tcBorders>
              <w:top w:val="nil"/>
              <w:left w:val="single" w:sz="4" w:space="0" w:color="auto"/>
              <w:bottom w:val="single" w:sz="4" w:space="0" w:color="auto"/>
              <w:right w:val="nil"/>
            </w:tcBorders>
            <w:shd w:val="clear" w:color="auto" w:fill="auto"/>
            <w:vAlign w:val="center"/>
            <w:hideMark/>
          </w:tcPr>
          <w:p w14:paraId="43312C29" w14:textId="3FE18781" w:rsidR="00CD50C8" w:rsidRPr="0082431E" w:rsidRDefault="00CD50C8" w:rsidP="00CD50C8">
            <w:pPr>
              <w:rPr>
                <w:rFonts w:ascii="Arial" w:hAnsi="Arial" w:cs="Arial"/>
                <w:b/>
                <w:bCs/>
                <w:color w:val="000000"/>
                <w:sz w:val="20"/>
                <w:szCs w:val="20"/>
              </w:rPr>
            </w:pPr>
            <w:r w:rsidRPr="0082431E">
              <w:rPr>
                <w:rFonts w:ascii="Arial" w:hAnsi="Arial" w:cs="Arial"/>
                <w:b/>
                <w:bCs/>
                <w:color w:val="000000"/>
                <w:sz w:val="20"/>
                <w:szCs w:val="20"/>
              </w:rPr>
              <w:t xml:space="preserve">Per </w:t>
            </w:r>
            <w:r w:rsidR="00DF5A48">
              <w:rPr>
                <w:rFonts w:ascii="Arial" w:hAnsi="Arial" w:cs="Arial"/>
                <w:b/>
                <w:bCs/>
                <w:color w:val="000000"/>
                <w:sz w:val="20"/>
                <w:szCs w:val="20"/>
              </w:rPr>
              <w:t>Customer</w:t>
            </w:r>
          </w:p>
        </w:tc>
        <w:tc>
          <w:tcPr>
            <w:tcW w:w="2275" w:type="dxa"/>
            <w:tcBorders>
              <w:top w:val="nil"/>
              <w:left w:val="single" w:sz="4" w:space="0" w:color="auto"/>
              <w:bottom w:val="nil"/>
              <w:right w:val="single" w:sz="4" w:space="0" w:color="auto"/>
            </w:tcBorders>
            <w:shd w:val="clear" w:color="000000" w:fill="FFFFFF"/>
            <w:vAlign w:val="center"/>
            <w:hideMark/>
          </w:tcPr>
          <w:p w14:paraId="5077FBEF" w14:textId="0B582B3F" w:rsidR="00CD50C8" w:rsidRPr="0082431E" w:rsidRDefault="00CD50C8" w:rsidP="00CD50C8">
            <w:pPr>
              <w:rPr>
                <w:rFonts w:ascii="Arial" w:hAnsi="Arial" w:cs="Arial"/>
                <w:color w:val="000000"/>
                <w:sz w:val="20"/>
                <w:szCs w:val="20"/>
              </w:rPr>
            </w:pPr>
            <w:r w:rsidRPr="0082431E">
              <w:rPr>
                <w:rFonts w:ascii="Arial" w:hAnsi="Arial" w:cs="Arial"/>
                <w:color w:val="000000"/>
                <w:sz w:val="20"/>
                <w:szCs w:val="20"/>
              </w:rPr>
              <w:t>Reference (kW</w:t>
            </w:r>
            <w:r>
              <w:rPr>
                <w:rFonts w:ascii="Arial" w:hAnsi="Arial" w:cs="Arial"/>
                <w:color w:val="000000"/>
                <w:sz w:val="20"/>
                <w:szCs w:val="20"/>
              </w:rPr>
              <w:t>h/h</w:t>
            </w:r>
            <w:r w:rsidRPr="0082431E">
              <w:rPr>
                <w:rFonts w:ascii="Arial" w:hAnsi="Arial" w:cs="Arial"/>
                <w:color w:val="000000"/>
                <w:sz w:val="20"/>
                <w:szCs w:val="20"/>
              </w:rPr>
              <w:t>)</w:t>
            </w:r>
          </w:p>
        </w:tc>
        <w:tc>
          <w:tcPr>
            <w:tcW w:w="2041" w:type="dxa"/>
            <w:tcBorders>
              <w:top w:val="nil"/>
              <w:left w:val="nil"/>
              <w:bottom w:val="nil"/>
              <w:right w:val="single" w:sz="4" w:space="0" w:color="auto"/>
            </w:tcBorders>
            <w:shd w:val="clear" w:color="000000" w:fill="FFFFFF"/>
            <w:vAlign w:val="center"/>
            <w:hideMark/>
          </w:tcPr>
          <w:p w14:paraId="2608CDE7" w14:textId="77777777" w:rsidR="00CD50C8" w:rsidRPr="0082431E" w:rsidRDefault="00CD50C8" w:rsidP="00CD50C8">
            <w:pPr>
              <w:jc w:val="center"/>
              <w:rPr>
                <w:rFonts w:ascii="Arial" w:hAnsi="Arial" w:cs="Arial"/>
                <w:color w:val="000000"/>
                <w:sz w:val="20"/>
                <w:szCs w:val="20"/>
              </w:rPr>
            </w:pPr>
            <w:r w:rsidRPr="0082431E">
              <w:rPr>
                <w:rFonts w:ascii="Arial" w:hAnsi="Arial" w:cs="Arial"/>
                <w:color w:val="000000"/>
                <w:sz w:val="20"/>
                <w:szCs w:val="20"/>
              </w:rPr>
              <w:t>1,346.6</w:t>
            </w:r>
          </w:p>
        </w:tc>
        <w:tc>
          <w:tcPr>
            <w:tcW w:w="1900" w:type="dxa"/>
            <w:tcBorders>
              <w:top w:val="nil"/>
              <w:left w:val="nil"/>
              <w:bottom w:val="nil"/>
              <w:right w:val="single" w:sz="4" w:space="0" w:color="auto"/>
            </w:tcBorders>
            <w:shd w:val="clear" w:color="000000" w:fill="FFFFFF"/>
            <w:vAlign w:val="center"/>
            <w:hideMark/>
          </w:tcPr>
          <w:p w14:paraId="3ACFD4BC" w14:textId="30472EF9" w:rsidR="00CD50C8" w:rsidRPr="0082431E" w:rsidRDefault="00CD50C8" w:rsidP="00CD50C8">
            <w:pPr>
              <w:jc w:val="center"/>
              <w:rPr>
                <w:rFonts w:ascii="Arial" w:hAnsi="Arial" w:cs="Arial"/>
                <w:color w:val="000000"/>
                <w:sz w:val="20"/>
                <w:szCs w:val="20"/>
              </w:rPr>
            </w:pPr>
            <w:r>
              <w:rPr>
                <w:rFonts w:ascii="Arial" w:hAnsi="Arial" w:cs="Arial"/>
                <w:color w:val="000000"/>
                <w:sz w:val="20"/>
                <w:szCs w:val="20"/>
              </w:rPr>
              <w:t>1,038.2</w:t>
            </w:r>
          </w:p>
        </w:tc>
      </w:tr>
      <w:tr w:rsidR="00CD50C8" w:rsidRPr="0082431E" w14:paraId="3A38716D" w14:textId="77777777" w:rsidTr="00B15225">
        <w:trPr>
          <w:trHeight w:val="262"/>
          <w:jc w:val="center"/>
        </w:trPr>
        <w:tc>
          <w:tcPr>
            <w:tcW w:w="1223" w:type="dxa"/>
            <w:vMerge/>
            <w:tcBorders>
              <w:top w:val="nil"/>
              <w:left w:val="single" w:sz="4" w:space="0" w:color="auto"/>
              <w:bottom w:val="single" w:sz="4" w:space="0" w:color="auto"/>
              <w:right w:val="nil"/>
            </w:tcBorders>
            <w:vAlign w:val="center"/>
            <w:hideMark/>
          </w:tcPr>
          <w:p w14:paraId="57B71C16" w14:textId="77777777" w:rsidR="00CD50C8" w:rsidRPr="0082431E" w:rsidRDefault="00CD50C8" w:rsidP="00CD50C8">
            <w:pPr>
              <w:rPr>
                <w:rFonts w:ascii="Arial" w:hAnsi="Arial" w:cs="Arial"/>
                <w:b/>
                <w:bCs/>
                <w:color w:val="000000"/>
                <w:sz w:val="20"/>
                <w:szCs w:val="20"/>
              </w:rPr>
            </w:pPr>
          </w:p>
        </w:tc>
        <w:tc>
          <w:tcPr>
            <w:tcW w:w="2275" w:type="dxa"/>
            <w:tcBorders>
              <w:top w:val="nil"/>
              <w:left w:val="single" w:sz="4" w:space="0" w:color="auto"/>
              <w:bottom w:val="nil"/>
              <w:right w:val="single" w:sz="4" w:space="0" w:color="auto"/>
            </w:tcBorders>
            <w:shd w:val="clear" w:color="000000" w:fill="FFFFFF"/>
            <w:vAlign w:val="center"/>
            <w:hideMark/>
          </w:tcPr>
          <w:p w14:paraId="26BD538E" w14:textId="0617081F" w:rsidR="00CD50C8" w:rsidRPr="0082431E" w:rsidRDefault="00CD50C8" w:rsidP="00CD50C8">
            <w:pPr>
              <w:rPr>
                <w:rFonts w:ascii="Arial" w:hAnsi="Arial" w:cs="Arial"/>
                <w:color w:val="000000"/>
                <w:sz w:val="20"/>
                <w:szCs w:val="20"/>
              </w:rPr>
            </w:pPr>
            <w:r w:rsidRPr="0082431E">
              <w:rPr>
                <w:rFonts w:ascii="Arial" w:hAnsi="Arial" w:cs="Arial"/>
                <w:color w:val="000000"/>
                <w:sz w:val="20"/>
                <w:szCs w:val="20"/>
              </w:rPr>
              <w:t>Load Impact (kW</w:t>
            </w:r>
            <w:r>
              <w:rPr>
                <w:rFonts w:ascii="Arial" w:hAnsi="Arial" w:cs="Arial"/>
                <w:color w:val="000000"/>
                <w:sz w:val="20"/>
                <w:szCs w:val="20"/>
              </w:rPr>
              <w:t>h/h</w:t>
            </w:r>
            <w:r w:rsidRPr="0082431E">
              <w:rPr>
                <w:rFonts w:ascii="Arial" w:hAnsi="Arial" w:cs="Arial"/>
                <w:color w:val="000000"/>
                <w:sz w:val="20"/>
                <w:szCs w:val="20"/>
              </w:rPr>
              <w:t>)</w:t>
            </w:r>
          </w:p>
        </w:tc>
        <w:tc>
          <w:tcPr>
            <w:tcW w:w="2041" w:type="dxa"/>
            <w:tcBorders>
              <w:top w:val="nil"/>
              <w:left w:val="nil"/>
              <w:bottom w:val="nil"/>
              <w:right w:val="single" w:sz="4" w:space="0" w:color="auto"/>
            </w:tcBorders>
            <w:shd w:val="clear" w:color="000000" w:fill="FFFFFF"/>
            <w:vAlign w:val="center"/>
            <w:hideMark/>
          </w:tcPr>
          <w:p w14:paraId="483B4713" w14:textId="77777777" w:rsidR="00CD50C8" w:rsidRPr="0082431E" w:rsidRDefault="00CD50C8" w:rsidP="00CD50C8">
            <w:pPr>
              <w:jc w:val="center"/>
              <w:rPr>
                <w:rFonts w:ascii="Arial" w:hAnsi="Arial" w:cs="Arial"/>
                <w:color w:val="000000"/>
                <w:sz w:val="20"/>
                <w:szCs w:val="20"/>
              </w:rPr>
            </w:pPr>
            <w:r w:rsidRPr="0082431E">
              <w:rPr>
                <w:rFonts w:ascii="Arial" w:hAnsi="Arial" w:cs="Arial"/>
                <w:color w:val="000000"/>
                <w:sz w:val="20"/>
                <w:szCs w:val="20"/>
              </w:rPr>
              <w:t>1,027.5</w:t>
            </w:r>
          </w:p>
        </w:tc>
        <w:tc>
          <w:tcPr>
            <w:tcW w:w="1900" w:type="dxa"/>
            <w:tcBorders>
              <w:top w:val="nil"/>
              <w:left w:val="nil"/>
              <w:bottom w:val="nil"/>
              <w:right w:val="single" w:sz="4" w:space="0" w:color="auto"/>
            </w:tcBorders>
            <w:shd w:val="clear" w:color="000000" w:fill="FFFFFF"/>
            <w:vAlign w:val="center"/>
            <w:hideMark/>
          </w:tcPr>
          <w:p w14:paraId="25229199" w14:textId="30D4A9EB" w:rsidR="00CD50C8" w:rsidRPr="0082431E" w:rsidRDefault="00CD50C8" w:rsidP="00CD50C8">
            <w:pPr>
              <w:jc w:val="center"/>
              <w:rPr>
                <w:rFonts w:ascii="Arial" w:hAnsi="Arial" w:cs="Arial"/>
                <w:color w:val="000000"/>
                <w:sz w:val="20"/>
                <w:szCs w:val="20"/>
              </w:rPr>
            </w:pPr>
            <w:r>
              <w:rPr>
                <w:rFonts w:ascii="Arial" w:hAnsi="Arial" w:cs="Arial"/>
                <w:color w:val="000000"/>
                <w:sz w:val="20"/>
                <w:szCs w:val="20"/>
              </w:rPr>
              <w:t>590.4</w:t>
            </w:r>
          </w:p>
        </w:tc>
      </w:tr>
      <w:tr w:rsidR="00CD50C8" w:rsidRPr="0082431E" w14:paraId="768C98BA" w14:textId="77777777" w:rsidTr="00B15225">
        <w:trPr>
          <w:trHeight w:val="262"/>
          <w:jc w:val="center"/>
        </w:trPr>
        <w:tc>
          <w:tcPr>
            <w:tcW w:w="1223" w:type="dxa"/>
            <w:vMerge/>
            <w:tcBorders>
              <w:top w:val="nil"/>
              <w:left w:val="single" w:sz="4" w:space="0" w:color="auto"/>
              <w:bottom w:val="single" w:sz="4" w:space="0" w:color="auto"/>
              <w:right w:val="nil"/>
            </w:tcBorders>
            <w:vAlign w:val="center"/>
            <w:hideMark/>
          </w:tcPr>
          <w:p w14:paraId="22642A15" w14:textId="77777777" w:rsidR="00CD50C8" w:rsidRPr="0082431E" w:rsidRDefault="00CD50C8" w:rsidP="00CD50C8">
            <w:pPr>
              <w:rPr>
                <w:rFonts w:ascii="Arial" w:hAnsi="Arial" w:cs="Arial"/>
                <w:b/>
                <w:bCs/>
                <w:color w:val="000000"/>
                <w:sz w:val="20"/>
                <w:szCs w:val="20"/>
              </w:rPr>
            </w:pPr>
          </w:p>
        </w:tc>
        <w:tc>
          <w:tcPr>
            <w:tcW w:w="2275" w:type="dxa"/>
            <w:tcBorders>
              <w:top w:val="nil"/>
              <w:left w:val="single" w:sz="4" w:space="0" w:color="auto"/>
              <w:bottom w:val="single" w:sz="4" w:space="0" w:color="auto"/>
              <w:right w:val="single" w:sz="4" w:space="0" w:color="auto"/>
            </w:tcBorders>
            <w:shd w:val="clear" w:color="000000" w:fill="FFFFFF"/>
            <w:vAlign w:val="center"/>
            <w:hideMark/>
          </w:tcPr>
          <w:p w14:paraId="77AF260B" w14:textId="77777777" w:rsidR="00CD50C8" w:rsidRPr="0082431E" w:rsidRDefault="00CD50C8" w:rsidP="00CD50C8">
            <w:pPr>
              <w:rPr>
                <w:rFonts w:ascii="Arial" w:hAnsi="Arial" w:cs="Arial"/>
                <w:color w:val="000000"/>
                <w:sz w:val="20"/>
                <w:szCs w:val="20"/>
              </w:rPr>
            </w:pPr>
            <w:r w:rsidRPr="0082431E">
              <w:rPr>
                <w:rFonts w:ascii="Arial" w:hAnsi="Arial" w:cs="Arial"/>
                <w:color w:val="000000"/>
                <w:sz w:val="20"/>
                <w:szCs w:val="20"/>
              </w:rPr>
              <w:t>% Load Impact</w:t>
            </w:r>
          </w:p>
        </w:tc>
        <w:tc>
          <w:tcPr>
            <w:tcW w:w="2041" w:type="dxa"/>
            <w:tcBorders>
              <w:top w:val="nil"/>
              <w:left w:val="nil"/>
              <w:bottom w:val="single" w:sz="4" w:space="0" w:color="auto"/>
              <w:right w:val="single" w:sz="4" w:space="0" w:color="auto"/>
            </w:tcBorders>
            <w:shd w:val="clear" w:color="000000" w:fill="FFFFFF"/>
            <w:vAlign w:val="center"/>
            <w:hideMark/>
          </w:tcPr>
          <w:p w14:paraId="1553599A" w14:textId="7ACC5C2F" w:rsidR="00CD50C8" w:rsidRPr="0082431E" w:rsidRDefault="00CD50C8" w:rsidP="00CD50C8">
            <w:pPr>
              <w:jc w:val="center"/>
              <w:rPr>
                <w:rFonts w:ascii="Arial" w:hAnsi="Arial" w:cs="Arial"/>
                <w:color w:val="000000"/>
                <w:sz w:val="20"/>
                <w:szCs w:val="20"/>
              </w:rPr>
            </w:pPr>
            <w:r w:rsidRPr="0082431E">
              <w:rPr>
                <w:rFonts w:ascii="Arial" w:hAnsi="Arial" w:cs="Arial"/>
                <w:color w:val="000000"/>
                <w:sz w:val="20"/>
                <w:szCs w:val="20"/>
              </w:rPr>
              <w:t>76.3%</w:t>
            </w:r>
          </w:p>
        </w:tc>
        <w:tc>
          <w:tcPr>
            <w:tcW w:w="1900" w:type="dxa"/>
            <w:tcBorders>
              <w:top w:val="nil"/>
              <w:left w:val="nil"/>
              <w:bottom w:val="single" w:sz="4" w:space="0" w:color="auto"/>
              <w:right w:val="single" w:sz="4" w:space="0" w:color="auto"/>
            </w:tcBorders>
            <w:shd w:val="clear" w:color="000000" w:fill="FFFFFF"/>
            <w:vAlign w:val="center"/>
            <w:hideMark/>
          </w:tcPr>
          <w:p w14:paraId="39A1281C" w14:textId="5DA9ABF4" w:rsidR="00CD50C8" w:rsidRPr="0082431E" w:rsidRDefault="00CD50C8" w:rsidP="00CD50C8">
            <w:pPr>
              <w:jc w:val="center"/>
              <w:rPr>
                <w:rFonts w:ascii="Arial" w:hAnsi="Arial" w:cs="Arial"/>
                <w:color w:val="000000"/>
                <w:sz w:val="20"/>
                <w:szCs w:val="20"/>
              </w:rPr>
            </w:pPr>
            <w:r>
              <w:rPr>
                <w:rFonts w:ascii="Arial" w:hAnsi="Arial" w:cs="Arial"/>
                <w:color w:val="000000"/>
                <w:sz w:val="20"/>
                <w:szCs w:val="20"/>
              </w:rPr>
              <w:t>56.</w:t>
            </w:r>
            <w:r w:rsidR="00426EEF">
              <w:rPr>
                <w:rFonts w:ascii="Arial" w:hAnsi="Arial" w:cs="Arial"/>
                <w:color w:val="000000"/>
                <w:sz w:val="20"/>
                <w:szCs w:val="20"/>
              </w:rPr>
              <w:t>9</w:t>
            </w:r>
            <w:r>
              <w:rPr>
                <w:rFonts w:ascii="Arial" w:hAnsi="Arial" w:cs="Arial"/>
                <w:color w:val="000000"/>
                <w:sz w:val="20"/>
                <w:szCs w:val="20"/>
              </w:rPr>
              <w:t>%</w:t>
            </w:r>
          </w:p>
        </w:tc>
      </w:tr>
    </w:tbl>
    <w:p w14:paraId="70A3BB99" w14:textId="77777777" w:rsidR="0082431E" w:rsidRDefault="0082431E" w:rsidP="0082431E">
      <w:pPr>
        <w:pStyle w:val="TableCaption"/>
        <w:keepNext/>
        <w:keepLines/>
      </w:pPr>
    </w:p>
    <w:p w14:paraId="02803DD6" w14:textId="6F4B163F" w:rsidR="00DA4753" w:rsidRDefault="0024297A" w:rsidP="00DA4753">
      <w:r w:rsidRPr="0024297A">
        <w:t xml:space="preserve">There are </w:t>
      </w:r>
      <w:r w:rsidR="00F01E18">
        <w:t>more</w:t>
      </w:r>
      <w:r w:rsidR="00F7199D" w:rsidRPr="0024297A">
        <w:t xml:space="preserve"> service </w:t>
      </w:r>
      <w:r w:rsidR="00D06C54">
        <w:t xml:space="preserve">accounts </w:t>
      </w:r>
      <w:r w:rsidRPr="0024297A">
        <w:t>in PY201</w:t>
      </w:r>
      <w:r w:rsidR="00F01E18">
        <w:t>7</w:t>
      </w:r>
      <w:r w:rsidR="00D06C54">
        <w:t xml:space="preserve">, with the added customers contributing to lower </w:t>
      </w:r>
      <w:r w:rsidR="00F7199D" w:rsidRPr="0024297A">
        <w:t>per-customer reference loads and l</w:t>
      </w:r>
      <w:r w:rsidRPr="0024297A">
        <w:t>oad impacts in PY201</w:t>
      </w:r>
      <w:r w:rsidR="00F01E18">
        <w:t>7</w:t>
      </w:r>
      <w:r w:rsidR="00F7199D" w:rsidRPr="0024297A">
        <w:t>.</w:t>
      </w:r>
      <w:r w:rsidR="002038A8">
        <w:t xml:space="preserve"> </w:t>
      </w:r>
      <w:r w:rsidR="00426EEF">
        <w:t xml:space="preserve">In addition, </w:t>
      </w:r>
      <w:r w:rsidR="002038A8">
        <w:t xml:space="preserve">the later </w:t>
      </w:r>
      <w:r w:rsidR="002038A8">
        <w:lastRenderedPageBreak/>
        <w:t xml:space="preserve">event hours in PY2017 (HE 21 through 22) may correspond with a period when customers are less responsive to events. </w:t>
      </w:r>
    </w:p>
    <w:p w14:paraId="0CD0E741" w14:textId="4109EC6D" w:rsidR="00DA4753" w:rsidRDefault="00DA4753" w:rsidP="00DA4753">
      <w:pPr>
        <w:pStyle w:val="Heading3"/>
      </w:pPr>
      <w:bookmarkStart w:id="209" w:name="_Toc383597953"/>
      <w:bookmarkStart w:id="210" w:name="_Toc510091132"/>
      <w:r>
        <w:t xml:space="preserve">6.1.2 Previous versus current </w:t>
      </w:r>
      <w:r w:rsidRPr="000F1678">
        <w:rPr>
          <w:i/>
        </w:rPr>
        <w:t>ex</w:t>
      </w:r>
      <w:r w:rsidR="000F1678" w:rsidRPr="000F1678">
        <w:rPr>
          <w:i/>
        </w:rPr>
        <w:t>-</w:t>
      </w:r>
      <w:r w:rsidRPr="000F1678">
        <w:rPr>
          <w:i/>
        </w:rPr>
        <w:t>ante</w:t>
      </w:r>
      <w:bookmarkEnd w:id="209"/>
      <w:bookmarkEnd w:id="210"/>
    </w:p>
    <w:p w14:paraId="4544580C" w14:textId="72219166" w:rsidR="00DA4753" w:rsidRDefault="00DA4753" w:rsidP="00DA4753">
      <w:r>
        <w:t xml:space="preserve">In this sub-section, we compare the </w:t>
      </w:r>
      <w:r w:rsidRPr="00AD09CF">
        <w:rPr>
          <w:i/>
        </w:rPr>
        <w:t>ex</w:t>
      </w:r>
      <w:r w:rsidR="00AD09CF" w:rsidRPr="00AD09CF">
        <w:rPr>
          <w:i/>
        </w:rPr>
        <w:t>-</w:t>
      </w:r>
      <w:r w:rsidRPr="00AD09CF">
        <w:rPr>
          <w:i/>
        </w:rPr>
        <w:t>ante</w:t>
      </w:r>
      <w:r w:rsidR="00D429E3">
        <w:t xml:space="preserve"> forecast prepared following PY</w:t>
      </w:r>
      <w:r>
        <w:t>201</w:t>
      </w:r>
      <w:r w:rsidR="00D429E3">
        <w:t>6</w:t>
      </w:r>
      <w:r>
        <w:t xml:space="preserve"> (the “previous study”) to the </w:t>
      </w:r>
      <w:r w:rsidRPr="00AD09CF">
        <w:rPr>
          <w:i/>
        </w:rPr>
        <w:t>ex</w:t>
      </w:r>
      <w:r w:rsidR="00AD09CF" w:rsidRPr="00AD09CF">
        <w:rPr>
          <w:i/>
        </w:rPr>
        <w:t>-</w:t>
      </w:r>
      <w:r w:rsidRPr="00AD09CF">
        <w:rPr>
          <w:i/>
        </w:rPr>
        <w:t>ante</w:t>
      </w:r>
      <w:r>
        <w:t xml:space="preserve"> forecast contained in this study (the “current study”). Table 6.2 contains thi</w:t>
      </w:r>
      <w:r w:rsidR="0024297A">
        <w:t>s comparison for the August 201</w:t>
      </w:r>
      <w:r w:rsidR="00D429E3">
        <w:t>8</w:t>
      </w:r>
      <w:r>
        <w:t xml:space="preserve"> utility-specific 1-in-2 </w:t>
      </w:r>
      <w:r w:rsidR="00426EEF">
        <w:t xml:space="preserve">typical </w:t>
      </w:r>
      <w:r w:rsidR="00974E8F">
        <w:t>event</w:t>
      </w:r>
      <w:r>
        <w:t xml:space="preserve"> day forecast. </w:t>
      </w:r>
    </w:p>
    <w:p w14:paraId="69F28E01" w14:textId="77777777" w:rsidR="00DA4753" w:rsidRDefault="00DA4753" w:rsidP="00DA4753"/>
    <w:p w14:paraId="75F26BA5" w14:textId="258B0CD2" w:rsidR="00EB76B2" w:rsidRDefault="00DA4753" w:rsidP="009C55CF">
      <w:pPr>
        <w:pStyle w:val="TableCaption"/>
        <w:keepNext/>
        <w:keepLines/>
        <w:rPr>
          <w:i/>
        </w:rPr>
      </w:pPr>
      <w:bookmarkStart w:id="211" w:name="_Toc383598017"/>
      <w:bookmarkStart w:id="212" w:name="_Toc508800233"/>
      <w:r w:rsidRPr="00376F46">
        <w:t xml:space="preserve">Table </w:t>
      </w:r>
      <w:r>
        <w:t>6</w:t>
      </w:r>
      <w:r w:rsidRPr="00376F46">
        <w:t>.</w:t>
      </w:r>
      <w:r>
        <w:t>2</w:t>
      </w:r>
      <w:r w:rsidRPr="00376F46">
        <w:t xml:space="preserve">: Comparison of </w:t>
      </w:r>
      <w:r w:rsidRPr="00AD09CF">
        <w:rPr>
          <w:i/>
        </w:rPr>
        <w:t>Ex</w:t>
      </w:r>
      <w:r w:rsidR="00F14E5A" w:rsidRPr="00AD09CF">
        <w:rPr>
          <w:i/>
        </w:rPr>
        <w:t>-</w:t>
      </w:r>
      <w:r w:rsidR="00AD09CF" w:rsidRPr="00AD09CF">
        <w:rPr>
          <w:i/>
        </w:rPr>
        <w:t>a</w:t>
      </w:r>
      <w:r w:rsidRPr="00AD09CF">
        <w:rPr>
          <w:i/>
        </w:rPr>
        <w:t>nte</w:t>
      </w:r>
      <w:r>
        <w:t xml:space="preserve"> </w:t>
      </w:r>
      <w:r w:rsidRPr="00376F46">
        <w:t xml:space="preserve">Impacts </w:t>
      </w:r>
      <w:r>
        <w:t xml:space="preserve">from </w:t>
      </w:r>
      <w:r w:rsidRPr="00376F46">
        <w:t>PY201</w:t>
      </w:r>
      <w:r w:rsidR="001D276D">
        <w:t>6</w:t>
      </w:r>
      <w:r>
        <w:t xml:space="preserve"> and</w:t>
      </w:r>
      <w:r w:rsidRPr="00376F46">
        <w:t xml:space="preserve"> PY201</w:t>
      </w:r>
      <w:r w:rsidR="001D276D">
        <w:t>7</w:t>
      </w:r>
      <w:r>
        <w:t xml:space="preserve"> Studies</w:t>
      </w:r>
      <w:r w:rsidRPr="00376F46">
        <w:t xml:space="preserve">, </w:t>
      </w:r>
      <w:r>
        <w:rPr>
          <w:i/>
        </w:rPr>
        <w:t>P</w:t>
      </w:r>
      <w:r w:rsidRPr="00376F46">
        <w:rPr>
          <w:i/>
        </w:rPr>
        <w:t>G&amp;E</w:t>
      </w:r>
      <w:bookmarkEnd w:id="211"/>
      <w:bookmarkEnd w:id="212"/>
    </w:p>
    <w:tbl>
      <w:tblPr>
        <w:tblW w:w="7915" w:type="dxa"/>
        <w:jc w:val="center"/>
        <w:tblLook w:val="04A0" w:firstRow="1" w:lastRow="0" w:firstColumn="1" w:lastColumn="0" w:noHBand="0" w:noVBand="1"/>
      </w:tblPr>
      <w:tblGrid>
        <w:gridCol w:w="1252"/>
        <w:gridCol w:w="2343"/>
        <w:gridCol w:w="2250"/>
        <w:gridCol w:w="2070"/>
      </w:tblGrid>
      <w:tr w:rsidR="009C55CF" w:rsidRPr="009C55CF" w14:paraId="626DC510" w14:textId="77777777" w:rsidTr="006B55F6">
        <w:trPr>
          <w:trHeight w:val="242"/>
          <w:jc w:val="center"/>
        </w:trPr>
        <w:tc>
          <w:tcPr>
            <w:tcW w:w="1252" w:type="dxa"/>
            <w:vMerge w:val="restart"/>
            <w:tcBorders>
              <w:top w:val="single" w:sz="4" w:space="0" w:color="auto"/>
              <w:left w:val="single" w:sz="4" w:space="0" w:color="auto"/>
              <w:bottom w:val="single" w:sz="4" w:space="0" w:color="auto"/>
              <w:right w:val="single" w:sz="4" w:space="0" w:color="FFFFFF"/>
            </w:tcBorders>
            <w:shd w:val="clear" w:color="auto" w:fill="0C2577"/>
            <w:vAlign w:val="center"/>
            <w:hideMark/>
          </w:tcPr>
          <w:p w14:paraId="10CB76DF" w14:textId="77777777" w:rsidR="009C55CF" w:rsidRPr="009C55CF" w:rsidRDefault="009C55CF" w:rsidP="009C55CF">
            <w:pPr>
              <w:jc w:val="center"/>
              <w:rPr>
                <w:rFonts w:ascii="Arial" w:hAnsi="Arial" w:cs="Arial"/>
                <w:b/>
                <w:bCs/>
                <w:color w:val="FFFFFF"/>
                <w:sz w:val="20"/>
                <w:szCs w:val="20"/>
              </w:rPr>
            </w:pPr>
            <w:r w:rsidRPr="009C55CF">
              <w:rPr>
                <w:rFonts w:ascii="Arial" w:hAnsi="Arial" w:cs="Arial"/>
                <w:b/>
                <w:bCs/>
                <w:color w:val="FFFFFF"/>
                <w:sz w:val="20"/>
                <w:szCs w:val="20"/>
              </w:rPr>
              <w:t>Level</w:t>
            </w:r>
          </w:p>
        </w:tc>
        <w:tc>
          <w:tcPr>
            <w:tcW w:w="2343" w:type="dxa"/>
            <w:vMerge w:val="restart"/>
            <w:tcBorders>
              <w:top w:val="single" w:sz="4" w:space="0" w:color="auto"/>
              <w:left w:val="nil"/>
              <w:bottom w:val="single" w:sz="4" w:space="0" w:color="auto"/>
              <w:right w:val="single" w:sz="4" w:space="0" w:color="FFFFFF"/>
            </w:tcBorders>
            <w:shd w:val="clear" w:color="auto" w:fill="0C2577"/>
            <w:vAlign w:val="center"/>
            <w:hideMark/>
          </w:tcPr>
          <w:p w14:paraId="689BF7B1" w14:textId="77777777" w:rsidR="009C55CF" w:rsidRPr="009C55CF" w:rsidRDefault="009C55CF" w:rsidP="009C55CF">
            <w:pPr>
              <w:jc w:val="center"/>
              <w:rPr>
                <w:rFonts w:ascii="Arial" w:hAnsi="Arial" w:cs="Arial"/>
                <w:b/>
                <w:bCs/>
                <w:color w:val="FFFFFF"/>
                <w:sz w:val="20"/>
                <w:szCs w:val="20"/>
              </w:rPr>
            </w:pPr>
            <w:r w:rsidRPr="009C55CF">
              <w:rPr>
                <w:rFonts w:ascii="Arial" w:hAnsi="Arial" w:cs="Arial"/>
                <w:b/>
                <w:bCs/>
                <w:color w:val="FFFFFF"/>
                <w:sz w:val="20"/>
                <w:szCs w:val="20"/>
              </w:rPr>
              <w:t>Outcome</w:t>
            </w:r>
          </w:p>
        </w:tc>
        <w:tc>
          <w:tcPr>
            <w:tcW w:w="2250" w:type="dxa"/>
            <w:vMerge w:val="restart"/>
            <w:tcBorders>
              <w:top w:val="single" w:sz="4" w:space="0" w:color="auto"/>
              <w:left w:val="nil"/>
              <w:bottom w:val="single" w:sz="4" w:space="0" w:color="auto"/>
              <w:right w:val="nil"/>
            </w:tcBorders>
            <w:shd w:val="clear" w:color="auto" w:fill="0C2577"/>
            <w:vAlign w:val="center"/>
            <w:hideMark/>
          </w:tcPr>
          <w:p w14:paraId="427A215C" w14:textId="2B58FF17" w:rsidR="009C55CF" w:rsidRPr="009C55CF" w:rsidRDefault="009C55CF" w:rsidP="009C55CF">
            <w:pPr>
              <w:jc w:val="center"/>
              <w:rPr>
                <w:rFonts w:ascii="Arial" w:hAnsi="Arial" w:cs="Arial"/>
                <w:b/>
                <w:bCs/>
                <w:color w:val="FFFFFF"/>
                <w:sz w:val="20"/>
                <w:szCs w:val="20"/>
              </w:rPr>
            </w:pPr>
            <w:r w:rsidRPr="00426EEF">
              <w:rPr>
                <w:rFonts w:ascii="Arial" w:hAnsi="Arial" w:cs="Arial"/>
                <w:b/>
                <w:bCs/>
                <w:i/>
                <w:color w:val="FFFFFF"/>
                <w:sz w:val="20"/>
                <w:szCs w:val="20"/>
              </w:rPr>
              <w:t>Ex-ante</w:t>
            </w:r>
            <w:r w:rsidRPr="009C55CF">
              <w:rPr>
                <w:rFonts w:ascii="Arial" w:hAnsi="Arial" w:cs="Arial"/>
                <w:b/>
                <w:bCs/>
                <w:color w:val="FFFFFF"/>
                <w:sz w:val="20"/>
                <w:szCs w:val="20"/>
              </w:rPr>
              <w:t xml:space="preserve"> 2018 </w:t>
            </w:r>
            <w:r w:rsidR="00CD08D7">
              <w:rPr>
                <w:rFonts w:ascii="Arial" w:hAnsi="Arial" w:cs="Arial"/>
                <w:b/>
                <w:bCs/>
                <w:color w:val="FFFFFF"/>
                <w:sz w:val="20"/>
                <w:szCs w:val="20"/>
              </w:rPr>
              <w:br/>
            </w:r>
            <w:r w:rsidRPr="009C55CF">
              <w:rPr>
                <w:rFonts w:ascii="Arial" w:hAnsi="Arial" w:cs="Arial"/>
                <w:b/>
                <w:bCs/>
                <w:color w:val="FFFFFF"/>
                <w:sz w:val="20"/>
                <w:szCs w:val="20"/>
              </w:rPr>
              <w:t xml:space="preserve">Typical Event Day, </w:t>
            </w:r>
            <w:r w:rsidRPr="009C55CF">
              <w:rPr>
                <w:rFonts w:ascii="Arial" w:hAnsi="Arial" w:cs="Arial"/>
                <w:b/>
                <w:bCs/>
                <w:i/>
                <w:iCs/>
                <w:color w:val="FFFFFF"/>
                <w:sz w:val="20"/>
                <w:szCs w:val="20"/>
              </w:rPr>
              <w:t>Previous Study</w:t>
            </w:r>
            <w:r w:rsidRPr="009C55CF">
              <w:rPr>
                <w:rFonts w:ascii="Arial" w:hAnsi="Arial" w:cs="Arial"/>
                <w:b/>
                <w:bCs/>
                <w:color w:val="FFFFFF"/>
                <w:sz w:val="20"/>
                <w:szCs w:val="20"/>
              </w:rPr>
              <w:t xml:space="preserve"> </w:t>
            </w:r>
          </w:p>
        </w:tc>
        <w:tc>
          <w:tcPr>
            <w:tcW w:w="2070" w:type="dxa"/>
            <w:vMerge w:val="restart"/>
            <w:tcBorders>
              <w:top w:val="single" w:sz="4" w:space="0" w:color="auto"/>
              <w:left w:val="single" w:sz="4" w:space="0" w:color="FFFFFF"/>
              <w:bottom w:val="single" w:sz="4" w:space="0" w:color="auto"/>
              <w:right w:val="single" w:sz="4" w:space="0" w:color="auto"/>
            </w:tcBorders>
            <w:shd w:val="clear" w:color="auto" w:fill="0C2577"/>
            <w:vAlign w:val="center"/>
            <w:hideMark/>
          </w:tcPr>
          <w:p w14:paraId="625E9B04" w14:textId="77777777" w:rsidR="009C55CF" w:rsidRPr="009C55CF" w:rsidRDefault="009C55CF" w:rsidP="009C55CF">
            <w:pPr>
              <w:jc w:val="center"/>
              <w:rPr>
                <w:rFonts w:ascii="Arial" w:hAnsi="Arial" w:cs="Arial"/>
                <w:b/>
                <w:bCs/>
                <w:color w:val="FFFFFF"/>
                <w:sz w:val="20"/>
                <w:szCs w:val="20"/>
              </w:rPr>
            </w:pPr>
            <w:r w:rsidRPr="00426EEF">
              <w:rPr>
                <w:rFonts w:ascii="Arial" w:hAnsi="Arial" w:cs="Arial"/>
                <w:b/>
                <w:bCs/>
                <w:i/>
                <w:color w:val="FFFFFF"/>
                <w:sz w:val="20"/>
                <w:szCs w:val="20"/>
              </w:rPr>
              <w:t>Ex-ante</w:t>
            </w:r>
            <w:r w:rsidRPr="009C55CF">
              <w:rPr>
                <w:rFonts w:ascii="Arial" w:hAnsi="Arial" w:cs="Arial"/>
                <w:b/>
                <w:bCs/>
                <w:color w:val="FFFFFF"/>
                <w:sz w:val="20"/>
                <w:szCs w:val="20"/>
              </w:rPr>
              <w:t xml:space="preserve"> 2018 Typical Event Day, </w:t>
            </w:r>
            <w:r w:rsidRPr="009C55CF">
              <w:rPr>
                <w:rFonts w:ascii="Arial" w:hAnsi="Arial" w:cs="Arial"/>
                <w:b/>
                <w:bCs/>
                <w:i/>
                <w:iCs/>
                <w:color w:val="FFFFFF"/>
                <w:sz w:val="20"/>
                <w:szCs w:val="20"/>
              </w:rPr>
              <w:t>Current Study</w:t>
            </w:r>
          </w:p>
        </w:tc>
      </w:tr>
      <w:tr w:rsidR="009C55CF" w:rsidRPr="009C55CF" w14:paraId="286993FA" w14:textId="77777777" w:rsidTr="006B55F6">
        <w:trPr>
          <w:trHeight w:val="293"/>
          <w:jc w:val="center"/>
        </w:trPr>
        <w:tc>
          <w:tcPr>
            <w:tcW w:w="1252" w:type="dxa"/>
            <w:vMerge/>
            <w:tcBorders>
              <w:top w:val="single" w:sz="4" w:space="0" w:color="auto"/>
              <w:left w:val="single" w:sz="4" w:space="0" w:color="auto"/>
              <w:bottom w:val="single" w:sz="4" w:space="0" w:color="auto"/>
              <w:right w:val="single" w:sz="4" w:space="0" w:color="FFFFFF"/>
            </w:tcBorders>
            <w:shd w:val="clear" w:color="auto" w:fill="0C2577"/>
            <w:vAlign w:val="center"/>
            <w:hideMark/>
          </w:tcPr>
          <w:p w14:paraId="282DE422" w14:textId="77777777" w:rsidR="009C55CF" w:rsidRPr="009C55CF" w:rsidRDefault="009C55CF" w:rsidP="009C55CF">
            <w:pPr>
              <w:rPr>
                <w:rFonts w:ascii="Arial" w:hAnsi="Arial" w:cs="Arial"/>
                <w:b/>
                <w:bCs/>
                <w:color w:val="FFFFFF"/>
                <w:sz w:val="20"/>
                <w:szCs w:val="20"/>
              </w:rPr>
            </w:pPr>
          </w:p>
        </w:tc>
        <w:tc>
          <w:tcPr>
            <w:tcW w:w="2343" w:type="dxa"/>
            <w:vMerge/>
            <w:tcBorders>
              <w:top w:val="single" w:sz="4" w:space="0" w:color="auto"/>
              <w:left w:val="nil"/>
              <w:bottom w:val="single" w:sz="4" w:space="0" w:color="auto"/>
              <w:right w:val="single" w:sz="4" w:space="0" w:color="FFFFFF"/>
            </w:tcBorders>
            <w:shd w:val="clear" w:color="auto" w:fill="0C2577"/>
            <w:vAlign w:val="center"/>
            <w:hideMark/>
          </w:tcPr>
          <w:p w14:paraId="0395C6B8" w14:textId="77777777" w:rsidR="009C55CF" w:rsidRPr="009C55CF" w:rsidRDefault="009C55CF" w:rsidP="009C55CF">
            <w:pPr>
              <w:rPr>
                <w:rFonts w:ascii="Arial" w:hAnsi="Arial" w:cs="Arial"/>
                <w:b/>
                <w:bCs/>
                <w:color w:val="FFFFFF"/>
                <w:sz w:val="20"/>
                <w:szCs w:val="20"/>
              </w:rPr>
            </w:pPr>
          </w:p>
        </w:tc>
        <w:tc>
          <w:tcPr>
            <w:tcW w:w="2250" w:type="dxa"/>
            <w:vMerge/>
            <w:tcBorders>
              <w:top w:val="single" w:sz="4" w:space="0" w:color="auto"/>
              <w:left w:val="nil"/>
              <w:bottom w:val="single" w:sz="4" w:space="0" w:color="auto"/>
              <w:right w:val="nil"/>
            </w:tcBorders>
            <w:shd w:val="clear" w:color="auto" w:fill="0C2577"/>
            <w:vAlign w:val="center"/>
            <w:hideMark/>
          </w:tcPr>
          <w:p w14:paraId="23F53692" w14:textId="77777777" w:rsidR="009C55CF" w:rsidRPr="009C55CF" w:rsidRDefault="009C55CF" w:rsidP="009C55CF">
            <w:pPr>
              <w:rPr>
                <w:rFonts w:ascii="Arial" w:hAnsi="Arial" w:cs="Arial"/>
                <w:b/>
                <w:bCs/>
                <w:color w:val="FFFFFF"/>
                <w:sz w:val="20"/>
                <w:szCs w:val="20"/>
              </w:rPr>
            </w:pPr>
          </w:p>
        </w:tc>
        <w:tc>
          <w:tcPr>
            <w:tcW w:w="2070" w:type="dxa"/>
            <w:vMerge/>
            <w:tcBorders>
              <w:top w:val="single" w:sz="4" w:space="0" w:color="auto"/>
              <w:left w:val="single" w:sz="4" w:space="0" w:color="FFFFFF"/>
              <w:bottom w:val="single" w:sz="4" w:space="0" w:color="auto"/>
              <w:right w:val="single" w:sz="4" w:space="0" w:color="auto"/>
            </w:tcBorders>
            <w:shd w:val="clear" w:color="auto" w:fill="0C2577"/>
            <w:vAlign w:val="center"/>
            <w:hideMark/>
          </w:tcPr>
          <w:p w14:paraId="113B3B96" w14:textId="77777777" w:rsidR="009C55CF" w:rsidRPr="009C55CF" w:rsidRDefault="009C55CF" w:rsidP="009C55CF">
            <w:pPr>
              <w:rPr>
                <w:rFonts w:ascii="Arial" w:hAnsi="Arial" w:cs="Arial"/>
                <w:b/>
                <w:bCs/>
                <w:color w:val="FFFFFF"/>
                <w:sz w:val="20"/>
                <w:szCs w:val="20"/>
              </w:rPr>
            </w:pPr>
          </w:p>
        </w:tc>
      </w:tr>
      <w:tr w:rsidR="009C55CF" w:rsidRPr="009C55CF" w14:paraId="7D4F73B6" w14:textId="77777777" w:rsidTr="006B55F6">
        <w:trPr>
          <w:trHeight w:val="293"/>
          <w:jc w:val="center"/>
        </w:trPr>
        <w:tc>
          <w:tcPr>
            <w:tcW w:w="1252" w:type="dxa"/>
            <w:vMerge/>
            <w:tcBorders>
              <w:top w:val="single" w:sz="4" w:space="0" w:color="auto"/>
              <w:left w:val="single" w:sz="4" w:space="0" w:color="auto"/>
              <w:bottom w:val="single" w:sz="4" w:space="0" w:color="auto"/>
              <w:right w:val="single" w:sz="4" w:space="0" w:color="FFFFFF"/>
            </w:tcBorders>
            <w:shd w:val="clear" w:color="auto" w:fill="0C2577"/>
            <w:vAlign w:val="center"/>
            <w:hideMark/>
          </w:tcPr>
          <w:p w14:paraId="755EB748" w14:textId="77777777" w:rsidR="009C55CF" w:rsidRPr="009C55CF" w:rsidRDefault="009C55CF" w:rsidP="009C55CF">
            <w:pPr>
              <w:rPr>
                <w:rFonts w:ascii="Arial" w:hAnsi="Arial" w:cs="Arial"/>
                <w:b/>
                <w:bCs/>
                <w:color w:val="FFFFFF"/>
                <w:sz w:val="20"/>
                <w:szCs w:val="20"/>
              </w:rPr>
            </w:pPr>
          </w:p>
        </w:tc>
        <w:tc>
          <w:tcPr>
            <w:tcW w:w="2343" w:type="dxa"/>
            <w:vMerge/>
            <w:tcBorders>
              <w:top w:val="single" w:sz="4" w:space="0" w:color="auto"/>
              <w:left w:val="nil"/>
              <w:bottom w:val="single" w:sz="4" w:space="0" w:color="auto"/>
              <w:right w:val="single" w:sz="4" w:space="0" w:color="FFFFFF"/>
            </w:tcBorders>
            <w:shd w:val="clear" w:color="auto" w:fill="0C2577"/>
            <w:vAlign w:val="center"/>
            <w:hideMark/>
          </w:tcPr>
          <w:p w14:paraId="4DAA40B6" w14:textId="77777777" w:rsidR="009C55CF" w:rsidRPr="009C55CF" w:rsidRDefault="009C55CF" w:rsidP="009C55CF">
            <w:pPr>
              <w:rPr>
                <w:rFonts w:ascii="Arial" w:hAnsi="Arial" w:cs="Arial"/>
                <w:b/>
                <w:bCs/>
                <w:color w:val="FFFFFF"/>
                <w:sz w:val="20"/>
                <w:szCs w:val="20"/>
              </w:rPr>
            </w:pPr>
          </w:p>
        </w:tc>
        <w:tc>
          <w:tcPr>
            <w:tcW w:w="2250" w:type="dxa"/>
            <w:vMerge/>
            <w:tcBorders>
              <w:top w:val="single" w:sz="4" w:space="0" w:color="auto"/>
              <w:left w:val="nil"/>
              <w:bottom w:val="single" w:sz="4" w:space="0" w:color="auto"/>
              <w:right w:val="nil"/>
            </w:tcBorders>
            <w:shd w:val="clear" w:color="auto" w:fill="0C2577"/>
            <w:vAlign w:val="center"/>
            <w:hideMark/>
          </w:tcPr>
          <w:p w14:paraId="17817431" w14:textId="77777777" w:rsidR="009C55CF" w:rsidRPr="009C55CF" w:rsidRDefault="009C55CF" w:rsidP="009C55CF">
            <w:pPr>
              <w:rPr>
                <w:rFonts w:ascii="Arial" w:hAnsi="Arial" w:cs="Arial"/>
                <w:b/>
                <w:bCs/>
                <w:color w:val="FFFFFF"/>
                <w:sz w:val="20"/>
                <w:szCs w:val="20"/>
              </w:rPr>
            </w:pPr>
          </w:p>
        </w:tc>
        <w:tc>
          <w:tcPr>
            <w:tcW w:w="2070" w:type="dxa"/>
            <w:vMerge/>
            <w:tcBorders>
              <w:top w:val="single" w:sz="4" w:space="0" w:color="auto"/>
              <w:left w:val="single" w:sz="4" w:space="0" w:color="FFFFFF"/>
              <w:bottom w:val="single" w:sz="4" w:space="0" w:color="auto"/>
              <w:right w:val="single" w:sz="4" w:space="0" w:color="auto"/>
            </w:tcBorders>
            <w:shd w:val="clear" w:color="auto" w:fill="0C2577"/>
            <w:vAlign w:val="center"/>
            <w:hideMark/>
          </w:tcPr>
          <w:p w14:paraId="5C5328C2" w14:textId="77777777" w:rsidR="009C55CF" w:rsidRPr="009C55CF" w:rsidRDefault="009C55CF" w:rsidP="009C55CF">
            <w:pPr>
              <w:rPr>
                <w:rFonts w:ascii="Arial" w:hAnsi="Arial" w:cs="Arial"/>
                <w:b/>
                <w:bCs/>
                <w:color w:val="FFFFFF"/>
                <w:sz w:val="20"/>
                <w:szCs w:val="20"/>
              </w:rPr>
            </w:pPr>
          </w:p>
        </w:tc>
      </w:tr>
      <w:tr w:rsidR="009C55CF" w:rsidRPr="009C55CF" w14:paraId="0B111331" w14:textId="77777777" w:rsidTr="006B55F6">
        <w:trPr>
          <w:trHeight w:val="293"/>
          <w:jc w:val="center"/>
        </w:trPr>
        <w:tc>
          <w:tcPr>
            <w:tcW w:w="1252" w:type="dxa"/>
            <w:vMerge/>
            <w:tcBorders>
              <w:top w:val="single" w:sz="4" w:space="0" w:color="auto"/>
              <w:left w:val="single" w:sz="4" w:space="0" w:color="auto"/>
              <w:bottom w:val="single" w:sz="4" w:space="0" w:color="auto"/>
              <w:right w:val="single" w:sz="4" w:space="0" w:color="FFFFFF"/>
            </w:tcBorders>
            <w:shd w:val="clear" w:color="auto" w:fill="0C2577"/>
            <w:vAlign w:val="center"/>
            <w:hideMark/>
          </w:tcPr>
          <w:p w14:paraId="6C171A21" w14:textId="77777777" w:rsidR="009C55CF" w:rsidRPr="009C55CF" w:rsidRDefault="009C55CF" w:rsidP="009C55CF">
            <w:pPr>
              <w:rPr>
                <w:rFonts w:ascii="Arial" w:hAnsi="Arial" w:cs="Arial"/>
                <w:b/>
                <w:bCs/>
                <w:color w:val="FFFFFF"/>
                <w:sz w:val="20"/>
                <w:szCs w:val="20"/>
              </w:rPr>
            </w:pPr>
          </w:p>
        </w:tc>
        <w:tc>
          <w:tcPr>
            <w:tcW w:w="2343" w:type="dxa"/>
            <w:vMerge/>
            <w:tcBorders>
              <w:top w:val="single" w:sz="4" w:space="0" w:color="auto"/>
              <w:left w:val="nil"/>
              <w:bottom w:val="single" w:sz="4" w:space="0" w:color="auto"/>
              <w:right w:val="single" w:sz="4" w:space="0" w:color="FFFFFF"/>
            </w:tcBorders>
            <w:shd w:val="clear" w:color="auto" w:fill="0C2577"/>
            <w:vAlign w:val="center"/>
            <w:hideMark/>
          </w:tcPr>
          <w:p w14:paraId="4D525E7F" w14:textId="77777777" w:rsidR="009C55CF" w:rsidRPr="009C55CF" w:rsidRDefault="009C55CF" w:rsidP="009C55CF">
            <w:pPr>
              <w:rPr>
                <w:rFonts w:ascii="Arial" w:hAnsi="Arial" w:cs="Arial"/>
                <w:b/>
                <w:bCs/>
                <w:color w:val="FFFFFF"/>
                <w:sz w:val="20"/>
                <w:szCs w:val="20"/>
              </w:rPr>
            </w:pPr>
          </w:p>
        </w:tc>
        <w:tc>
          <w:tcPr>
            <w:tcW w:w="2250" w:type="dxa"/>
            <w:vMerge/>
            <w:tcBorders>
              <w:top w:val="single" w:sz="4" w:space="0" w:color="auto"/>
              <w:left w:val="nil"/>
              <w:bottom w:val="single" w:sz="4" w:space="0" w:color="auto"/>
              <w:right w:val="nil"/>
            </w:tcBorders>
            <w:shd w:val="clear" w:color="auto" w:fill="0C2577"/>
            <w:vAlign w:val="center"/>
            <w:hideMark/>
          </w:tcPr>
          <w:p w14:paraId="6C000760" w14:textId="77777777" w:rsidR="009C55CF" w:rsidRPr="009C55CF" w:rsidRDefault="009C55CF" w:rsidP="009C55CF">
            <w:pPr>
              <w:rPr>
                <w:rFonts w:ascii="Arial" w:hAnsi="Arial" w:cs="Arial"/>
                <w:b/>
                <w:bCs/>
                <w:color w:val="FFFFFF"/>
                <w:sz w:val="20"/>
                <w:szCs w:val="20"/>
              </w:rPr>
            </w:pPr>
          </w:p>
        </w:tc>
        <w:tc>
          <w:tcPr>
            <w:tcW w:w="2070" w:type="dxa"/>
            <w:vMerge/>
            <w:tcBorders>
              <w:top w:val="single" w:sz="4" w:space="0" w:color="auto"/>
              <w:left w:val="single" w:sz="4" w:space="0" w:color="FFFFFF"/>
              <w:bottom w:val="single" w:sz="4" w:space="0" w:color="auto"/>
              <w:right w:val="single" w:sz="4" w:space="0" w:color="auto"/>
            </w:tcBorders>
            <w:shd w:val="clear" w:color="auto" w:fill="0C2577"/>
            <w:vAlign w:val="center"/>
            <w:hideMark/>
          </w:tcPr>
          <w:p w14:paraId="5827D487" w14:textId="77777777" w:rsidR="009C55CF" w:rsidRPr="009C55CF" w:rsidRDefault="009C55CF" w:rsidP="009C55CF">
            <w:pPr>
              <w:rPr>
                <w:rFonts w:ascii="Arial" w:hAnsi="Arial" w:cs="Arial"/>
                <w:b/>
                <w:bCs/>
                <w:color w:val="FFFFFF"/>
                <w:sz w:val="20"/>
                <w:szCs w:val="20"/>
              </w:rPr>
            </w:pPr>
          </w:p>
        </w:tc>
      </w:tr>
      <w:tr w:rsidR="000F493B" w:rsidRPr="009C55CF" w14:paraId="77B61957" w14:textId="77777777" w:rsidTr="00B15225">
        <w:trPr>
          <w:trHeight w:val="242"/>
          <w:jc w:val="center"/>
        </w:trPr>
        <w:tc>
          <w:tcPr>
            <w:tcW w:w="1252" w:type="dxa"/>
            <w:vMerge w:val="restart"/>
            <w:tcBorders>
              <w:top w:val="nil"/>
              <w:left w:val="single" w:sz="4" w:space="0" w:color="auto"/>
              <w:bottom w:val="single" w:sz="4" w:space="0" w:color="auto"/>
              <w:right w:val="nil"/>
            </w:tcBorders>
            <w:shd w:val="clear" w:color="auto" w:fill="auto"/>
            <w:vAlign w:val="center"/>
            <w:hideMark/>
          </w:tcPr>
          <w:p w14:paraId="2919F19B" w14:textId="77777777" w:rsidR="000F493B" w:rsidRPr="009C55CF" w:rsidRDefault="000F493B" w:rsidP="000F493B">
            <w:pPr>
              <w:rPr>
                <w:rFonts w:ascii="Arial" w:hAnsi="Arial" w:cs="Arial"/>
                <w:b/>
                <w:bCs/>
                <w:color w:val="000000"/>
                <w:sz w:val="20"/>
                <w:szCs w:val="20"/>
              </w:rPr>
            </w:pPr>
            <w:r w:rsidRPr="009C55CF">
              <w:rPr>
                <w:rFonts w:ascii="Arial" w:hAnsi="Arial" w:cs="Arial"/>
                <w:b/>
                <w:bCs/>
                <w:color w:val="000000"/>
                <w:sz w:val="20"/>
                <w:szCs w:val="20"/>
              </w:rPr>
              <w:t>Total</w:t>
            </w:r>
          </w:p>
        </w:tc>
        <w:tc>
          <w:tcPr>
            <w:tcW w:w="2343" w:type="dxa"/>
            <w:tcBorders>
              <w:top w:val="nil"/>
              <w:left w:val="single" w:sz="4" w:space="0" w:color="auto"/>
              <w:bottom w:val="nil"/>
              <w:right w:val="single" w:sz="4" w:space="0" w:color="auto"/>
            </w:tcBorders>
            <w:shd w:val="clear" w:color="000000" w:fill="FFFFFF"/>
            <w:vAlign w:val="center"/>
            <w:hideMark/>
          </w:tcPr>
          <w:p w14:paraId="635680A0" w14:textId="085F0B96" w:rsidR="000F493B" w:rsidRPr="009C55CF" w:rsidRDefault="000F493B" w:rsidP="000F493B">
            <w:pPr>
              <w:rPr>
                <w:rFonts w:ascii="Arial" w:hAnsi="Arial" w:cs="Arial"/>
                <w:color w:val="000000"/>
                <w:sz w:val="20"/>
                <w:szCs w:val="20"/>
              </w:rPr>
            </w:pPr>
            <w:r w:rsidRPr="009C55CF">
              <w:rPr>
                <w:rFonts w:ascii="Arial" w:hAnsi="Arial" w:cs="Arial"/>
                <w:color w:val="000000"/>
                <w:sz w:val="20"/>
                <w:szCs w:val="20"/>
              </w:rPr>
              <w:t xml:space="preserve"># </w:t>
            </w:r>
            <w:r>
              <w:rPr>
                <w:rFonts w:ascii="Arial" w:hAnsi="Arial" w:cs="Arial"/>
                <w:color w:val="000000"/>
                <w:sz w:val="20"/>
                <w:szCs w:val="20"/>
              </w:rPr>
              <w:t>Customers</w:t>
            </w:r>
          </w:p>
        </w:tc>
        <w:tc>
          <w:tcPr>
            <w:tcW w:w="2250" w:type="dxa"/>
            <w:tcBorders>
              <w:top w:val="single" w:sz="4" w:space="0" w:color="auto"/>
              <w:left w:val="nil"/>
              <w:bottom w:val="nil"/>
              <w:right w:val="single" w:sz="4" w:space="0" w:color="auto"/>
            </w:tcBorders>
            <w:shd w:val="clear" w:color="000000" w:fill="FFFFFF"/>
            <w:vAlign w:val="center"/>
            <w:hideMark/>
          </w:tcPr>
          <w:p w14:paraId="0891789C" w14:textId="77777777" w:rsidR="000F493B" w:rsidRPr="009C55CF" w:rsidRDefault="000F493B" w:rsidP="000F493B">
            <w:pPr>
              <w:jc w:val="center"/>
              <w:rPr>
                <w:rFonts w:ascii="Arial" w:hAnsi="Arial" w:cs="Arial"/>
                <w:color w:val="000000"/>
                <w:sz w:val="20"/>
                <w:szCs w:val="20"/>
              </w:rPr>
            </w:pPr>
            <w:r w:rsidRPr="009C55CF">
              <w:rPr>
                <w:rFonts w:ascii="Arial" w:hAnsi="Arial" w:cs="Arial"/>
                <w:color w:val="000000"/>
                <w:sz w:val="20"/>
                <w:szCs w:val="20"/>
              </w:rPr>
              <w:t>330</w:t>
            </w:r>
          </w:p>
        </w:tc>
        <w:tc>
          <w:tcPr>
            <w:tcW w:w="2070" w:type="dxa"/>
            <w:tcBorders>
              <w:top w:val="nil"/>
              <w:left w:val="nil"/>
              <w:bottom w:val="nil"/>
              <w:right w:val="single" w:sz="4" w:space="0" w:color="auto"/>
            </w:tcBorders>
            <w:shd w:val="clear" w:color="000000" w:fill="FFFFFF"/>
            <w:vAlign w:val="center"/>
            <w:hideMark/>
          </w:tcPr>
          <w:p w14:paraId="4FCC9D29" w14:textId="4217DE25" w:rsidR="000F493B" w:rsidRPr="009C55CF" w:rsidRDefault="000F493B" w:rsidP="000F493B">
            <w:pPr>
              <w:jc w:val="center"/>
              <w:rPr>
                <w:rFonts w:ascii="Arial" w:hAnsi="Arial" w:cs="Arial"/>
                <w:color w:val="000000"/>
                <w:sz w:val="20"/>
                <w:szCs w:val="20"/>
              </w:rPr>
            </w:pPr>
            <w:r>
              <w:rPr>
                <w:rFonts w:ascii="Arial" w:hAnsi="Arial" w:cs="Arial"/>
                <w:color w:val="000000"/>
                <w:sz w:val="20"/>
                <w:szCs w:val="20"/>
              </w:rPr>
              <w:t>362</w:t>
            </w:r>
          </w:p>
        </w:tc>
      </w:tr>
      <w:tr w:rsidR="000F493B" w:rsidRPr="009C55CF" w14:paraId="5582E944" w14:textId="77777777" w:rsidTr="00B15225">
        <w:trPr>
          <w:trHeight w:val="242"/>
          <w:jc w:val="center"/>
        </w:trPr>
        <w:tc>
          <w:tcPr>
            <w:tcW w:w="1252" w:type="dxa"/>
            <w:vMerge/>
            <w:tcBorders>
              <w:top w:val="nil"/>
              <w:left w:val="single" w:sz="4" w:space="0" w:color="auto"/>
              <w:bottom w:val="single" w:sz="4" w:space="0" w:color="auto"/>
              <w:right w:val="nil"/>
            </w:tcBorders>
            <w:vAlign w:val="center"/>
            <w:hideMark/>
          </w:tcPr>
          <w:p w14:paraId="1FF70A94" w14:textId="77777777" w:rsidR="000F493B" w:rsidRPr="009C55CF" w:rsidRDefault="000F493B" w:rsidP="000F493B">
            <w:pPr>
              <w:rPr>
                <w:rFonts w:ascii="Arial" w:hAnsi="Arial" w:cs="Arial"/>
                <w:b/>
                <w:bCs/>
                <w:color w:val="000000"/>
                <w:sz w:val="20"/>
                <w:szCs w:val="20"/>
              </w:rPr>
            </w:pPr>
          </w:p>
        </w:tc>
        <w:tc>
          <w:tcPr>
            <w:tcW w:w="2343" w:type="dxa"/>
            <w:tcBorders>
              <w:top w:val="nil"/>
              <w:left w:val="single" w:sz="4" w:space="0" w:color="auto"/>
              <w:bottom w:val="nil"/>
              <w:right w:val="single" w:sz="4" w:space="0" w:color="auto"/>
            </w:tcBorders>
            <w:shd w:val="clear" w:color="000000" w:fill="FFFFFF"/>
            <w:vAlign w:val="center"/>
            <w:hideMark/>
          </w:tcPr>
          <w:p w14:paraId="635D9FDD" w14:textId="1635BE17" w:rsidR="000F493B" w:rsidRPr="009C55CF" w:rsidRDefault="000F493B" w:rsidP="000F493B">
            <w:pPr>
              <w:rPr>
                <w:rFonts w:ascii="Arial" w:hAnsi="Arial" w:cs="Arial"/>
                <w:color w:val="000000"/>
                <w:sz w:val="20"/>
                <w:szCs w:val="20"/>
              </w:rPr>
            </w:pPr>
            <w:r w:rsidRPr="009C55CF">
              <w:rPr>
                <w:rFonts w:ascii="Arial" w:hAnsi="Arial" w:cs="Arial"/>
                <w:color w:val="000000"/>
                <w:sz w:val="20"/>
                <w:szCs w:val="20"/>
              </w:rPr>
              <w:t>Reference (MW</w:t>
            </w:r>
            <w:r>
              <w:rPr>
                <w:rFonts w:ascii="Arial" w:hAnsi="Arial" w:cs="Arial"/>
                <w:color w:val="000000"/>
                <w:sz w:val="20"/>
                <w:szCs w:val="20"/>
              </w:rPr>
              <w:t>h/h</w:t>
            </w:r>
            <w:r w:rsidRPr="009C55CF">
              <w:rPr>
                <w:rFonts w:ascii="Arial" w:hAnsi="Arial" w:cs="Arial"/>
                <w:color w:val="000000"/>
                <w:sz w:val="20"/>
                <w:szCs w:val="20"/>
              </w:rPr>
              <w:t>)</w:t>
            </w:r>
          </w:p>
        </w:tc>
        <w:tc>
          <w:tcPr>
            <w:tcW w:w="2250" w:type="dxa"/>
            <w:tcBorders>
              <w:top w:val="nil"/>
              <w:left w:val="nil"/>
              <w:bottom w:val="nil"/>
              <w:right w:val="single" w:sz="4" w:space="0" w:color="auto"/>
            </w:tcBorders>
            <w:shd w:val="clear" w:color="000000" w:fill="FFFFFF"/>
            <w:vAlign w:val="center"/>
            <w:hideMark/>
          </w:tcPr>
          <w:p w14:paraId="19CAC1CC" w14:textId="77777777" w:rsidR="000F493B" w:rsidRPr="009C55CF" w:rsidRDefault="000F493B" w:rsidP="000F493B">
            <w:pPr>
              <w:jc w:val="center"/>
              <w:rPr>
                <w:rFonts w:ascii="Arial" w:hAnsi="Arial" w:cs="Arial"/>
                <w:color w:val="000000"/>
                <w:sz w:val="20"/>
                <w:szCs w:val="20"/>
              </w:rPr>
            </w:pPr>
            <w:r w:rsidRPr="009C55CF">
              <w:rPr>
                <w:rFonts w:ascii="Arial" w:hAnsi="Arial" w:cs="Arial"/>
                <w:color w:val="000000"/>
                <w:sz w:val="20"/>
                <w:szCs w:val="20"/>
              </w:rPr>
              <w:t>386.6</w:t>
            </w:r>
          </w:p>
        </w:tc>
        <w:tc>
          <w:tcPr>
            <w:tcW w:w="2070" w:type="dxa"/>
            <w:tcBorders>
              <w:top w:val="nil"/>
              <w:left w:val="nil"/>
              <w:bottom w:val="nil"/>
              <w:right w:val="single" w:sz="4" w:space="0" w:color="auto"/>
            </w:tcBorders>
            <w:shd w:val="clear" w:color="000000" w:fill="FFFFFF"/>
            <w:vAlign w:val="center"/>
            <w:hideMark/>
          </w:tcPr>
          <w:p w14:paraId="127960CA" w14:textId="4FD52CEF" w:rsidR="000F493B" w:rsidRPr="009C55CF" w:rsidRDefault="000F493B" w:rsidP="000F493B">
            <w:pPr>
              <w:jc w:val="center"/>
              <w:rPr>
                <w:rFonts w:ascii="Arial" w:hAnsi="Arial" w:cs="Arial"/>
                <w:color w:val="000000"/>
                <w:sz w:val="20"/>
                <w:szCs w:val="20"/>
              </w:rPr>
            </w:pPr>
            <w:r>
              <w:rPr>
                <w:rFonts w:ascii="Arial" w:hAnsi="Arial" w:cs="Arial"/>
                <w:color w:val="000000"/>
                <w:sz w:val="20"/>
                <w:szCs w:val="20"/>
              </w:rPr>
              <w:t>308.8</w:t>
            </w:r>
          </w:p>
        </w:tc>
      </w:tr>
      <w:tr w:rsidR="000F493B" w:rsidRPr="009C55CF" w14:paraId="4FC39C30" w14:textId="77777777" w:rsidTr="00B15225">
        <w:trPr>
          <w:trHeight w:val="242"/>
          <w:jc w:val="center"/>
        </w:trPr>
        <w:tc>
          <w:tcPr>
            <w:tcW w:w="1252" w:type="dxa"/>
            <w:vMerge/>
            <w:tcBorders>
              <w:top w:val="nil"/>
              <w:left w:val="single" w:sz="4" w:space="0" w:color="auto"/>
              <w:bottom w:val="single" w:sz="4" w:space="0" w:color="auto"/>
              <w:right w:val="nil"/>
            </w:tcBorders>
            <w:vAlign w:val="center"/>
            <w:hideMark/>
          </w:tcPr>
          <w:p w14:paraId="1A3BC546" w14:textId="77777777" w:rsidR="000F493B" w:rsidRPr="009C55CF" w:rsidRDefault="000F493B" w:rsidP="000F493B">
            <w:pPr>
              <w:rPr>
                <w:rFonts w:ascii="Arial" w:hAnsi="Arial" w:cs="Arial"/>
                <w:b/>
                <w:bCs/>
                <w:color w:val="000000"/>
                <w:sz w:val="20"/>
                <w:szCs w:val="20"/>
              </w:rPr>
            </w:pPr>
          </w:p>
        </w:tc>
        <w:tc>
          <w:tcPr>
            <w:tcW w:w="2343" w:type="dxa"/>
            <w:tcBorders>
              <w:top w:val="nil"/>
              <w:left w:val="single" w:sz="4" w:space="0" w:color="auto"/>
              <w:bottom w:val="nil"/>
              <w:right w:val="single" w:sz="4" w:space="0" w:color="auto"/>
            </w:tcBorders>
            <w:shd w:val="clear" w:color="000000" w:fill="FFFFFF"/>
            <w:vAlign w:val="center"/>
            <w:hideMark/>
          </w:tcPr>
          <w:p w14:paraId="020BD3AB" w14:textId="40BE5971" w:rsidR="000F493B" w:rsidRPr="009C55CF" w:rsidRDefault="000F493B" w:rsidP="000F493B">
            <w:pPr>
              <w:rPr>
                <w:rFonts w:ascii="Arial" w:hAnsi="Arial" w:cs="Arial"/>
                <w:color w:val="000000"/>
                <w:sz w:val="20"/>
                <w:szCs w:val="20"/>
              </w:rPr>
            </w:pPr>
            <w:r w:rsidRPr="009C55CF">
              <w:rPr>
                <w:rFonts w:ascii="Arial" w:hAnsi="Arial" w:cs="Arial"/>
                <w:color w:val="000000"/>
                <w:sz w:val="20"/>
                <w:szCs w:val="20"/>
              </w:rPr>
              <w:t>Load Impact (MW</w:t>
            </w:r>
            <w:r>
              <w:rPr>
                <w:rFonts w:ascii="Arial" w:hAnsi="Arial" w:cs="Arial"/>
                <w:color w:val="000000"/>
                <w:sz w:val="20"/>
                <w:szCs w:val="20"/>
              </w:rPr>
              <w:t>h/h</w:t>
            </w:r>
            <w:r w:rsidRPr="009C55CF">
              <w:rPr>
                <w:rFonts w:ascii="Arial" w:hAnsi="Arial" w:cs="Arial"/>
                <w:color w:val="000000"/>
                <w:sz w:val="20"/>
                <w:szCs w:val="20"/>
              </w:rPr>
              <w:t>)</w:t>
            </w:r>
          </w:p>
        </w:tc>
        <w:tc>
          <w:tcPr>
            <w:tcW w:w="2250" w:type="dxa"/>
            <w:tcBorders>
              <w:top w:val="nil"/>
              <w:left w:val="nil"/>
              <w:bottom w:val="nil"/>
              <w:right w:val="single" w:sz="4" w:space="0" w:color="auto"/>
            </w:tcBorders>
            <w:shd w:val="clear" w:color="000000" w:fill="FFFFFF"/>
            <w:vAlign w:val="center"/>
            <w:hideMark/>
          </w:tcPr>
          <w:p w14:paraId="1AC3F44E" w14:textId="77777777" w:rsidR="000F493B" w:rsidRPr="009C55CF" w:rsidRDefault="000F493B" w:rsidP="000F493B">
            <w:pPr>
              <w:jc w:val="center"/>
              <w:rPr>
                <w:rFonts w:ascii="Arial" w:hAnsi="Arial" w:cs="Arial"/>
                <w:color w:val="000000"/>
                <w:sz w:val="20"/>
                <w:szCs w:val="20"/>
              </w:rPr>
            </w:pPr>
            <w:r w:rsidRPr="009C55CF">
              <w:rPr>
                <w:rFonts w:ascii="Arial" w:hAnsi="Arial" w:cs="Arial"/>
                <w:color w:val="000000"/>
                <w:sz w:val="20"/>
                <w:szCs w:val="20"/>
              </w:rPr>
              <w:t>300.1</w:t>
            </w:r>
          </w:p>
        </w:tc>
        <w:tc>
          <w:tcPr>
            <w:tcW w:w="2070" w:type="dxa"/>
            <w:tcBorders>
              <w:top w:val="nil"/>
              <w:left w:val="nil"/>
              <w:bottom w:val="nil"/>
              <w:right w:val="single" w:sz="4" w:space="0" w:color="auto"/>
            </w:tcBorders>
            <w:shd w:val="clear" w:color="000000" w:fill="FFFFFF"/>
            <w:vAlign w:val="center"/>
            <w:hideMark/>
          </w:tcPr>
          <w:p w14:paraId="6A801C1E" w14:textId="1913D79F" w:rsidR="000F493B" w:rsidRPr="009C55CF" w:rsidRDefault="000F493B" w:rsidP="000F493B">
            <w:pPr>
              <w:jc w:val="center"/>
              <w:rPr>
                <w:rFonts w:ascii="Arial" w:hAnsi="Arial" w:cs="Arial"/>
                <w:color w:val="000000"/>
                <w:sz w:val="20"/>
                <w:szCs w:val="20"/>
              </w:rPr>
            </w:pPr>
            <w:r>
              <w:rPr>
                <w:rFonts w:ascii="Arial" w:hAnsi="Arial" w:cs="Arial"/>
                <w:color w:val="000000"/>
                <w:sz w:val="20"/>
                <w:szCs w:val="20"/>
              </w:rPr>
              <w:t>220.5</w:t>
            </w:r>
          </w:p>
        </w:tc>
      </w:tr>
      <w:tr w:rsidR="000F493B" w:rsidRPr="009C55CF" w14:paraId="055671B2" w14:textId="77777777" w:rsidTr="00B15225">
        <w:trPr>
          <w:trHeight w:val="242"/>
          <w:jc w:val="center"/>
        </w:trPr>
        <w:tc>
          <w:tcPr>
            <w:tcW w:w="1252" w:type="dxa"/>
            <w:vMerge/>
            <w:tcBorders>
              <w:top w:val="nil"/>
              <w:left w:val="single" w:sz="4" w:space="0" w:color="auto"/>
              <w:bottom w:val="single" w:sz="4" w:space="0" w:color="auto"/>
              <w:right w:val="nil"/>
            </w:tcBorders>
            <w:vAlign w:val="center"/>
            <w:hideMark/>
          </w:tcPr>
          <w:p w14:paraId="1E4BCFDB" w14:textId="77777777" w:rsidR="000F493B" w:rsidRPr="009C55CF" w:rsidRDefault="000F493B" w:rsidP="000F493B">
            <w:pPr>
              <w:rPr>
                <w:rFonts w:ascii="Arial" w:hAnsi="Arial" w:cs="Arial"/>
                <w:b/>
                <w:bCs/>
                <w:color w:val="000000"/>
                <w:sz w:val="20"/>
                <w:szCs w:val="20"/>
              </w:rPr>
            </w:pPr>
          </w:p>
        </w:tc>
        <w:tc>
          <w:tcPr>
            <w:tcW w:w="2343" w:type="dxa"/>
            <w:tcBorders>
              <w:top w:val="nil"/>
              <w:left w:val="single" w:sz="4" w:space="0" w:color="auto"/>
              <w:bottom w:val="single" w:sz="4" w:space="0" w:color="auto"/>
              <w:right w:val="single" w:sz="4" w:space="0" w:color="auto"/>
            </w:tcBorders>
            <w:shd w:val="clear" w:color="000000" w:fill="FFFFFF"/>
            <w:vAlign w:val="center"/>
            <w:hideMark/>
          </w:tcPr>
          <w:p w14:paraId="5D71C60B" w14:textId="77777777" w:rsidR="000F493B" w:rsidRPr="009C55CF" w:rsidRDefault="000F493B" w:rsidP="000F493B">
            <w:pPr>
              <w:rPr>
                <w:rFonts w:ascii="Arial" w:hAnsi="Arial" w:cs="Arial"/>
                <w:color w:val="000000"/>
                <w:sz w:val="20"/>
                <w:szCs w:val="20"/>
              </w:rPr>
            </w:pPr>
            <w:r w:rsidRPr="009C55CF">
              <w:rPr>
                <w:rFonts w:ascii="Arial" w:hAnsi="Arial" w:cs="Arial"/>
                <w:color w:val="000000"/>
                <w:sz w:val="20"/>
                <w:szCs w:val="20"/>
              </w:rPr>
              <w:t>FSL (MW)</w:t>
            </w:r>
          </w:p>
        </w:tc>
        <w:tc>
          <w:tcPr>
            <w:tcW w:w="2250" w:type="dxa"/>
            <w:tcBorders>
              <w:top w:val="nil"/>
              <w:left w:val="nil"/>
              <w:bottom w:val="single" w:sz="4" w:space="0" w:color="auto"/>
              <w:right w:val="single" w:sz="4" w:space="0" w:color="auto"/>
            </w:tcBorders>
            <w:shd w:val="clear" w:color="000000" w:fill="FFFFFF"/>
            <w:vAlign w:val="center"/>
            <w:hideMark/>
          </w:tcPr>
          <w:p w14:paraId="70C78AC1" w14:textId="77777777" w:rsidR="000F493B" w:rsidRPr="009C55CF" w:rsidRDefault="000F493B" w:rsidP="000F493B">
            <w:pPr>
              <w:jc w:val="center"/>
              <w:rPr>
                <w:rFonts w:ascii="Arial" w:hAnsi="Arial" w:cs="Arial"/>
                <w:color w:val="000000"/>
                <w:sz w:val="20"/>
                <w:szCs w:val="20"/>
              </w:rPr>
            </w:pPr>
            <w:r w:rsidRPr="009C55CF">
              <w:rPr>
                <w:rFonts w:ascii="Arial" w:hAnsi="Arial" w:cs="Arial"/>
                <w:color w:val="000000"/>
                <w:sz w:val="20"/>
                <w:szCs w:val="20"/>
              </w:rPr>
              <w:t>87.5</w:t>
            </w:r>
          </w:p>
        </w:tc>
        <w:tc>
          <w:tcPr>
            <w:tcW w:w="2070" w:type="dxa"/>
            <w:tcBorders>
              <w:top w:val="nil"/>
              <w:left w:val="nil"/>
              <w:bottom w:val="single" w:sz="4" w:space="0" w:color="auto"/>
              <w:right w:val="single" w:sz="4" w:space="0" w:color="auto"/>
            </w:tcBorders>
            <w:shd w:val="clear" w:color="000000" w:fill="FFFFFF"/>
            <w:vAlign w:val="center"/>
            <w:hideMark/>
          </w:tcPr>
          <w:p w14:paraId="32230A7F" w14:textId="257CAFC3" w:rsidR="000F493B" w:rsidRPr="009C55CF" w:rsidRDefault="000F493B" w:rsidP="000F493B">
            <w:pPr>
              <w:jc w:val="center"/>
              <w:rPr>
                <w:rFonts w:ascii="Arial" w:hAnsi="Arial" w:cs="Arial"/>
                <w:color w:val="000000"/>
                <w:sz w:val="20"/>
                <w:szCs w:val="20"/>
              </w:rPr>
            </w:pPr>
            <w:r>
              <w:rPr>
                <w:rFonts w:ascii="Arial" w:hAnsi="Arial" w:cs="Arial"/>
                <w:color w:val="000000"/>
                <w:sz w:val="20"/>
                <w:szCs w:val="20"/>
              </w:rPr>
              <w:t>75.5</w:t>
            </w:r>
          </w:p>
        </w:tc>
      </w:tr>
      <w:tr w:rsidR="000F493B" w:rsidRPr="009C55CF" w14:paraId="03D3F648" w14:textId="77777777" w:rsidTr="00B15225">
        <w:trPr>
          <w:trHeight w:val="242"/>
          <w:jc w:val="center"/>
        </w:trPr>
        <w:tc>
          <w:tcPr>
            <w:tcW w:w="1252" w:type="dxa"/>
            <w:vMerge w:val="restart"/>
            <w:tcBorders>
              <w:top w:val="nil"/>
              <w:left w:val="single" w:sz="4" w:space="0" w:color="auto"/>
              <w:bottom w:val="single" w:sz="4" w:space="0" w:color="auto"/>
              <w:right w:val="nil"/>
            </w:tcBorders>
            <w:shd w:val="clear" w:color="auto" w:fill="auto"/>
            <w:vAlign w:val="center"/>
            <w:hideMark/>
          </w:tcPr>
          <w:p w14:paraId="60547F0C" w14:textId="4D7E0525" w:rsidR="000F493B" w:rsidRPr="009C55CF" w:rsidRDefault="000F493B" w:rsidP="000F493B">
            <w:pPr>
              <w:rPr>
                <w:rFonts w:ascii="Arial" w:hAnsi="Arial" w:cs="Arial"/>
                <w:b/>
                <w:bCs/>
                <w:color w:val="000000"/>
                <w:sz w:val="20"/>
                <w:szCs w:val="20"/>
              </w:rPr>
            </w:pPr>
            <w:r w:rsidRPr="009C55CF">
              <w:rPr>
                <w:rFonts w:ascii="Arial" w:hAnsi="Arial" w:cs="Arial"/>
                <w:b/>
                <w:bCs/>
                <w:color w:val="000000"/>
                <w:sz w:val="20"/>
                <w:szCs w:val="20"/>
              </w:rPr>
              <w:t xml:space="preserve">Per </w:t>
            </w:r>
            <w:r>
              <w:rPr>
                <w:rFonts w:ascii="Arial" w:hAnsi="Arial" w:cs="Arial"/>
                <w:b/>
                <w:bCs/>
                <w:color w:val="000000"/>
                <w:sz w:val="20"/>
                <w:szCs w:val="20"/>
              </w:rPr>
              <w:t>Customer</w:t>
            </w:r>
          </w:p>
        </w:tc>
        <w:tc>
          <w:tcPr>
            <w:tcW w:w="2343" w:type="dxa"/>
            <w:tcBorders>
              <w:top w:val="nil"/>
              <w:left w:val="single" w:sz="4" w:space="0" w:color="auto"/>
              <w:bottom w:val="nil"/>
              <w:right w:val="single" w:sz="4" w:space="0" w:color="auto"/>
            </w:tcBorders>
            <w:shd w:val="clear" w:color="000000" w:fill="FFFFFF"/>
            <w:vAlign w:val="center"/>
            <w:hideMark/>
          </w:tcPr>
          <w:p w14:paraId="249AD0D8" w14:textId="0F0972E8" w:rsidR="000F493B" w:rsidRPr="009C55CF" w:rsidRDefault="000F493B" w:rsidP="000F493B">
            <w:pPr>
              <w:rPr>
                <w:rFonts w:ascii="Arial" w:hAnsi="Arial" w:cs="Arial"/>
                <w:color w:val="000000"/>
                <w:sz w:val="20"/>
                <w:szCs w:val="20"/>
              </w:rPr>
            </w:pPr>
            <w:r w:rsidRPr="009C55CF">
              <w:rPr>
                <w:rFonts w:ascii="Arial" w:hAnsi="Arial" w:cs="Arial"/>
                <w:color w:val="000000"/>
                <w:sz w:val="20"/>
                <w:szCs w:val="20"/>
              </w:rPr>
              <w:t>Reference (kW</w:t>
            </w:r>
            <w:r>
              <w:rPr>
                <w:rFonts w:ascii="Arial" w:hAnsi="Arial" w:cs="Arial"/>
                <w:color w:val="000000"/>
                <w:sz w:val="20"/>
                <w:szCs w:val="20"/>
              </w:rPr>
              <w:t>h/h</w:t>
            </w:r>
            <w:r w:rsidRPr="009C55CF">
              <w:rPr>
                <w:rFonts w:ascii="Arial" w:hAnsi="Arial" w:cs="Arial"/>
                <w:color w:val="000000"/>
                <w:sz w:val="20"/>
                <w:szCs w:val="20"/>
              </w:rPr>
              <w:t>)</w:t>
            </w:r>
          </w:p>
        </w:tc>
        <w:tc>
          <w:tcPr>
            <w:tcW w:w="2250" w:type="dxa"/>
            <w:tcBorders>
              <w:top w:val="nil"/>
              <w:left w:val="nil"/>
              <w:bottom w:val="nil"/>
              <w:right w:val="single" w:sz="4" w:space="0" w:color="auto"/>
            </w:tcBorders>
            <w:shd w:val="clear" w:color="000000" w:fill="FFFFFF"/>
            <w:vAlign w:val="center"/>
            <w:hideMark/>
          </w:tcPr>
          <w:p w14:paraId="624AAE02" w14:textId="197B441B" w:rsidR="000F493B" w:rsidRPr="009C55CF" w:rsidRDefault="00757F36" w:rsidP="000F493B">
            <w:pPr>
              <w:jc w:val="center"/>
              <w:rPr>
                <w:rFonts w:ascii="Arial" w:hAnsi="Arial" w:cs="Arial"/>
                <w:color w:val="000000"/>
                <w:sz w:val="20"/>
                <w:szCs w:val="20"/>
              </w:rPr>
            </w:pPr>
            <w:r>
              <w:rPr>
                <w:rFonts w:ascii="Arial" w:hAnsi="Arial" w:cs="Arial"/>
                <w:color w:val="000000"/>
                <w:sz w:val="20"/>
                <w:szCs w:val="20"/>
              </w:rPr>
              <w:t>1,172</w:t>
            </w:r>
          </w:p>
        </w:tc>
        <w:tc>
          <w:tcPr>
            <w:tcW w:w="2070" w:type="dxa"/>
            <w:tcBorders>
              <w:top w:val="nil"/>
              <w:left w:val="nil"/>
              <w:bottom w:val="nil"/>
              <w:right w:val="single" w:sz="4" w:space="0" w:color="auto"/>
            </w:tcBorders>
            <w:shd w:val="clear" w:color="000000" w:fill="FFFFFF"/>
            <w:vAlign w:val="center"/>
            <w:hideMark/>
          </w:tcPr>
          <w:p w14:paraId="66025DC3" w14:textId="4173C114" w:rsidR="000F493B" w:rsidRPr="009C55CF" w:rsidRDefault="000F493B" w:rsidP="000F493B">
            <w:pPr>
              <w:jc w:val="center"/>
              <w:rPr>
                <w:rFonts w:ascii="Arial" w:hAnsi="Arial" w:cs="Arial"/>
                <w:color w:val="000000"/>
                <w:sz w:val="20"/>
                <w:szCs w:val="20"/>
              </w:rPr>
            </w:pPr>
            <w:r>
              <w:rPr>
                <w:rFonts w:ascii="Arial" w:hAnsi="Arial" w:cs="Arial"/>
                <w:color w:val="000000"/>
                <w:sz w:val="20"/>
                <w:szCs w:val="20"/>
              </w:rPr>
              <w:t>853</w:t>
            </w:r>
          </w:p>
        </w:tc>
      </w:tr>
      <w:tr w:rsidR="000F493B" w:rsidRPr="009C55CF" w14:paraId="61E7C4BF" w14:textId="77777777" w:rsidTr="00B15225">
        <w:trPr>
          <w:trHeight w:val="242"/>
          <w:jc w:val="center"/>
        </w:trPr>
        <w:tc>
          <w:tcPr>
            <w:tcW w:w="1252" w:type="dxa"/>
            <w:vMerge/>
            <w:tcBorders>
              <w:top w:val="nil"/>
              <w:left w:val="single" w:sz="4" w:space="0" w:color="auto"/>
              <w:bottom w:val="single" w:sz="4" w:space="0" w:color="auto"/>
              <w:right w:val="nil"/>
            </w:tcBorders>
            <w:vAlign w:val="center"/>
            <w:hideMark/>
          </w:tcPr>
          <w:p w14:paraId="759BE5F8" w14:textId="77777777" w:rsidR="000F493B" w:rsidRPr="009C55CF" w:rsidRDefault="000F493B" w:rsidP="000F493B">
            <w:pPr>
              <w:rPr>
                <w:rFonts w:ascii="Arial" w:hAnsi="Arial" w:cs="Arial"/>
                <w:b/>
                <w:bCs/>
                <w:color w:val="000000"/>
                <w:sz w:val="20"/>
                <w:szCs w:val="20"/>
              </w:rPr>
            </w:pPr>
          </w:p>
        </w:tc>
        <w:tc>
          <w:tcPr>
            <w:tcW w:w="2343" w:type="dxa"/>
            <w:tcBorders>
              <w:top w:val="nil"/>
              <w:left w:val="single" w:sz="4" w:space="0" w:color="auto"/>
              <w:bottom w:val="nil"/>
              <w:right w:val="single" w:sz="4" w:space="0" w:color="auto"/>
            </w:tcBorders>
            <w:shd w:val="clear" w:color="000000" w:fill="FFFFFF"/>
            <w:vAlign w:val="center"/>
            <w:hideMark/>
          </w:tcPr>
          <w:p w14:paraId="78D255AC" w14:textId="54F7E3D4" w:rsidR="000F493B" w:rsidRPr="009C55CF" w:rsidRDefault="000F493B" w:rsidP="000F493B">
            <w:pPr>
              <w:rPr>
                <w:rFonts w:ascii="Arial" w:hAnsi="Arial" w:cs="Arial"/>
                <w:color w:val="000000"/>
                <w:sz w:val="20"/>
                <w:szCs w:val="20"/>
              </w:rPr>
            </w:pPr>
            <w:r w:rsidRPr="009C55CF">
              <w:rPr>
                <w:rFonts w:ascii="Arial" w:hAnsi="Arial" w:cs="Arial"/>
                <w:color w:val="000000"/>
                <w:sz w:val="20"/>
                <w:szCs w:val="20"/>
              </w:rPr>
              <w:t>Load Impact (kW</w:t>
            </w:r>
            <w:r>
              <w:rPr>
                <w:rFonts w:ascii="Arial" w:hAnsi="Arial" w:cs="Arial"/>
                <w:color w:val="000000"/>
                <w:sz w:val="20"/>
                <w:szCs w:val="20"/>
              </w:rPr>
              <w:t>h/h</w:t>
            </w:r>
            <w:r w:rsidRPr="009C55CF">
              <w:rPr>
                <w:rFonts w:ascii="Arial" w:hAnsi="Arial" w:cs="Arial"/>
                <w:color w:val="000000"/>
                <w:sz w:val="20"/>
                <w:szCs w:val="20"/>
              </w:rPr>
              <w:t>)</w:t>
            </w:r>
          </w:p>
        </w:tc>
        <w:tc>
          <w:tcPr>
            <w:tcW w:w="2250" w:type="dxa"/>
            <w:tcBorders>
              <w:top w:val="nil"/>
              <w:left w:val="nil"/>
              <w:bottom w:val="nil"/>
              <w:right w:val="single" w:sz="4" w:space="0" w:color="auto"/>
            </w:tcBorders>
            <w:shd w:val="clear" w:color="000000" w:fill="FFFFFF"/>
            <w:vAlign w:val="center"/>
            <w:hideMark/>
          </w:tcPr>
          <w:p w14:paraId="382DADFB" w14:textId="36B11F95" w:rsidR="000F493B" w:rsidRPr="009C55CF" w:rsidRDefault="00757F36" w:rsidP="000F493B">
            <w:pPr>
              <w:jc w:val="center"/>
              <w:rPr>
                <w:rFonts w:ascii="Arial" w:hAnsi="Arial" w:cs="Arial"/>
                <w:color w:val="000000"/>
                <w:sz w:val="20"/>
                <w:szCs w:val="20"/>
              </w:rPr>
            </w:pPr>
            <w:r>
              <w:rPr>
                <w:rFonts w:ascii="Arial" w:hAnsi="Arial" w:cs="Arial"/>
                <w:color w:val="000000"/>
                <w:sz w:val="20"/>
                <w:szCs w:val="20"/>
              </w:rPr>
              <w:t>910</w:t>
            </w:r>
          </w:p>
        </w:tc>
        <w:tc>
          <w:tcPr>
            <w:tcW w:w="2070" w:type="dxa"/>
            <w:tcBorders>
              <w:top w:val="nil"/>
              <w:left w:val="nil"/>
              <w:bottom w:val="nil"/>
              <w:right w:val="single" w:sz="4" w:space="0" w:color="auto"/>
            </w:tcBorders>
            <w:shd w:val="clear" w:color="000000" w:fill="FFFFFF"/>
            <w:vAlign w:val="center"/>
            <w:hideMark/>
          </w:tcPr>
          <w:p w14:paraId="4B7851D2" w14:textId="21A4C447" w:rsidR="000F493B" w:rsidRPr="009C55CF" w:rsidRDefault="000F493B" w:rsidP="000F493B">
            <w:pPr>
              <w:jc w:val="center"/>
              <w:rPr>
                <w:rFonts w:ascii="Arial" w:hAnsi="Arial" w:cs="Arial"/>
                <w:color w:val="000000"/>
                <w:sz w:val="20"/>
                <w:szCs w:val="20"/>
              </w:rPr>
            </w:pPr>
            <w:r>
              <w:rPr>
                <w:rFonts w:ascii="Arial" w:hAnsi="Arial" w:cs="Arial"/>
                <w:color w:val="000000"/>
                <w:sz w:val="20"/>
                <w:szCs w:val="20"/>
              </w:rPr>
              <w:t>609</w:t>
            </w:r>
          </w:p>
        </w:tc>
      </w:tr>
      <w:tr w:rsidR="000F493B" w:rsidRPr="009C55CF" w14:paraId="30A7BC8A" w14:textId="77777777" w:rsidTr="00B15225">
        <w:trPr>
          <w:trHeight w:val="242"/>
          <w:jc w:val="center"/>
        </w:trPr>
        <w:tc>
          <w:tcPr>
            <w:tcW w:w="1252" w:type="dxa"/>
            <w:vMerge/>
            <w:tcBorders>
              <w:top w:val="nil"/>
              <w:left w:val="single" w:sz="4" w:space="0" w:color="auto"/>
              <w:bottom w:val="single" w:sz="4" w:space="0" w:color="auto"/>
              <w:right w:val="nil"/>
            </w:tcBorders>
            <w:vAlign w:val="center"/>
            <w:hideMark/>
          </w:tcPr>
          <w:p w14:paraId="1373BCF7" w14:textId="77777777" w:rsidR="000F493B" w:rsidRPr="009C55CF" w:rsidRDefault="000F493B" w:rsidP="000F493B">
            <w:pPr>
              <w:rPr>
                <w:rFonts w:ascii="Arial" w:hAnsi="Arial" w:cs="Arial"/>
                <w:b/>
                <w:bCs/>
                <w:color w:val="000000"/>
                <w:sz w:val="20"/>
                <w:szCs w:val="20"/>
              </w:rPr>
            </w:pPr>
          </w:p>
        </w:tc>
        <w:tc>
          <w:tcPr>
            <w:tcW w:w="2343" w:type="dxa"/>
            <w:tcBorders>
              <w:top w:val="nil"/>
              <w:left w:val="single" w:sz="4" w:space="0" w:color="auto"/>
              <w:bottom w:val="single" w:sz="4" w:space="0" w:color="auto"/>
              <w:right w:val="single" w:sz="4" w:space="0" w:color="auto"/>
            </w:tcBorders>
            <w:shd w:val="clear" w:color="000000" w:fill="FFFFFF"/>
            <w:vAlign w:val="center"/>
            <w:hideMark/>
          </w:tcPr>
          <w:p w14:paraId="5A250095" w14:textId="77777777" w:rsidR="000F493B" w:rsidRPr="009C55CF" w:rsidRDefault="000F493B" w:rsidP="000F493B">
            <w:pPr>
              <w:rPr>
                <w:rFonts w:ascii="Arial" w:hAnsi="Arial" w:cs="Arial"/>
                <w:color w:val="000000"/>
                <w:sz w:val="20"/>
                <w:szCs w:val="20"/>
              </w:rPr>
            </w:pPr>
            <w:r w:rsidRPr="009C55CF">
              <w:rPr>
                <w:rFonts w:ascii="Arial" w:hAnsi="Arial" w:cs="Arial"/>
                <w:color w:val="000000"/>
                <w:sz w:val="20"/>
                <w:szCs w:val="20"/>
              </w:rPr>
              <w:t>% Load Impact</w:t>
            </w:r>
          </w:p>
        </w:tc>
        <w:tc>
          <w:tcPr>
            <w:tcW w:w="2250" w:type="dxa"/>
            <w:tcBorders>
              <w:top w:val="nil"/>
              <w:left w:val="nil"/>
              <w:bottom w:val="single" w:sz="4" w:space="0" w:color="auto"/>
              <w:right w:val="single" w:sz="4" w:space="0" w:color="auto"/>
            </w:tcBorders>
            <w:shd w:val="clear" w:color="000000" w:fill="FFFFFF"/>
            <w:vAlign w:val="center"/>
            <w:hideMark/>
          </w:tcPr>
          <w:p w14:paraId="58943E73" w14:textId="1D3870F3" w:rsidR="000F493B" w:rsidRPr="009C55CF" w:rsidRDefault="000F493B" w:rsidP="000F493B">
            <w:pPr>
              <w:jc w:val="center"/>
              <w:rPr>
                <w:rFonts w:ascii="Arial" w:hAnsi="Arial" w:cs="Arial"/>
                <w:color w:val="000000"/>
                <w:sz w:val="20"/>
                <w:szCs w:val="20"/>
              </w:rPr>
            </w:pPr>
            <w:r w:rsidRPr="009C55CF">
              <w:rPr>
                <w:rFonts w:ascii="Arial" w:hAnsi="Arial" w:cs="Arial"/>
                <w:color w:val="000000"/>
                <w:sz w:val="20"/>
                <w:szCs w:val="20"/>
              </w:rPr>
              <w:t>77.6%</w:t>
            </w:r>
          </w:p>
        </w:tc>
        <w:tc>
          <w:tcPr>
            <w:tcW w:w="2070" w:type="dxa"/>
            <w:tcBorders>
              <w:top w:val="nil"/>
              <w:left w:val="nil"/>
              <w:bottom w:val="single" w:sz="4" w:space="0" w:color="auto"/>
              <w:right w:val="single" w:sz="4" w:space="0" w:color="auto"/>
            </w:tcBorders>
            <w:shd w:val="clear" w:color="000000" w:fill="FFFFFF"/>
            <w:vAlign w:val="center"/>
            <w:hideMark/>
          </w:tcPr>
          <w:p w14:paraId="4A2CB850" w14:textId="1476A321" w:rsidR="000F493B" w:rsidRPr="009C55CF" w:rsidRDefault="000F493B" w:rsidP="000F493B">
            <w:pPr>
              <w:jc w:val="center"/>
              <w:rPr>
                <w:rFonts w:ascii="Arial" w:hAnsi="Arial" w:cs="Arial"/>
                <w:color w:val="000000"/>
                <w:sz w:val="20"/>
                <w:szCs w:val="20"/>
              </w:rPr>
            </w:pPr>
            <w:r>
              <w:rPr>
                <w:rFonts w:ascii="Arial" w:hAnsi="Arial" w:cs="Arial"/>
                <w:color w:val="000000"/>
                <w:sz w:val="20"/>
                <w:szCs w:val="20"/>
              </w:rPr>
              <w:t>71.4%</w:t>
            </w:r>
          </w:p>
        </w:tc>
      </w:tr>
    </w:tbl>
    <w:p w14:paraId="497BD1E0" w14:textId="77777777" w:rsidR="009C55CF" w:rsidRDefault="009C55CF" w:rsidP="009C55CF">
      <w:pPr>
        <w:pStyle w:val="TableCaption"/>
        <w:keepNext/>
        <w:keepLines/>
      </w:pPr>
    </w:p>
    <w:p w14:paraId="34B7C9FB" w14:textId="5203ECCA" w:rsidR="00DA4753" w:rsidRDefault="000A4078" w:rsidP="00DA4753">
      <w:r>
        <w:t>While t</w:t>
      </w:r>
      <w:r w:rsidR="00B07FDB" w:rsidRPr="00FB1E09">
        <w:t xml:space="preserve">he current study includes </w:t>
      </w:r>
      <w:r w:rsidR="00757F36">
        <w:t>32</w:t>
      </w:r>
      <w:r w:rsidR="00257A58" w:rsidRPr="00FB1E09">
        <w:t xml:space="preserve"> </w:t>
      </w:r>
      <w:r w:rsidR="0024297A" w:rsidRPr="00FB1E09">
        <w:t>additional</w:t>
      </w:r>
      <w:r w:rsidR="00257A58" w:rsidRPr="00FB1E09">
        <w:t xml:space="preserve"> service a</w:t>
      </w:r>
      <w:r w:rsidR="00536281" w:rsidRPr="00FB1E09">
        <w:t>greement</w:t>
      </w:r>
      <w:r w:rsidR="00257A58" w:rsidRPr="00FB1E09">
        <w:t>s</w:t>
      </w:r>
      <w:r w:rsidR="00FB1E09">
        <w:t>, the reference loads and load impacts are lower</w:t>
      </w:r>
      <w:r>
        <w:t xml:space="preserve"> than in PY2016</w:t>
      </w:r>
      <w:r w:rsidR="00FB1E09">
        <w:t>.</w:t>
      </w:r>
      <w:r w:rsidR="00DC2A53">
        <w:t xml:space="preserve"> This</w:t>
      </w:r>
      <w:r w:rsidR="00600F5D">
        <w:t xml:space="preserve"> is</w:t>
      </w:r>
      <w:r w:rsidR="00DC2A53">
        <w:t xml:space="preserve"> because the composition of BIP customers changed </w:t>
      </w:r>
      <w:r w:rsidR="00600F5D">
        <w:t xml:space="preserve">across years, </w:t>
      </w:r>
      <w:r w:rsidR="00DC2A53">
        <w:t xml:space="preserve">with </w:t>
      </w:r>
      <w:r w:rsidR="00600F5D">
        <w:t xml:space="preserve">lower-use customers joining BIP and some high-use customers </w:t>
      </w:r>
      <w:r w:rsidR="00320302">
        <w:t>de-enroll</w:t>
      </w:r>
      <w:r w:rsidR="00600F5D">
        <w:t>ing</w:t>
      </w:r>
      <w:r w:rsidR="00DC2A53">
        <w:t>. For instance, th</w:t>
      </w:r>
      <w:r w:rsidR="00320302">
        <w:t>ere are 35 customers that de-enroll in BIP between 2017 and 2018. If these customers had remained on BIP, their forecasted aggregate load impact would be 50 MW. T</w:t>
      </w:r>
      <w:r w:rsidR="00CD08D7">
        <w:t xml:space="preserve">he per-customer reference loads demonstrate that while the current study has more enrollees, the size of these customers is much smaller at </w:t>
      </w:r>
      <w:r w:rsidR="00757F36">
        <w:t>853</w:t>
      </w:r>
      <w:r w:rsidR="00CD08D7">
        <w:t xml:space="preserve"> kWh/h versus 1,17</w:t>
      </w:r>
      <w:r w:rsidR="00600F5D">
        <w:t>2</w:t>
      </w:r>
      <w:r w:rsidR="00CD08D7">
        <w:t xml:space="preserve"> kWh/h.</w:t>
      </w:r>
      <w:r w:rsidR="000150AF">
        <w:t xml:space="preserve"> </w:t>
      </w:r>
    </w:p>
    <w:p w14:paraId="09CC6E9D" w14:textId="397188B3" w:rsidR="00DA4753" w:rsidRDefault="00DA4753" w:rsidP="00DA4753">
      <w:pPr>
        <w:pStyle w:val="Heading3"/>
      </w:pPr>
      <w:bookmarkStart w:id="213" w:name="_Toc383597954"/>
      <w:bookmarkStart w:id="214" w:name="_Toc510091133"/>
      <w:r>
        <w:t xml:space="preserve">6.1.3 Previous </w:t>
      </w:r>
      <w:r w:rsidRPr="000F1678">
        <w:rPr>
          <w:i/>
        </w:rPr>
        <w:t>ex</w:t>
      </w:r>
      <w:r w:rsidR="000F1678" w:rsidRPr="000F1678">
        <w:rPr>
          <w:i/>
        </w:rPr>
        <w:t>-</w:t>
      </w:r>
      <w:r w:rsidRPr="000F1678">
        <w:rPr>
          <w:i/>
        </w:rPr>
        <w:t>ante</w:t>
      </w:r>
      <w:r>
        <w:t xml:space="preserve"> versus current </w:t>
      </w:r>
      <w:r w:rsidRPr="000F1678">
        <w:rPr>
          <w:i/>
        </w:rPr>
        <w:t>ex</w:t>
      </w:r>
      <w:r w:rsidR="000F1678" w:rsidRPr="000F1678">
        <w:rPr>
          <w:i/>
        </w:rPr>
        <w:t>-</w:t>
      </w:r>
      <w:r w:rsidRPr="000F1678">
        <w:rPr>
          <w:i/>
        </w:rPr>
        <w:t>post</w:t>
      </w:r>
      <w:bookmarkEnd w:id="213"/>
      <w:bookmarkEnd w:id="214"/>
    </w:p>
    <w:p w14:paraId="02BC3B01" w14:textId="688EA60B" w:rsidR="00DA4753" w:rsidRDefault="00DA4753" w:rsidP="00DA4753">
      <w:r>
        <w:t xml:space="preserve">Table 6.3 provides a comparison of the </w:t>
      </w:r>
      <w:r w:rsidRPr="005926F0">
        <w:rPr>
          <w:i/>
        </w:rPr>
        <w:t>ex</w:t>
      </w:r>
      <w:r w:rsidR="005926F0" w:rsidRPr="005926F0">
        <w:rPr>
          <w:i/>
        </w:rPr>
        <w:t>-</w:t>
      </w:r>
      <w:r w:rsidRPr="005926F0">
        <w:rPr>
          <w:i/>
        </w:rPr>
        <w:t>ante</w:t>
      </w:r>
      <w:r>
        <w:t xml:space="preserve"> forecast of </w:t>
      </w:r>
      <w:r w:rsidR="007A311D">
        <w:t>2017</w:t>
      </w:r>
      <w:r>
        <w:t xml:space="preserve"> load i</w:t>
      </w:r>
      <w:r w:rsidR="008621D0">
        <w:t>mpacts prepared following PY201</w:t>
      </w:r>
      <w:r w:rsidR="00AE412A">
        <w:t>6</w:t>
      </w:r>
      <w:r>
        <w:t xml:space="preserve"> and the PY</w:t>
      </w:r>
      <w:r w:rsidR="007A311D">
        <w:t xml:space="preserve">2017 </w:t>
      </w:r>
      <w:r>
        <w:t xml:space="preserve">load impacts estimated as part of this study. The </w:t>
      </w:r>
      <w:r w:rsidRPr="005926F0">
        <w:rPr>
          <w:i/>
        </w:rPr>
        <w:t>ex</w:t>
      </w:r>
      <w:r w:rsidR="005926F0" w:rsidRPr="005926F0">
        <w:rPr>
          <w:i/>
        </w:rPr>
        <w:t>-</w:t>
      </w:r>
      <w:r w:rsidRPr="005926F0">
        <w:rPr>
          <w:i/>
        </w:rPr>
        <w:t>ante</w:t>
      </w:r>
      <w:r>
        <w:t xml:space="preserve"> forecast shown in the table represents the typical event day during a </w:t>
      </w:r>
      <w:r w:rsidR="00E97693">
        <w:t xml:space="preserve">utility-specific </w:t>
      </w:r>
      <w:r>
        <w:t xml:space="preserve">1-in-2 weather year. The </w:t>
      </w:r>
      <w:r w:rsidRPr="005926F0">
        <w:rPr>
          <w:i/>
        </w:rPr>
        <w:t>ex</w:t>
      </w:r>
      <w:r w:rsidR="005926F0" w:rsidRPr="005926F0">
        <w:rPr>
          <w:i/>
        </w:rPr>
        <w:t>-</w:t>
      </w:r>
      <w:r w:rsidRPr="005926F0">
        <w:rPr>
          <w:i/>
        </w:rPr>
        <w:t>post</w:t>
      </w:r>
      <w:r>
        <w:t xml:space="preserve"> load impacts are </w:t>
      </w:r>
      <w:r w:rsidR="00E97693">
        <w:t xml:space="preserve">based on the </w:t>
      </w:r>
      <w:r w:rsidR="007A311D">
        <w:t>May 3</w:t>
      </w:r>
      <w:r w:rsidR="00E97693">
        <w:t xml:space="preserve">, </w:t>
      </w:r>
      <w:r w:rsidR="007A311D">
        <w:t xml:space="preserve">2017 </w:t>
      </w:r>
      <w:r w:rsidR="00E97693">
        <w:t>event day</w:t>
      </w:r>
      <w:r>
        <w:t>.</w:t>
      </w:r>
    </w:p>
    <w:p w14:paraId="0A305129" w14:textId="77777777" w:rsidR="00DA4753" w:rsidRDefault="00DA4753" w:rsidP="00DA4753"/>
    <w:p w14:paraId="7AA6436C" w14:textId="50010683" w:rsidR="00DA4753" w:rsidRDefault="00DA4753" w:rsidP="00DA4753">
      <w:r w:rsidRPr="00600F5D">
        <w:t xml:space="preserve">The </w:t>
      </w:r>
      <w:r w:rsidR="008621D0" w:rsidRPr="00600F5D">
        <w:t xml:space="preserve">aggregate </w:t>
      </w:r>
      <w:r w:rsidRPr="00600F5D">
        <w:t xml:space="preserve">forecast </w:t>
      </w:r>
      <w:r w:rsidR="002038A8">
        <w:t xml:space="preserve">from the previous study </w:t>
      </w:r>
      <w:r w:rsidR="00E97693" w:rsidRPr="00600F5D">
        <w:t xml:space="preserve">and </w:t>
      </w:r>
      <w:r w:rsidR="002038A8">
        <w:t xml:space="preserve">the current </w:t>
      </w:r>
      <w:r w:rsidR="00E97693" w:rsidRPr="00600F5D">
        <w:rPr>
          <w:i/>
        </w:rPr>
        <w:t>ex</w:t>
      </w:r>
      <w:r w:rsidR="005926F0" w:rsidRPr="00600F5D">
        <w:rPr>
          <w:i/>
        </w:rPr>
        <w:t>-</w:t>
      </w:r>
      <w:r w:rsidR="00E97693" w:rsidRPr="00600F5D">
        <w:rPr>
          <w:i/>
        </w:rPr>
        <w:t>post</w:t>
      </w:r>
      <w:r w:rsidR="00E97693" w:rsidRPr="00600F5D">
        <w:t xml:space="preserve"> load impacts are</w:t>
      </w:r>
      <w:r w:rsidR="00D429E3" w:rsidRPr="00600F5D">
        <w:t xml:space="preserve"> not</w:t>
      </w:r>
      <w:r w:rsidR="00E97693" w:rsidRPr="00600F5D">
        <w:t xml:space="preserve"> </w:t>
      </w:r>
      <w:r w:rsidR="008621D0" w:rsidRPr="00600F5D">
        <w:t>the same</w:t>
      </w:r>
      <w:r w:rsidR="002038A8">
        <w:t xml:space="preserve"> because the per-customer reference loads and percentage load impacts are smaller in the current </w:t>
      </w:r>
      <w:r w:rsidR="002038A8">
        <w:rPr>
          <w:i/>
        </w:rPr>
        <w:t xml:space="preserve">ex-post </w:t>
      </w:r>
      <w:r w:rsidR="002038A8">
        <w:t xml:space="preserve">analysis. </w:t>
      </w:r>
    </w:p>
    <w:p w14:paraId="5775798A" w14:textId="77777777" w:rsidR="00DA4753" w:rsidRDefault="00DA4753" w:rsidP="00DA4753"/>
    <w:p w14:paraId="72879154" w14:textId="13577BE9" w:rsidR="00DA4753" w:rsidRDefault="00DA4753" w:rsidP="0082431E">
      <w:pPr>
        <w:pStyle w:val="TableCaption"/>
        <w:keepNext/>
        <w:keepLines/>
        <w:rPr>
          <w:i/>
        </w:rPr>
      </w:pPr>
      <w:bookmarkStart w:id="215" w:name="_Toc383598018"/>
      <w:bookmarkStart w:id="216" w:name="_Toc508800234"/>
      <w:r w:rsidRPr="00376F46">
        <w:lastRenderedPageBreak/>
        <w:t xml:space="preserve">Table </w:t>
      </w:r>
      <w:r>
        <w:t>6</w:t>
      </w:r>
      <w:r w:rsidRPr="00376F46">
        <w:t>.</w:t>
      </w:r>
      <w:r>
        <w:t>3</w:t>
      </w:r>
      <w:r w:rsidR="007030CD">
        <w:t>:</w:t>
      </w:r>
      <w:r w:rsidRPr="00376F46">
        <w:t xml:space="preserve"> Comparison of </w:t>
      </w:r>
      <w:r>
        <w:t xml:space="preserve">Previous </w:t>
      </w:r>
      <w:r w:rsidRPr="005926F0">
        <w:rPr>
          <w:i/>
        </w:rPr>
        <w:t>Ex</w:t>
      </w:r>
      <w:r w:rsidR="006B77F5" w:rsidRPr="005926F0">
        <w:rPr>
          <w:i/>
        </w:rPr>
        <w:t>-</w:t>
      </w:r>
      <w:r w:rsidR="005926F0" w:rsidRPr="005926F0">
        <w:rPr>
          <w:i/>
        </w:rPr>
        <w:t>a</w:t>
      </w:r>
      <w:r w:rsidRPr="005926F0">
        <w:rPr>
          <w:i/>
        </w:rPr>
        <w:t>nte</w:t>
      </w:r>
      <w:r>
        <w:t xml:space="preserve"> and Current </w:t>
      </w:r>
      <w:r w:rsidRPr="005926F0">
        <w:rPr>
          <w:i/>
        </w:rPr>
        <w:t>Ex</w:t>
      </w:r>
      <w:r w:rsidR="006B77F5" w:rsidRPr="005926F0">
        <w:rPr>
          <w:i/>
        </w:rPr>
        <w:t>-</w:t>
      </w:r>
      <w:r w:rsidR="005926F0" w:rsidRPr="005926F0">
        <w:rPr>
          <w:i/>
        </w:rPr>
        <w:t>p</w:t>
      </w:r>
      <w:r w:rsidRPr="005926F0">
        <w:rPr>
          <w:i/>
        </w:rPr>
        <w:t>ost</w:t>
      </w:r>
      <w:r>
        <w:t xml:space="preserve"> </w:t>
      </w:r>
      <w:r w:rsidRPr="00376F46">
        <w:t>Impacts</w:t>
      </w:r>
      <w:r>
        <w:t>,</w:t>
      </w:r>
      <w:r w:rsidRPr="00376F46">
        <w:t xml:space="preserve"> </w:t>
      </w:r>
      <w:r>
        <w:rPr>
          <w:i/>
        </w:rPr>
        <w:t>PG&amp;E</w:t>
      </w:r>
      <w:bookmarkEnd w:id="215"/>
      <w:bookmarkEnd w:id="216"/>
    </w:p>
    <w:tbl>
      <w:tblPr>
        <w:tblW w:w="7814" w:type="dxa"/>
        <w:jc w:val="center"/>
        <w:tblLook w:val="04A0" w:firstRow="1" w:lastRow="0" w:firstColumn="1" w:lastColumn="0" w:noHBand="0" w:noVBand="1"/>
      </w:tblPr>
      <w:tblGrid>
        <w:gridCol w:w="1236"/>
        <w:gridCol w:w="2179"/>
        <w:gridCol w:w="2183"/>
        <w:gridCol w:w="2216"/>
      </w:tblGrid>
      <w:tr w:rsidR="0082431E" w:rsidRPr="0082431E" w14:paraId="2817A614" w14:textId="77777777" w:rsidTr="006B55F6">
        <w:trPr>
          <w:trHeight w:val="421"/>
          <w:jc w:val="center"/>
        </w:trPr>
        <w:tc>
          <w:tcPr>
            <w:tcW w:w="1236" w:type="dxa"/>
            <w:vMerge w:val="restart"/>
            <w:tcBorders>
              <w:top w:val="single" w:sz="4" w:space="0" w:color="auto"/>
              <w:left w:val="single" w:sz="4" w:space="0" w:color="auto"/>
              <w:bottom w:val="single" w:sz="4" w:space="0" w:color="auto"/>
              <w:right w:val="nil"/>
            </w:tcBorders>
            <w:shd w:val="clear" w:color="auto" w:fill="0C2577"/>
            <w:vAlign w:val="center"/>
            <w:hideMark/>
          </w:tcPr>
          <w:p w14:paraId="0399AD34" w14:textId="77777777" w:rsidR="0082431E" w:rsidRPr="0082431E" w:rsidRDefault="0082431E" w:rsidP="00772D6C">
            <w:pPr>
              <w:keepNext/>
              <w:jc w:val="center"/>
              <w:rPr>
                <w:rFonts w:ascii="Arial" w:hAnsi="Arial" w:cs="Arial"/>
                <w:b/>
                <w:bCs/>
                <w:color w:val="FFFFFF"/>
                <w:sz w:val="20"/>
                <w:szCs w:val="20"/>
              </w:rPr>
            </w:pPr>
            <w:r w:rsidRPr="0082431E">
              <w:rPr>
                <w:rFonts w:ascii="Arial" w:hAnsi="Arial" w:cs="Arial"/>
                <w:b/>
                <w:bCs/>
                <w:color w:val="FFFFFF"/>
                <w:sz w:val="20"/>
                <w:szCs w:val="20"/>
              </w:rPr>
              <w:t>Level</w:t>
            </w:r>
          </w:p>
        </w:tc>
        <w:tc>
          <w:tcPr>
            <w:tcW w:w="2179" w:type="dxa"/>
            <w:vMerge w:val="restart"/>
            <w:tcBorders>
              <w:top w:val="single" w:sz="4" w:space="0" w:color="auto"/>
              <w:left w:val="single" w:sz="4" w:space="0" w:color="FFFFFF"/>
              <w:bottom w:val="single" w:sz="4" w:space="0" w:color="auto"/>
              <w:right w:val="single" w:sz="4" w:space="0" w:color="FFFFFF"/>
            </w:tcBorders>
            <w:shd w:val="clear" w:color="auto" w:fill="0C2577"/>
            <w:vAlign w:val="center"/>
            <w:hideMark/>
          </w:tcPr>
          <w:p w14:paraId="39964DA0" w14:textId="77777777" w:rsidR="0082431E" w:rsidRPr="0082431E" w:rsidRDefault="0082431E" w:rsidP="00772D6C">
            <w:pPr>
              <w:keepNext/>
              <w:jc w:val="center"/>
              <w:rPr>
                <w:rFonts w:ascii="Arial" w:hAnsi="Arial" w:cs="Arial"/>
                <w:b/>
                <w:bCs/>
                <w:color w:val="FFFFFF"/>
                <w:sz w:val="20"/>
                <w:szCs w:val="20"/>
              </w:rPr>
            </w:pPr>
            <w:r w:rsidRPr="0082431E">
              <w:rPr>
                <w:rFonts w:ascii="Arial" w:hAnsi="Arial" w:cs="Arial"/>
                <w:b/>
                <w:bCs/>
                <w:color w:val="FFFFFF"/>
                <w:sz w:val="20"/>
                <w:szCs w:val="20"/>
              </w:rPr>
              <w:t>Outcome</w:t>
            </w:r>
          </w:p>
        </w:tc>
        <w:tc>
          <w:tcPr>
            <w:tcW w:w="2183" w:type="dxa"/>
            <w:vMerge w:val="restart"/>
            <w:tcBorders>
              <w:top w:val="single" w:sz="4" w:space="0" w:color="auto"/>
              <w:left w:val="nil"/>
              <w:bottom w:val="single" w:sz="4" w:space="0" w:color="auto"/>
              <w:right w:val="nil"/>
            </w:tcBorders>
            <w:shd w:val="clear" w:color="auto" w:fill="0C2577"/>
            <w:vAlign w:val="center"/>
            <w:hideMark/>
          </w:tcPr>
          <w:p w14:paraId="562CD3A2" w14:textId="77777777" w:rsidR="0082431E" w:rsidRPr="0082431E" w:rsidRDefault="0082431E" w:rsidP="00772D6C">
            <w:pPr>
              <w:keepNext/>
              <w:jc w:val="center"/>
              <w:rPr>
                <w:rFonts w:ascii="Arial" w:hAnsi="Arial" w:cs="Arial"/>
                <w:b/>
                <w:bCs/>
                <w:color w:val="FFFFFF"/>
                <w:sz w:val="20"/>
                <w:szCs w:val="20"/>
              </w:rPr>
            </w:pPr>
            <w:r w:rsidRPr="0082431E">
              <w:rPr>
                <w:rFonts w:ascii="Arial" w:hAnsi="Arial" w:cs="Arial"/>
                <w:b/>
                <w:bCs/>
                <w:i/>
                <w:iCs/>
                <w:color w:val="FFFFFF"/>
                <w:sz w:val="20"/>
                <w:szCs w:val="20"/>
              </w:rPr>
              <w:t xml:space="preserve">Ex-ante </w:t>
            </w:r>
            <w:r w:rsidRPr="0082431E">
              <w:rPr>
                <w:rFonts w:ascii="Arial" w:hAnsi="Arial" w:cs="Arial"/>
                <w:b/>
                <w:bCs/>
                <w:color w:val="FFFFFF"/>
                <w:sz w:val="20"/>
                <w:szCs w:val="20"/>
              </w:rPr>
              <w:t xml:space="preserve">2017 Typical Event Day, Previous Study </w:t>
            </w:r>
          </w:p>
        </w:tc>
        <w:tc>
          <w:tcPr>
            <w:tcW w:w="2216" w:type="dxa"/>
            <w:tcBorders>
              <w:top w:val="single" w:sz="4" w:space="0" w:color="auto"/>
              <w:left w:val="single" w:sz="4" w:space="0" w:color="FFFFFF"/>
              <w:bottom w:val="nil"/>
              <w:right w:val="single" w:sz="4" w:space="0" w:color="auto"/>
            </w:tcBorders>
            <w:shd w:val="clear" w:color="auto" w:fill="0C2577"/>
            <w:vAlign w:val="bottom"/>
            <w:hideMark/>
          </w:tcPr>
          <w:p w14:paraId="10BFC5E5" w14:textId="77777777" w:rsidR="0082431E" w:rsidRPr="0082431E" w:rsidRDefault="0082431E" w:rsidP="00772D6C">
            <w:pPr>
              <w:keepNext/>
              <w:jc w:val="center"/>
              <w:rPr>
                <w:rFonts w:ascii="Arial" w:hAnsi="Arial" w:cs="Arial"/>
                <w:b/>
                <w:bCs/>
                <w:i/>
                <w:iCs/>
                <w:color w:val="FFFFFF"/>
                <w:sz w:val="20"/>
                <w:szCs w:val="20"/>
              </w:rPr>
            </w:pPr>
            <w:r w:rsidRPr="0082431E">
              <w:rPr>
                <w:rFonts w:ascii="Arial" w:hAnsi="Arial" w:cs="Arial"/>
                <w:b/>
                <w:bCs/>
                <w:i/>
                <w:iCs/>
                <w:color w:val="FFFFFF"/>
                <w:sz w:val="20"/>
                <w:szCs w:val="20"/>
              </w:rPr>
              <w:t xml:space="preserve">Ex-post </w:t>
            </w:r>
          </w:p>
        </w:tc>
      </w:tr>
      <w:tr w:rsidR="0082431E" w:rsidRPr="0082431E" w14:paraId="61D054D2" w14:textId="77777777" w:rsidTr="006B55F6">
        <w:trPr>
          <w:trHeight w:val="293"/>
          <w:jc w:val="center"/>
        </w:trPr>
        <w:tc>
          <w:tcPr>
            <w:tcW w:w="1236" w:type="dxa"/>
            <w:vMerge/>
            <w:tcBorders>
              <w:top w:val="single" w:sz="4" w:space="0" w:color="auto"/>
              <w:left w:val="single" w:sz="4" w:space="0" w:color="auto"/>
              <w:bottom w:val="single" w:sz="4" w:space="0" w:color="auto"/>
              <w:right w:val="nil"/>
            </w:tcBorders>
            <w:shd w:val="clear" w:color="auto" w:fill="0C2577"/>
            <w:vAlign w:val="center"/>
            <w:hideMark/>
          </w:tcPr>
          <w:p w14:paraId="2E4B1679" w14:textId="77777777" w:rsidR="0082431E" w:rsidRPr="0082431E" w:rsidRDefault="0082431E" w:rsidP="00772D6C">
            <w:pPr>
              <w:keepNext/>
              <w:rPr>
                <w:rFonts w:ascii="Arial" w:hAnsi="Arial" w:cs="Arial"/>
                <w:b/>
                <w:bCs/>
                <w:color w:val="FFFFFF"/>
                <w:sz w:val="20"/>
                <w:szCs w:val="20"/>
              </w:rPr>
            </w:pPr>
          </w:p>
        </w:tc>
        <w:tc>
          <w:tcPr>
            <w:tcW w:w="2179" w:type="dxa"/>
            <w:vMerge/>
            <w:tcBorders>
              <w:top w:val="single" w:sz="4" w:space="0" w:color="auto"/>
              <w:left w:val="single" w:sz="4" w:space="0" w:color="FFFFFF"/>
              <w:bottom w:val="single" w:sz="4" w:space="0" w:color="auto"/>
              <w:right w:val="single" w:sz="4" w:space="0" w:color="FFFFFF"/>
            </w:tcBorders>
            <w:shd w:val="clear" w:color="auto" w:fill="0C2577"/>
            <w:vAlign w:val="center"/>
            <w:hideMark/>
          </w:tcPr>
          <w:p w14:paraId="11A9E532" w14:textId="77777777" w:rsidR="0082431E" w:rsidRPr="0082431E" w:rsidRDefault="0082431E" w:rsidP="00772D6C">
            <w:pPr>
              <w:keepNext/>
              <w:rPr>
                <w:rFonts w:ascii="Arial" w:hAnsi="Arial" w:cs="Arial"/>
                <w:b/>
                <w:bCs/>
                <w:color w:val="FFFFFF"/>
                <w:sz w:val="20"/>
                <w:szCs w:val="20"/>
              </w:rPr>
            </w:pPr>
          </w:p>
        </w:tc>
        <w:tc>
          <w:tcPr>
            <w:tcW w:w="2183" w:type="dxa"/>
            <w:vMerge/>
            <w:tcBorders>
              <w:top w:val="single" w:sz="4" w:space="0" w:color="auto"/>
              <w:left w:val="nil"/>
              <w:bottom w:val="single" w:sz="4" w:space="0" w:color="auto"/>
              <w:right w:val="nil"/>
            </w:tcBorders>
            <w:shd w:val="clear" w:color="auto" w:fill="0C2577"/>
            <w:vAlign w:val="center"/>
            <w:hideMark/>
          </w:tcPr>
          <w:p w14:paraId="3DCA5C59" w14:textId="77777777" w:rsidR="0082431E" w:rsidRPr="0082431E" w:rsidRDefault="0082431E" w:rsidP="00772D6C">
            <w:pPr>
              <w:keepNext/>
              <w:rPr>
                <w:rFonts w:ascii="Arial" w:hAnsi="Arial" w:cs="Arial"/>
                <w:b/>
                <w:bCs/>
                <w:color w:val="FFFFFF"/>
                <w:sz w:val="20"/>
                <w:szCs w:val="20"/>
              </w:rPr>
            </w:pPr>
          </w:p>
        </w:tc>
        <w:tc>
          <w:tcPr>
            <w:tcW w:w="2216" w:type="dxa"/>
            <w:vMerge w:val="restart"/>
            <w:tcBorders>
              <w:top w:val="nil"/>
              <w:left w:val="single" w:sz="4" w:space="0" w:color="FFFFFF"/>
              <w:bottom w:val="single" w:sz="4" w:space="0" w:color="auto"/>
              <w:right w:val="single" w:sz="4" w:space="0" w:color="auto"/>
            </w:tcBorders>
            <w:shd w:val="clear" w:color="auto" w:fill="0C2577"/>
            <w:hideMark/>
          </w:tcPr>
          <w:p w14:paraId="17458A1E" w14:textId="77777777" w:rsidR="0082431E" w:rsidRPr="0082431E" w:rsidRDefault="0082431E" w:rsidP="00772D6C">
            <w:pPr>
              <w:keepNext/>
              <w:jc w:val="center"/>
              <w:rPr>
                <w:rFonts w:ascii="Arial" w:hAnsi="Arial" w:cs="Arial"/>
                <w:b/>
                <w:bCs/>
                <w:i/>
                <w:iCs/>
                <w:color w:val="FFFFFF"/>
                <w:sz w:val="20"/>
                <w:szCs w:val="20"/>
              </w:rPr>
            </w:pPr>
            <w:r w:rsidRPr="0082431E">
              <w:rPr>
                <w:rFonts w:ascii="Arial" w:hAnsi="Arial" w:cs="Arial"/>
                <w:b/>
                <w:bCs/>
                <w:i/>
                <w:iCs/>
                <w:color w:val="FFFFFF"/>
                <w:sz w:val="20"/>
                <w:szCs w:val="20"/>
              </w:rPr>
              <w:t>PY2017</w:t>
            </w:r>
          </w:p>
        </w:tc>
      </w:tr>
      <w:tr w:rsidR="0082431E" w:rsidRPr="0082431E" w14:paraId="54D62351" w14:textId="77777777" w:rsidTr="006B55F6">
        <w:trPr>
          <w:trHeight w:val="293"/>
          <w:jc w:val="center"/>
        </w:trPr>
        <w:tc>
          <w:tcPr>
            <w:tcW w:w="1236" w:type="dxa"/>
            <w:vMerge/>
            <w:tcBorders>
              <w:top w:val="single" w:sz="4" w:space="0" w:color="auto"/>
              <w:left w:val="single" w:sz="4" w:space="0" w:color="auto"/>
              <w:bottom w:val="single" w:sz="4" w:space="0" w:color="auto"/>
              <w:right w:val="nil"/>
            </w:tcBorders>
            <w:shd w:val="clear" w:color="auto" w:fill="0C2577"/>
            <w:vAlign w:val="center"/>
            <w:hideMark/>
          </w:tcPr>
          <w:p w14:paraId="1052F7C6" w14:textId="77777777" w:rsidR="0082431E" w:rsidRPr="0082431E" w:rsidRDefault="0082431E" w:rsidP="00772D6C">
            <w:pPr>
              <w:keepNext/>
              <w:rPr>
                <w:rFonts w:ascii="Arial" w:hAnsi="Arial" w:cs="Arial"/>
                <w:b/>
                <w:bCs/>
                <w:color w:val="FFFFFF"/>
                <w:sz w:val="20"/>
                <w:szCs w:val="20"/>
              </w:rPr>
            </w:pPr>
          </w:p>
        </w:tc>
        <w:tc>
          <w:tcPr>
            <w:tcW w:w="2179" w:type="dxa"/>
            <w:vMerge/>
            <w:tcBorders>
              <w:top w:val="single" w:sz="4" w:space="0" w:color="auto"/>
              <w:left w:val="single" w:sz="4" w:space="0" w:color="FFFFFF"/>
              <w:bottom w:val="single" w:sz="4" w:space="0" w:color="auto"/>
              <w:right w:val="single" w:sz="4" w:space="0" w:color="FFFFFF"/>
            </w:tcBorders>
            <w:shd w:val="clear" w:color="auto" w:fill="0C2577"/>
            <w:vAlign w:val="center"/>
            <w:hideMark/>
          </w:tcPr>
          <w:p w14:paraId="59F82797" w14:textId="77777777" w:rsidR="0082431E" w:rsidRPr="0082431E" w:rsidRDefault="0082431E" w:rsidP="00772D6C">
            <w:pPr>
              <w:keepNext/>
              <w:rPr>
                <w:rFonts w:ascii="Arial" w:hAnsi="Arial" w:cs="Arial"/>
                <w:b/>
                <w:bCs/>
                <w:color w:val="FFFFFF"/>
                <w:sz w:val="20"/>
                <w:szCs w:val="20"/>
              </w:rPr>
            </w:pPr>
          </w:p>
        </w:tc>
        <w:tc>
          <w:tcPr>
            <w:tcW w:w="2183" w:type="dxa"/>
            <w:vMerge/>
            <w:tcBorders>
              <w:top w:val="single" w:sz="4" w:space="0" w:color="auto"/>
              <w:left w:val="nil"/>
              <w:bottom w:val="single" w:sz="4" w:space="0" w:color="auto"/>
              <w:right w:val="nil"/>
            </w:tcBorders>
            <w:shd w:val="clear" w:color="auto" w:fill="0C2577"/>
            <w:vAlign w:val="center"/>
            <w:hideMark/>
          </w:tcPr>
          <w:p w14:paraId="2013C2B2" w14:textId="77777777" w:rsidR="0082431E" w:rsidRPr="0082431E" w:rsidRDefault="0082431E" w:rsidP="00772D6C">
            <w:pPr>
              <w:keepNext/>
              <w:rPr>
                <w:rFonts w:ascii="Arial" w:hAnsi="Arial" w:cs="Arial"/>
                <w:b/>
                <w:bCs/>
                <w:color w:val="FFFFFF"/>
                <w:sz w:val="20"/>
                <w:szCs w:val="20"/>
              </w:rPr>
            </w:pPr>
          </w:p>
        </w:tc>
        <w:tc>
          <w:tcPr>
            <w:tcW w:w="2216" w:type="dxa"/>
            <w:vMerge/>
            <w:tcBorders>
              <w:top w:val="nil"/>
              <w:left w:val="single" w:sz="4" w:space="0" w:color="FFFFFF"/>
              <w:bottom w:val="single" w:sz="4" w:space="0" w:color="auto"/>
              <w:right w:val="single" w:sz="4" w:space="0" w:color="auto"/>
            </w:tcBorders>
            <w:shd w:val="clear" w:color="auto" w:fill="0C2577"/>
            <w:vAlign w:val="center"/>
            <w:hideMark/>
          </w:tcPr>
          <w:p w14:paraId="3120DD4A" w14:textId="77777777" w:rsidR="0082431E" w:rsidRPr="0082431E" w:rsidRDefault="0082431E" w:rsidP="00772D6C">
            <w:pPr>
              <w:keepNext/>
              <w:rPr>
                <w:rFonts w:ascii="Arial" w:hAnsi="Arial" w:cs="Arial"/>
                <w:b/>
                <w:bCs/>
                <w:i/>
                <w:iCs/>
                <w:color w:val="FFFFFF"/>
                <w:sz w:val="20"/>
                <w:szCs w:val="20"/>
              </w:rPr>
            </w:pPr>
          </w:p>
        </w:tc>
      </w:tr>
      <w:tr w:rsidR="006431D8" w:rsidRPr="0082431E" w14:paraId="5F63FC1E" w14:textId="77777777" w:rsidTr="00B15225">
        <w:trPr>
          <w:trHeight w:val="247"/>
          <w:jc w:val="center"/>
        </w:trPr>
        <w:tc>
          <w:tcPr>
            <w:tcW w:w="1236" w:type="dxa"/>
            <w:vMerge w:val="restart"/>
            <w:tcBorders>
              <w:top w:val="nil"/>
              <w:left w:val="single" w:sz="4" w:space="0" w:color="auto"/>
              <w:bottom w:val="single" w:sz="4" w:space="0" w:color="auto"/>
              <w:right w:val="nil"/>
            </w:tcBorders>
            <w:shd w:val="clear" w:color="auto" w:fill="auto"/>
            <w:vAlign w:val="center"/>
            <w:hideMark/>
          </w:tcPr>
          <w:p w14:paraId="3615C68C" w14:textId="77777777" w:rsidR="006431D8" w:rsidRPr="0082431E" w:rsidRDefault="006431D8" w:rsidP="00772D6C">
            <w:pPr>
              <w:keepNext/>
              <w:rPr>
                <w:rFonts w:ascii="Arial" w:hAnsi="Arial" w:cs="Arial"/>
                <w:b/>
                <w:bCs/>
                <w:color w:val="000000"/>
                <w:sz w:val="20"/>
                <w:szCs w:val="20"/>
              </w:rPr>
            </w:pPr>
            <w:r w:rsidRPr="0082431E">
              <w:rPr>
                <w:rFonts w:ascii="Arial" w:hAnsi="Arial" w:cs="Arial"/>
                <w:b/>
                <w:bCs/>
                <w:color w:val="000000"/>
                <w:sz w:val="20"/>
                <w:szCs w:val="20"/>
              </w:rPr>
              <w:t>Total</w:t>
            </w:r>
          </w:p>
        </w:tc>
        <w:tc>
          <w:tcPr>
            <w:tcW w:w="2179" w:type="dxa"/>
            <w:tcBorders>
              <w:top w:val="nil"/>
              <w:left w:val="single" w:sz="4" w:space="0" w:color="auto"/>
              <w:bottom w:val="nil"/>
              <w:right w:val="single" w:sz="4" w:space="0" w:color="auto"/>
            </w:tcBorders>
            <w:shd w:val="clear" w:color="000000" w:fill="FFFFFF"/>
            <w:vAlign w:val="center"/>
            <w:hideMark/>
          </w:tcPr>
          <w:p w14:paraId="7C6EC6D1" w14:textId="12E2B345" w:rsidR="006431D8" w:rsidRPr="0082431E" w:rsidRDefault="006431D8" w:rsidP="00772D6C">
            <w:pPr>
              <w:keepNext/>
              <w:rPr>
                <w:rFonts w:ascii="Arial" w:hAnsi="Arial" w:cs="Arial"/>
                <w:color w:val="000000"/>
                <w:sz w:val="20"/>
                <w:szCs w:val="20"/>
              </w:rPr>
            </w:pPr>
            <w:r w:rsidRPr="0082431E">
              <w:rPr>
                <w:rFonts w:ascii="Arial" w:hAnsi="Arial" w:cs="Arial"/>
                <w:color w:val="000000"/>
                <w:sz w:val="20"/>
                <w:szCs w:val="20"/>
              </w:rPr>
              <w:t xml:space="preserve"># </w:t>
            </w:r>
            <w:r w:rsidR="00DF5A48">
              <w:rPr>
                <w:rFonts w:ascii="Arial" w:hAnsi="Arial" w:cs="Arial"/>
                <w:color w:val="000000"/>
                <w:sz w:val="20"/>
                <w:szCs w:val="20"/>
              </w:rPr>
              <w:t>Customers</w:t>
            </w:r>
          </w:p>
        </w:tc>
        <w:tc>
          <w:tcPr>
            <w:tcW w:w="2183" w:type="dxa"/>
            <w:tcBorders>
              <w:top w:val="single" w:sz="4" w:space="0" w:color="auto"/>
              <w:left w:val="nil"/>
              <w:bottom w:val="nil"/>
              <w:right w:val="single" w:sz="4" w:space="0" w:color="auto"/>
            </w:tcBorders>
            <w:shd w:val="clear" w:color="000000" w:fill="FFFFFF"/>
            <w:vAlign w:val="center"/>
            <w:hideMark/>
          </w:tcPr>
          <w:p w14:paraId="40CE3796" w14:textId="77777777" w:rsidR="006431D8" w:rsidRPr="0082431E" w:rsidRDefault="006431D8" w:rsidP="00772D6C">
            <w:pPr>
              <w:keepNext/>
              <w:jc w:val="center"/>
              <w:rPr>
                <w:rFonts w:ascii="Arial" w:hAnsi="Arial" w:cs="Arial"/>
                <w:color w:val="000000"/>
                <w:sz w:val="20"/>
                <w:szCs w:val="20"/>
              </w:rPr>
            </w:pPr>
            <w:r w:rsidRPr="0082431E">
              <w:rPr>
                <w:rFonts w:ascii="Arial" w:hAnsi="Arial" w:cs="Arial"/>
                <w:color w:val="000000"/>
                <w:sz w:val="20"/>
                <w:szCs w:val="20"/>
              </w:rPr>
              <w:t>330</w:t>
            </w:r>
          </w:p>
        </w:tc>
        <w:tc>
          <w:tcPr>
            <w:tcW w:w="2216" w:type="dxa"/>
            <w:tcBorders>
              <w:top w:val="nil"/>
              <w:left w:val="nil"/>
              <w:bottom w:val="nil"/>
              <w:right w:val="single" w:sz="4" w:space="0" w:color="auto"/>
            </w:tcBorders>
            <w:shd w:val="clear" w:color="000000" w:fill="FFFFFF"/>
            <w:vAlign w:val="center"/>
            <w:hideMark/>
          </w:tcPr>
          <w:p w14:paraId="4237527A" w14:textId="13B6A36C" w:rsidR="006431D8" w:rsidRPr="0082431E" w:rsidRDefault="006431D8" w:rsidP="00772D6C">
            <w:pPr>
              <w:keepNext/>
              <w:jc w:val="center"/>
              <w:rPr>
                <w:rFonts w:ascii="Arial" w:hAnsi="Arial" w:cs="Arial"/>
                <w:color w:val="000000"/>
                <w:sz w:val="20"/>
                <w:szCs w:val="20"/>
              </w:rPr>
            </w:pPr>
            <w:r>
              <w:rPr>
                <w:rFonts w:ascii="Arial" w:hAnsi="Arial" w:cs="Arial"/>
                <w:color w:val="000000"/>
                <w:sz w:val="20"/>
                <w:szCs w:val="20"/>
              </w:rPr>
              <w:t>331</w:t>
            </w:r>
          </w:p>
        </w:tc>
      </w:tr>
      <w:tr w:rsidR="006431D8" w:rsidRPr="0082431E" w14:paraId="383F5E09" w14:textId="77777777" w:rsidTr="00B15225">
        <w:trPr>
          <w:trHeight w:val="247"/>
          <w:jc w:val="center"/>
        </w:trPr>
        <w:tc>
          <w:tcPr>
            <w:tcW w:w="1236" w:type="dxa"/>
            <w:vMerge/>
            <w:tcBorders>
              <w:top w:val="nil"/>
              <w:left w:val="single" w:sz="4" w:space="0" w:color="auto"/>
              <w:bottom w:val="single" w:sz="4" w:space="0" w:color="auto"/>
              <w:right w:val="nil"/>
            </w:tcBorders>
            <w:vAlign w:val="center"/>
            <w:hideMark/>
          </w:tcPr>
          <w:p w14:paraId="19CBF706" w14:textId="77777777" w:rsidR="006431D8" w:rsidRPr="0082431E" w:rsidRDefault="006431D8" w:rsidP="00772D6C">
            <w:pPr>
              <w:keepNext/>
              <w:rPr>
                <w:rFonts w:ascii="Arial" w:hAnsi="Arial" w:cs="Arial"/>
                <w:b/>
                <w:bCs/>
                <w:color w:val="000000"/>
                <w:sz w:val="20"/>
                <w:szCs w:val="20"/>
              </w:rPr>
            </w:pPr>
          </w:p>
        </w:tc>
        <w:tc>
          <w:tcPr>
            <w:tcW w:w="2179" w:type="dxa"/>
            <w:tcBorders>
              <w:top w:val="nil"/>
              <w:left w:val="single" w:sz="4" w:space="0" w:color="auto"/>
              <w:bottom w:val="nil"/>
              <w:right w:val="single" w:sz="4" w:space="0" w:color="auto"/>
            </w:tcBorders>
            <w:shd w:val="clear" w:color="000000" w:fill="FFFFFF"/>
            <w:vAlign w:val="center"/>
            <w:hideMark/>
          </w:tcPr>
          <w:p w14:paraId="40D058C7" w14:textId="5BBB8DDE" w:rsidR="006431D8" w:rsidRPr="0082431E" w:rsidRDefault="006431D8" w:rsidP="00772D6C">
            <w:pPr>
              <w:keepNext/>
              <w:rPr>
                <w:rFonts w:ascii="Arial" w:hAnsi="Arial" w:cs="Arial"/>
                <w:color w:val="000000"/>
                <w:sz w:val="20"/>
                <w:szCs w:val="20"/>
              </w:rPr>
            </w:pPr>
            <w:r w:rsidRPr="0082431E">
              <w:rPr>
                <w:rFonts w:ascii="Arial" w:hAnsi="Arial" w:cs="Arial"/>
                <w:color w:val="000000"/>
                <w:sz w:val="20"/>
                <w:szCs w:val="20"/>
              </w:rPr>
              <w:t>Reference (MW</w:t>
            </w:r>
            <w:r>
              <w:rPr>
                <w:rFonts w:ascii="Arial" w:hAnsi="Arial" w:cs="Arial"/>
                <w:color w:val="000000"/>
                <w:sz w:val="20"/>
                <w:szCs w:val="20"/>
              </w:rPr>
              <w:t>h/h</w:t>
            </w:r>
            <w:r w:rsidRPr="0082431E">
              <w:rPr>
                <w:rFonts w:ascii="Arial" w:hAnsi="Arial" w:cs="Arial"/>
                <w:color w:val="000000"/>
                <w:sz w:val="20"/>
                <w:szCs w:val="20"/>
              </w:rPr>
              <w:t>)</w:t>
            </w:r>
          </w:p>
        </w:tc>
        <w:tc>
          <w:tcPr>
            <w:tcW w:w="2183" w:type="dxa"/>
            <w:tcBorders>
              <w:top w:val="nil"/>
              <w:left w:val="nil"/>
              <w:bottom w:val="nil"/>
              <w:right w:val="single" w:sz="4" w:space="0" w:color="auto"/>
            </w:tcBorders>
            <w:shd w:val="clear" w:color="000000" w:fill="FFFFFF"/>
            <w:vAlign w:val="center"/>
            <w:hideMark/>
          </w:tcPr>
          <w:p w14:paraId="13EA9B98" w14:textId="77777777" w:rsidR="006431D8" w:rsidRPr="0082431E" w:rsidRDefault="006431D8" w:rsidP="00772D6C">
            <w:pPr>
              <w:keepNext/>
              <w:jc w:val="center"/>
              <w:rPr>
                <w:rFonts w:ascii="Arial" w:hAnsi="Arial" w:cs="Arial"/>
                <w:color w:val="000000"/>
                <w:sz w:val="20"/>
                <w:szCs w:val="20"/>
              </w:rPr>
            </w:pPr>
            <w:r w:rsidRPr="0082431E">
              <w:rPr>
                <w:rFonts w:ascii="Arial" w:hAnsi="Arial" w:cs="Arial"/>
                <w:color w:val="000000"/>
                <w:sz w:val="20"/>
                <w:szCs w:val="20"/>
              </w:rPr>
              <w:t>386.6</w:t>
            </w:r>
          </w:p>
        </w:tc>
        <w:tc>
          <w:tcPr>
            <w:tcW w:w="2216" w:type="dxa"/>
            <w:tcBorders>
              <w:top w:val="nil"/>
              <w:left w:val="nil"/>
              <w:bottom w:val="nil"/>
              <w:right w:val="single" w:sz="4" w:space="0" w:color="auto"/>
            </w:tcBorders>
            <w:shd w:val="clear" w:color="000000" w:fill="FFFFFF"/>
            <w:vAlign w:val="center"/>
            <w:hideMark/>
          </w:tcPr>
          <w:p w14:paraId="2A5FCCC5" w14:textId="2AA49BAA" w:rsidR="006431D8" w:rsidRPr="0082431E" w:rsidRDefault="006431D8" w:rsidP="00772D6C">
            <w:pPr>
              <w:keepNext/>
              <w:jc w:val="center"/>
              <w:rPr>
                <w:rFonts w:ascii="Arial" w:hAnsi="Arial" w:cs="Arial"/>
                <w:color w:val="000000"/>
                <w:sz w:val="20"/>
                <w:szCs w:val="20"/>
              </w:rPr>
            </w:pPr>
            <w:r>
              <w:rPr>
                <w:rFonts w:ascii="Arial" w:hAnsi="Arial" w:cs="Arial"/>
                <w:color w:val="000000"/>
                <w:sz w:val="20"/>
                <w:szCs w:val="20"/>
              </w:rPr>
              <w:t>343.6</w:t>
            </w:r>
          </w:p>
        </w:tc>
      </w:tr>
      <w:tr w:rsidR="006431D8" w:rsidRPr="0082431E" w14:paraId="69218AD9" w14:textId="77777777" w:rsidTr="00B15225">
        <w:trPr>
          <w:trHeight w:val="247"/>
          <w:jc w:val="center"/>
        </w:trPr>
        <w:tc>
          <w:tcPr>
            <w:tcW w:w="1236" w:type="dxa"/>
            <w:vMerge/>
            <w:tcBorders>
              <w:top w:val="nil"/>
              <w:left w:val="single" w:sz="4" w:space="0" w:color="auto"/>
              <w:bottom w:val="single" w:sz="4" w:space="0" w:color="auto"/>
              <w:right w:val="nil"/>
            </w:tcBorders>
            <w:vAlign w:val="center"/>
            <w:hideMark/>
          </w:tcPr>
          <w:p w14:paraId="72074925" w14:textId="77777777" w:rsidR="006431D8" w:rsidRPr="0082431E" w:rsidRDefault="006431D8" w:rsidP="00772D6C">
            <w:pPr>
              <w:keepNext/>
              <w:rPr>
                <w:rFonts w:ascii="Arial" w:hAnsi="Arial" w:cs="Arial"/>
                <w:b/>
                <w:bCs/>
                <w:color w:val="000000"/>
                <w:sz w:val="20"/>
                <w:szCs w:val="20"/>
              </w:rPr>
            </w:pPr>
          </w:p>
        </w:tc>
        <w:tc>
          <w:tcPr>
            <w:tcW w:w="2179" w:type="dxa"/>
            <w:tcBorders>
              <w:top w:val="nil"/>
              <w:left w:val="single" w:sz="4" w:space="0" w:color="auto"/>
              <w:bottom w:val="single" w:sz="4" w:space="0" w:color="auto"/>
              <w:right w:val="single" w:sz="4" w:space="0" w:color="auto"/>
            </w:tcBorders>
            <w:shd w:val="clear" w:color="000000" w:fill="FFFFFF"/>
            <w:vAlign w:val="center"/>
            <w:hideMark/>
          </w:tcPr>
          <w:p w14:paraId="1C8E1465" w14:textId="09AA4387" w:rsidR="006431D8" w:rsidRPr="0082431E" w:rsidRDefault="006431D8" w:rsidP="00772D6C">
            <w:pPr>
              <w:keepNext/>
              <w:rPr>
                <w:rFonts w:ascii="Arial" w:hAnsi="Arial" w:cs="Arial"/>
                <w:color w:val="000000"/>
                <w:sz w:val="20"/>
                <w:szCs w:val="20"/>
              </w:rPr>
            </w:pPr>
            <w:r w:rsidRPr="0082431E">
              <w:rPr>
                <w:rFonts w:ascii="Arial" w:hAnsi="Arial" w:cs="Arial"/>
                <w:color w:val="000000"/>
                <w:sz w:val="20"/>
                <w:szCs w:val="20"/>
              </w:rPr>
              <w:t>Load Impact (MW</w:t>
            </w:r>
            <w:r>
              <w:rPr>
                <w:rFonts w:ascii="Arial" w:hAnsi="Arial" w:cs="Arial"/>
                <w:color w:val="000000"/>
                <w:sz w:val="20"/>
                <w:szCs w:val="20"/>
              </w:rPr>
              <w:t>h/h</w:t>
            </w:r>
            <w:r w:rsidRPr="0082431E">
              <w:rPr>
                <w:rFonts w:ascii="Arial" w:hAnsi="Arial" w:cs="Arial"/>
                <w:color w:val="000000"/>
                <w:sz w:val="20"/>
                <w:szCs w:val="20"/>
              </w:rPr>
              <w:t>)</w:t>
            </w:r>
          </w:p>
        </w:tc>
        <w:tc>
          <w:tcPr>
            <w:tcW w:w="2183" w:type="dxa"/>
            <w:tcBorders>
              <w:top w:val="nil"/>
              <w:left w:val="nil"/>
              <w:bottom w:val="single" w:sz="4" w:space="0" w:color="auto"/>
              <w:right w:val="single" w:sz="4" w:space="0" w:color="auto"/>
            </w:tcBorders>
            <w:shd w:val="clear" w:color="000000" w:fill="FFFFFF"/>
            <w:vAlign w:val="center"/>
            <w:hideMark/>
          </w:tcPr>
          <w:p w14:paraId="11B1153A" w14:textId="77777777" w:rsidR="006431D8" w:rsidRPr="0082431E" w:rsidRDefault="006431D8" w:rsidP="00772D6C">
            <w:pPr>
              <w:keepNext/>
              <w:jc w:val="center"/>
              <w:rPr>
                <w:rFonts w:ascii="Arial" w:hAnsi="Arial" w:cs="Arial"/>
                <w:color w:val="000000"/>
                <w:sz w:val="20"/>
                <w:szCs w:val="20"/>
              </w:rPr>
            </w:pPr>
            <w:r w:rsidRPr="0082431E">
              <w:rPr>
                <w:rFonts w:ascii="Arial" w:hAnsi="Arial" w:cs="Arial"/>
                <w:color w:val="000000"/>
                <w:sz w:val="20"/>
                <w:szCs w:val="20"/>
              </w:rPr>
              <w:t>300.1</w:t>
            </w:r>
          </w:p>
        </w:tc>
        <w:tc>
          <w:tcPr>
            <w:tcW w:w="2216" w:type="dxa"/>
            <w:tcBorders>
              <w:top w:val="nil"/>
              <w:left w:val="nil"/>
              <w:bottom w:val="single" w:sz="4" w:space="0" w:color="auto"/>
              <w:right w:val="single" w:sz="4" w:space="0" w:color="auto"/>
            </w:tcBorders>
            <w:shd w:val="clear" w:color="000000" w:fill="FFFFFF"/>
            <w:vAlign w:val="center"/>
            <w:hideMark/>
          </w:tcPr>
          <w:p w14:paraId="5187FDD4" w14:textId="4B45E4D6" w:rsidR="006431D8" w:rsidRPr="0082431E" w:rsidRDefault="006431D8" w:rsidP="00772D6C">
            <w:pPr>
              <w:keepNext/>
              <w:jc w:val="center"/>
              <w:rPr>
                <w:rFonts w:ascii="Arial" w:hAnsi="Arial" w:cs="Arial"/>
                <w:color w:val="000000"/>
                <w:sz w:val="20"/>
                <w:szCs w:val="20"/>
              </w:rPr>
            </w:pPr>
            <w:r>
              <w:rPr>
                <w:rFonts w:ascii="Arial" w:hAnsi="Arial" w:cs="Arial"/>
                <w:color w:val="000000"/>
                <w:sz w:val="20"/>
                <w:szCs w:val="20"/>
              </w:rPr>
              <w:t>195.4</w:t>
            </w:r>
          </w:p>
        </w:tc>
      </w:tr>
      <w:tr w:rsidR="006431D8" w:rsidRPr="0082431E" w14:paraId="13000E7A" w14:textId="77777777" w:rsidTr="00B15225">
        <w:trPr>
          <w:trHeight w:val="247"/>
          <w:jc w:val="center"/>
        </w:trPr>
        <w:tc>
          <w:tcPr>
            <w:tcW w:w="1236" w:type="dxa"/>
            <w:vMerge w:val="restart"/>
            <w:tcBorders>
              <w:top w:val="nil"/>
              <w:left w:val="single" w:sz="4" w:space="0" w:color="auto"/>
              <w:bottom w:val="single" w:sz="4" w:space="0" w:color="auto"/>
              <w:right w:val="nil"/>
            </w:tcBorders>
            <w:shd w:val="clear" w:color="auto" w:fill="auto"/>
            <w:vAlign w:val="center"/>
            <w:hideMark/>
          </w:tcPr>
          <w:p w14:paraId="46D8A90F" w14:textId="73117ACB" w:rsidR="006431D8" w:rsidRPr="0082431E" w:rsidRDefault="006431D8" w:rsidP="00772D6C">
            <w:pPr>
              <w:keepNext/>
              <w:rPr>
                <w:rFonts w:ascii="Arial" w:hAnsi="Arial" w:cs="Arial"/>
                <w:b/>
                <w:bCs/>
                <w:color w:val="000000"/>
                <w:sz w:val="20"/>
                <w:szCs w:val="20"/>
              </w:rPr>
            </w:pPr>
            <w:r w:rsidRPr="0082431E">
              <w:rPr>
                <w:rFonts w:ascii="Arial" w:hAnsi="Arial" w:cs="Arial"/>
                <w:b/>
                <w:bCs/>
                <w:color w:val="000000"/>
                <w:sz w:val="20"/>
                <w:szCs w:val="20"/>
              </w:rPr>
              <w:t xml:space="preserve">Per </w:t>
            </w:r>
            <w:r w:rsidR="00DF5A48">
              <w:rPr>
                <w:rFonts w:ascii="Arial" w:hAnsi="Arial" w:cs="Arial"/>
                <w:b/>
                <w:bCs/>
                <w:color w:val="000000"/>
                <w:sz w:val="20"/>
                <w:szCs w:val="20"/>
              </w:rPr>
              <w:t>Customer</w:t>
            </w:r>
          </w:p>
        </w:tc>
        <w:tc>
          <w:tcPr>
            <w:tcW w:w="2179" w:type="dxa"/>
            <w:tcBorders>
              <w:top w:val="nil"/>
              <w:left w:val="single" w:sz="4" w:space="0" w:color="auto"/>
              <w:bottom w:val="nil"/>
              <w:right w:val="single" w:sz="4" w:space="0" w:color="auto"/>
            </w:tcBorders>
            <w:shd w:val="clear" w:color="000000" w:fill="FFFFFF"/>
            <w:vAlign w:val="center"/>
            <w:hideMark/>
          </w:tcPr>
          <w:p w14:paraId="00DA7274" w14:textId="2667506C" w:rsidR="006431D8" w:rsidRPr="0082431E" w:rsidRDefault="006431D8" w:rsidP="00772D6C">
            <w:pPr>
              <w:keepNext/>
              <w:rPr>
                <w:rFonts w:ascii="Arial" w:hAnsi="Arial" w:cs="Arial"/>
                <w:color w:val="000000"/>
                <w:sz w:val="20"/>
                <w:szCs w:val="20"/>
              </w:rPr>
            </w:pPr>
            <w:r w:rsidRPr="0082431E">
              <w:rPr>
                <w:rFonts w:ascii="Arial" w:hAnsi="Arial" w:cs="Arial"/>
                <w:color w:val="000000"/>
                <w:sz w:val="20"/>
                <w:szCs w:val="20"/>
              </w:rPr>
              <w:t>Reference (kW</w:t>
            </w:r>
            <w:r>
              <w:rPr>
                <w:rFonts w:ascii="Arial" w:hAnsi="Arial" w:cs="Arial"/>
                <w:color w:val="000000"/>
                <w:sz w:val="20"/>
                <w:szCs w:val="20"/>
              </w:rPr>
              <w:t>h/h</w:t>
            </w:r>
            <w:r w:rsidRPr="0082431E">
              <w:rPr>
                <w:rFonts w:ascii="Arial" w:hAnsi="Arial" w:cs="Arial"/>
                <w:color w:val="000000"/>
                <w:sz w:val="20"/>
                <w:szCs w:val="20"/>
              </w:rPr>
              <w:t>)</w:t>
            </w:r>
          </w:p>
        </w:tc>
        <w:tc>
          <w:tcPr>
            <w:tcW w:w="2183" w:type="dxa"/>
            <w:tcBorders>
              <w:top w:val="nil"/>
              <w:left w:val="nil"/>
              <w:bottom w:val="nil"/>
              <w:right w:val="single" w:sz="4" w:space="0" w:color="auto"/>
            </w:tcBorders>
            <w:shd w:val="clear" w:color="000000" w:fill="FFFFFF"/>
            <w:vAlign w:val="center"/>
            <w:hideMark/>
          </w:tcPr>
          <w:p w14:paraId="576582FD" w14:textId="77777777" w:rsidR="006431D8" w:rsidRPr="0082431E" w:rsidRDefault="006431D8" w:rsidP="00772D6C">
            <w:pPr>
              <w:keepNext/>
              <w:jc w:val="center"/>
              <w:rPr>
                <w:rFonts w:ascii="Arial" w:hAnsi="Arial" w:cs="Arial"/>
                <w:color w:val="000000"/>
                <w:sz w:val="20"/>
                <w:szCs w:val="20"/>
              </w:rPr>
            </w:pPr>
            <w:r w:rsidRPr="0082431E">
              <w:rPr>
                <w:rFonts w:ascii="Arial" w:hAnsi="Arial" w:cs="Arial"/>
                <w:color w:val="000000"/>
                <w:sz w:val="20"/>
                <w:szCs w:val="20"/>
              </w:rPr>
              <w:t>1,171.6</w:t>
            </w:r>
          </w:p>
        </w:tc>
        <w:tc>
          <w:tcPr>
            <w:tcW w:w="2216" w:type="dxa"/>
            <w:tcBorders>
              <w:top w:val="nil"/>
              <w:left w:val="nil"/>
              <w:bottom w:val="nil"/>
              <w:right w:val="single" w:sz="4" w:space="0" w:color="auto"/>
            </w:tcBorders>
            <w:shd w:val="clear" w:color="000000" w:fill="FFFFFF"/>
            <w:vAlign w:val="center"/>
            <w:hideMark/>
          </w:tcPr>
          <w:p w14:paraId="6C5EFC40" w14:textId="75A15C41" w:rsidR="006431D8" w:rsidRPr="0082431E" w:rsidRDefault="006431D8" w:rsidP="00772D6C">
            <w:pPr>
              <w:keepNext/>
              <w:jc w:val="center"/>
              <w:rPr>
                <w:rFonts w:ascii="Arial" w:hAnsi="Arial" w:cs="Arial"/>
                <w:color w:val="000000"/>
                <w:sz w:val="20"/>
                <w:szCs w:val="20"/>
              </w:rPr>
            </w:pPr>
            <w:r>
              <w:rPr>
                <w:rFonts w:ascii="Arial" w:hAnsi="Arial" w:cs="Arial"/>
                <w:color w:val="000000"/>
                <w:sz w:val="20"/>
                <w:szCs w:val="20"/>
              </w:rPr>
              <w:t>1,038.2</w:t>
            </w:r>
          </w:p>
        </w:tc>
      </w:tr>
      <w:tr w:rsidR="006431D8" w:rsidRPr="0082431E" w14:paraId="722880D4" w14:textId="77777777" w:rsidTr="00B15225">
        <w:trPr>
          <w:trHeight w:val="247"/>
          <w:jc w:val="center"/>
        </w:trPr>
        <w:tc>
          <w:tcPr>
            <w:tcW w:w="1236" w:type="dxa"/>
            <w:vMerge/>
            <w:tcBorders>
              <w:top w:val="nil"/>
              <w:left w:val="single" w:sz="4" w:space="0" w:color="auto"/>
              <w:bottom w:val="single" w:sz="4" w:space="0" w:color="auto"/>
              <w:right w:val="nil"/>
            </w:tcBorders>
            <w:vAlign w:val="center"/>
            <w:hideMark/>
          </w:tcPr>
          <w:p w14:paraId="04380F1A" w14:textId="77777777" w:rsidR="006431D8" w:rsidRPr="0082431E" w:rsidRDefault="006431D8" w:rsidP="00772D6C">
            <w:pPr>
              <w:keepNext/>
              <w:rPr>
                <w:rFonts w:ascii="Arial" w:hAnsi="Arial" w:cs="Arial"/>
                <w:b/>
                <w:bCs/>
                <w:color w:val="000000"/>
                <w:sz w:val="20"/>
                <w:szCs w:val="20"/>
              </w:rPr>
            </w:pPr>
          </w:p>
        </w:tc>
        <w:tc>
          <w:tcPr>
            <w:tcW w:w="2179" w:type="dxa"/>
            <w:tcBorders>
              <w:top w:val="nil"/>
              <w:left w:val="single" w:sz="4" w:space="0" w:color="auto"/>
              <w:bottom w:val="nil"/>
              <w:right w:val="single" w:sz="4" w:space="0" w:color="auto"/>
            </w:tcBorders>
            <w:shd w:val="clear" w:color="000000" w:fill="FFFFFF"/>
            <w:vAlign w:val="center"/>
            <w:hideMark/>
          </w:tcPr>
          <w:p w14:paraId="75A8156F" w14:textId="297B5B9A" w:rsidR="006431D8" w:rsidRPr="0082431E" w:rsidRDefault="006431D8" w:rsidP="00772D6C">
            <w:pPr>
              <w:keepNext/>
              <w:rPr>
                <w:rFonts w:ascii="Arial" w:hAnsi="Arial" w:cs="Arial"/>
                <w:color w:val="000000"/>
                <w:sz w:val="20"/>
                <w:szCs w:val="20"/>
              </w:rPr>
            </w:pPr>
            <w:r w:rsidRPr="0082431E">
              <w:rPr>
                <w:rFonts w:ascii="Arial" w:hAnsi="Arial" w:cs="Arial"/>
                <w:color w:val="000000"/>
                <w:sz w:val="20"/>
                <w:szCs w:val="20"/>
              </w:rPr>
              <w:t>Load Impact (kW</w:t>
            </w:r>
            <w:r>
              <w:rPr>
                <w:rFonts w:ascii="Arial" w:hAnsi="Arial" w:cs="Arial"/>
                <w:color w:val="000000"/>
                <w:sz w:val="20"/>
                <w:szCs w:val="20"/>
              </w:rPr>
              <w:t>h/h</w:t>
            </w:r>
            <w:r w:rsidRPr="0082431E">
              <w:rPr>
                <w:rFonts w:ascii="Arial" w:hAnsi="Arial" w:cs="Arial"/>
                <w:color w:val="000000"/>
                <w:sz w:val="20"/>
                <w:szCs w:val="20"/>
              </w:rPr>
              <w:t>)</w:t>
            </w:r>
          </w:p>
        </w:tc>
        <w:tc>
          <w:tcPr>
            <w:tcW w:w="2183" w:type="dxa"/>
            <w:tcBorders>
              <w:top w:val="nil"/>
              <w:left w:val="nil"/>
              <w:bottom w:val="nil"/>
              <w:right w:val="single" w:sz="4" w:space="0" w:color="auto"/>
            </w:tcBorders>
            <w:shd w:val="clear" w:color="000000" w:fill="FFFFFF"/>
            <w:vAlign w:val="center"/>
            <w:hideMark/>
          </w:tcPr>
          <w:p w14:paraId="4C4B3DFB" w14:textId="77777777" w:rsidR="006431D8" w:rsidRPr="0082431E" w:rsidRDefault="006431D8" w:rsidP="00772D6C">
            <w:pPr>
              <w:keepNext/>
              <w:jc w:val="center"/>
              <w:rPr>
                <w:rFonts w:ascii="Arial" w:hAnsi="Arial" w:cs="Arial"/>
                <w:color w:val="000000"/>
                <w:sz w:val="20"/>
                <w:szCs w:val="20"/>
              </w:rPr>
            </w:pPr>
            <w:r w:rsidRPr="0082431E">
              <w:rPr>
                <w:rFonts w:ascii="Arial" w:hAnsi="Arial" w:cs="Arial"/>
                <w:color w:val="000000"/>
                <w:sz w:val="20"/>
                <w:szCs w:val="20"/>
              </w:rPr>
              <w:t>909.5</w:t>
            </w:r>
          </w:p>
        </w:tc>
        <w:tc>
          <w:tcPr>
            <w:tcW w:w="2216" w:type="dxa"/>
            <w:tcBorders>
              <w:top w:val="nil"/>
              <w:left w:val="nil"/>
              <w:bottom w:val="nil"/>
              <w:right w:val="single" w:sz="4" w:space="0" w:color="auto"/>
            </w:tcBorders>
            <w:shd w:val="clear" w:color="000000" w:fill="FFFFFF"/>
            <w:vAlign w:val="center"/>
            <w:hideMark/>
          </w:tcPr>
          <w:p w14:paraId="7D95AD5B" w14:textId="709EC553" w:rsidR="006431D8" w:rsidRPr="0082431E" w:rsidRDefault="006431D8" w:rsidP="00772D6C">
            <w:pPr>
              <w:keepNext/>
              <w:jc w:val="center"/>
              <w:rPr>
                <w:rFonts w:ascii="Arial" w:hAnsi="Arial" w:cs="Arial"/>
                <w:color w:val="000000"/>
                <w:sz w:val="20"/>
                <w:szCs w:val="20"/>
              </w:rPr>
            </w:pPr>
            <w:r>
              <w:rPr>
                <w:rFonts w:ascii="Arial" w:hAnsi="Arial" w:cs="Arial"/>
                <w:color w:val="000000"/>
                <w:sz w:val="20"/>
                <w:szCs w:val="20"/>
              </w:rPr>
              <w:t>590.4</w:t>
            </w:r>
          </w:p>
        </w:tc>
      </w:tr>
      <w:tr w:rsidR="006431D8" w:rsidRPr="0082431E" w14:paraId="044C7488" w14:textId="77777777" w:rsidTr="00B15225">
        <w:trPr>
          <w:trHeight w:val="247"/>
          <w:jc w:val="center"/>
        </w:trPr>
        <w:tc>
          <w:tcPr>
            <w:tcW w:w="1236" w:type="dxa"/>
            <w:vMerge/>
            <w:tcBorders>
              <w:top w:val="nil"/>
              <w:left w:val="single" w:sz="4" w:space="0" w:color="auto"/>
              <w:bottom w:val="single" w:sz="4" w:space="0" w:color="auto"/>
              <w:right w:val="nil"/>
            </w:tcBorders>
            <w:vAlign w:val="center"/>
            <w:hideMark/>
          </w:tcPr>
          <w:p w14:paraId="16E34020" w14:textId="77777777" w:rsidR="006431D8" w:rsidRPr="0082431E" w:rsidRDefault="006431D8" w:rsidP="00772D6C">
            <w:pPr>
              <w:keepNext/>
              <w:rPr>
                <w:rFonts w:ascii="Arial" w:hAnsi="Arial" w:cs="Arial"/>
                <w:b/>
                <w:bCs/>
                <w:color w:val="000000"/>
                <w:sz w:val="20"/>
                <w:szCs w:val="20"/>
              </w:rPr>
            </w:pPr>
          </w:p>
        </w:tc>
        <w:tc>
          <w:tcPr>
            <w:tcW w:w="2179" w:type="dxa"/>
            <w:tcBorders>
              <w:top w:val="nil"/>
              <w:left w:val="single" w:sz="4" w:space="0" w:color="auto"/>
              <w:bottom w:val="single" w:sz="4" w:space="0" w:color="auto"/>
              <w:right w:val="single" w:sz="4" w:space="0" w:color="auto"/>
            </w:tcBorders>
            <w:shd w:val="clear" w:color="000000" w:fill="FFFFFF"/>
            <w:vAlign w:val="center"/>
            <w:hideMark/>
          </w:tcPr>
          <w:p w14:paraId="271FCFE3" w14:textId="77777777" w:rsidR="006431D8" w:rsidRPr="0082431E" w:rsidRDefault="006431D8" w:rsidP="00772D6C">
            <w:pPr>
              <w:keepNext/>
              <w:rPr>
                <w:rFonts w:ascii="Arial" w:hAnsi="Arial" w:cs="Arial"/>
                <w:color w:val="000000"/>
                <w:sz w:val="20"/>
                <w:szCs w:val="20"/>
              </w:rPr>
            </w:pPr>
            <w:r w:rsidRPr="0082431E">
              <w:rPr>
                <w:rFonts w:ascii="Arial" w:hAnsi="Arial" w:cs="Arial"/>
                <w:color w:val="000000"/>
                <w:sz w:val="20"/>
                <w:szCs w:val="20"/>
              </w:rPr>
              <w:t>% Load Impact</w:t>
            </w:r>
          </w:p>
        </w:tc>
        <w:tc>
          <w:tcPr>
            <w:tcW w:w="2183" w:type="dxa"/>
            <w:tcBorders>
              <w:top w:val="nil"/>
              <w:left w:val="nil"/>
              <w:bottom w:val="single" w:sz="4" w:space="0" w:color="auto"/>
              <w:right w:val="single" w:sz="4" w:space="0" w:color="auto"/>
            </w:tcBorders>
            <w:shd w:val="clear" w:color="000000" w:fill="FFFFFF"/>
            <w:vAlign w:val="center"/>
            <w:hideMark/>
          </w:tcPr>
          <w:p w14:paraId="0A76FD27" w14:textId="12EEC678" w:rsidR="006431D8" w:rsidRPr="0082431E" w:rsidRDefault="006431D8" w:rsidP="00772D6C">
            <w:pPr>
              <w:keepNext/>
              <w:jc w:val="center"/>
              <w:rPr>
                <w:rFonts w:ascii="Arial" w:hAnsi="Arial" w:cs="Arial"/>
                <w:color w:val="000000"/>
                <w:sz w:val="20"/>
                <w:szCs w:val="20"/>
              </w:rPr>
            </w:pPr>
            <w:r w:rsidRPr="0082431E">
              <w:rPr>
                <w:rFonts w:ascii="Arial" w:hAnsi="Arial" w:cs="Arial"/>
                <w:color w:val="000000"/>
                <w:sz w:val="20"/>
                <w:szCs w:val="20"/>
              </w:rPr>
              <w:t>77.6%</w:t>
            </w:r>
          </w:p>
        </w:tc>
        <w:tc>
          <w:tcPr>
            <w:tcW w:w="2216" w:type="dxa"/>
            <w:tcBorders>
              <w:top w:val="nil"/>
              <w:left w:val="nil"/>
              <w:bottom w:val="single" w:sz="4" w:space="0" w:color="auto"/>
              <w:right w:val="single" w:sz="4" w:space="0" w:color="auto"/>
            </w:tcBorders>
            <w:shd w:val="clear" w:color="000000" w:fill="FFFFFF"/>
            <w:vAlign w:val="center"/>
            <w:hideMark/>
          </w:tcPr>
          <w:p w14:paraId="11DA71CD" w14:textId="66082F70" w:rsidR="006431D8" w:rsidRPr="0082431E" w:rsidRDefault="006431D8" w:rsidP="00772D6C">
            <w:pPr>
              <w:keepNext/>
              <w:jc w:val="center"/>
              <w:rPr>
                <w:rFonts w:ascii="Arial" w:hAnsi="Arial" w:cs="Arial"/>
                <w:color w:val="000000"/>
                <w:sz w:val="20"/>
                <w:szCs w:val="20"/>
              </w:rPr>
            </w:pPr>
            <w:r>
              <w:rPr>
                <w:rFonts w:ascii="Arial" w:hAnsi="Arial" w:cs="Arial"/>
                <w:color w:val="000000"/>
                <w:sz w:val="20"/>
                <w:szCs w:val="20"/>
              </w:rPr>
              <w:t>56.</w:t>
            </w:r>
            <w:r w:rsidR="00600F5D">
              <w:rPr>
                <w:rFonts w:ascii="Arial" w:hAnsi="Arial" w:cs="Arial"/>
                <w:color w:val="000000"/>
                <w:sz w:val="20"/>
                <w:szCs w:val="20"/>
              </w:rPr>
              <w:t>9</w:t>
            </w:r>
            <w:r>
              <w:rPr>
                <w:rFonts w:ascii="Arial" w:hAnsi="Arial" w:cs="Arial"/>
                <w:color w:val="000000"/>
                <w:sz w:val="20"/>
                <w:szCs w:val="20"/>
              </w:rPr>
              <w:t>%</w:t>
            </w:r>
          </w:p>
        </w:tc>
      </w:tr>
    </w:tbl>
    <w:p w14:paraId="48DDC1F7" w14:textId="77777777" w:rsidR="0082431E" w:rsidRDefault="0082431E" w:rsidP="0082431E">
      <w:pPr>
        <w:pStyle w:val="TableCaption"/>
        <w:keepNext/>
        <w:keepLines/>
      </w:pPr>
    </w:p>
    <w:p w14:paraId="707AE412" w14:textId="524DDCC8" w:rsidR="00DA4753" w:rsidRDefault="00DA4753" w:rsidP="00DA4753">
      <w:pPr>
        <w:pStyle w:val="Heading3"/>
      </w:pPr>
      <w:bookmarkStart w:id="217" w:name="_Toc383597955"/>
      <w:bookmarkStart w:id="218" w:name="_Toc510091134"/>
      <w:r>
        <w:t xml:space="preserve">6.1.4 Current </w:t>
      </w:r>
      <w:r w:rsidRPr="000F1678">
        <w:rPr>
          <w:i/>
        </w:rPr>
        <w:t>ex</w:t>
      </w:r>
      <w:r w:rsidR="000F1678" w:rsidRPr="000F1678">
        <w:rPr>
          <w:i/>
        </w:rPr>
        <w:t>-</w:t>
      </w:r>
      <w:r w:rsidRPr="000F1678">
        <w:rPr>
          <w:i/>
        </w:rPr>
        <w:t>post</w:t>
      </w:r>
      <w:r>
        <w:t xml:space="preserve"> versus current </w:t>
      </w:r>
      <w:r w:rsidRPr="000F1678">
        <w:rPr>
          <w:i/>
        </w:rPr>
        <w:t>ex</w:t>
      </w:r>
      <w:r w:rsidR="000F1678" w:rsidRPr="000F1678">
        <w:rPr>
          <w:i/>
        </w:rPr>
        <w:t>-</w:t>
      </w:r>
      <w:r w:rsidRPr="000F1678">
        <w:rPr>
          <w:i/>
        </w:rPr>
        <w:t>ante</w:t>
      </w:r>
      <w:bookmarkEnd w:id="217"/>
      <w:bookmarkEnd w:id="218"/>
    </w:p>
    <w:p w14:paraId="67C4ABA0" w14:textId="60071629" w:rsidR="00EB7908" w:rsidRPr="00FC7BC3" w:rsidRDefault="00782E76" w:rsidP="00DA4753">
      <w:r>
        <w:t>Table 6.</w:t>
      </w:r>
      <w:r w:rsidR="00372CA5">
        <w:t>4</w:t>
      </w:r>
      <w:r>
        <w:t xml:space="preserve"> compares the </w:t>
      </w:r>
      <w:r w:rsidRPr="005926F0">
        <w:rPr>
          <w:i/>
        </w:rPr>
        <w:t>ex</w:t>
      </w:r>
      <w:r w:rsidR="005926F0" w:rsidRPr="005926F0">
        <w:rPr>
          <w:i/>
        </w:rPr>
        <w:t>-</w:t>
      </w:r>
      <w:r w:rsidRPr="005926F0">
        <w:rPr>
          <w:i/>
        </w:rPr>
        <w:t>post</w:t>
      </w:r>
      <w:r>
        <w:t xml:space="preserve"> and </w:t>
      </w:r>
      <w:r w:rsidRPr="005926F0">
        <w:rPr>
          <w:i/>
        </w:rPr>
        <w:t>ex</w:t>
      </w:r>
      <w:r w:rsidR="005926F0" w:rsidRPr="005926F0">
        <w:rPr>
          <w:i/>
        </w:rPr>
        <w:t>-</w:t>
      </w:r>
      <w:r w:rsidRPr="005926F0">
        <w:rPr>
          <w:i/>
        </w:rPr>
        <w:t>ante</w:t>
      </w:r>
      <w:r>
        <w:t xml:space="preserve"> load impacts from this study. The </w:t>
      </w:r>
      <w:r w:rsidR="00DA4753" w:rsidRPr="005926F0">
        <w:rPr>
          <w:i/>
        </w:rPr>
        <w:t>ex</w:t>
      </w:r>
      <w:r w:rsidR="005926F0" w:rsidRPr="005926F0">
        <w:rPr>
          <w:i/>
        </w:rPr>
        <w:t>-</w:t>
      </w:r>
      <w:r w:rsidR="00DA4753" w:rsidRPr="005926F0">
        <w:rPr>
          <w:i/>
        </w:rPr>
        <w:t>ante</w:t>
      </w:r>
      <w:r w:rsidR="00DA4753">
        <w:t xml:space="preserve"> load impacts </w:t>
      </w:r>
      <w:r>
        <w:t xml:space="preserve">in the table represent </w:t>
      </w:r>
      <w:r w:rsidR="00DA4753">
        <w:t>the 201</w:t>
      </w:r>
      <w:r w:rsidR="00090C1B">
        <w:t>8</w:t>
      </w:r>
      <w:r>
        <w:t xml:space="preserve"> typical event day with utility-specific</w:t>
      </w:r>
      <w:r w:rsidR="00DA4753">
        <w:t xml:space="preserve"> 1-in-2 </w:t>
      </w:r>
      <w:r w:rsidR="00AD7200">
        <w:t xml:space="preserve">weather conditions. Load impacts as a percentage of reference load are </w:t>
      </w:r>
      <w:r w:rsidR="00977DB9">
        <w:t xml:space="preserve">significantly higher in the </w:t>
      </w:r>
      <w:r w:rsidR="00977DB9">
        <w:rPr>
          <w:i/>
        </w:rPr>
        <w:t xml:space="preserve">ex-ante </w:t>
      </w:r>
      <w:r w:rsidR="00977DB9">
        <w:t>analysis</w:t>
      </w:r>
      <w:r w:rsidR="00AD7200">
        <w:t xml:space="preserve">, </w:t>
      </w:r>
      <w:r w:rsidR="00977DB9">
        <w:t xml:space="preserve">with a lower reference load but a higher load impact per </w:t>
      </w:r>
      <w:r w:rsidR="00224EF7">
        <w:t>customer</w:t>
      </w:r>
      <w:r w:rsidR="00977DB9">
        <w:t>.</w:t>
      </w:r>
      <w:r w:rsidR="002038A8">
        <w:t xml:space="preserve"> </w:t>
      </w:r>
      <w:r w:rsidR="00FC7BC3">
        <w:t xml:space="preserve">The higher </w:t>
      </w:r>
      <w:r w:rsidR="00600F5D" w:rsidRPr="00600F5D">
        <w:rPr>
          <w:i/>
        </w:rPr>
        <w:t>ex-ante</w:t>
      </w:r>
      <w:r w:rsidR="00600F5D">
        <w:t xml:space="preserve"> </w:t>
      </w:r>
      <w:r w:rsidR="00FC7BC3">
        <w:t>percentage load impact</w:t>
      </w:r>
      <w:r w:rsidR="00600F5D">
        <w:t xml:space="preserve"> is due to the fact that we based the forecast on each customer’s most recent </w:t>
      </w:r>
      <w:r w:rsidR="00600F5D" w:rsidRPr="00600F5D">
        <w:rPr>
          <w:i/>
        </w:rPr>
        <w:t>ex-post</w:t>
      </w:r>
      <w:r w:rsidR="00600F5D">
        <w:t xml:space="preserve"> event and some of the customers who participated in the May 3</w:t>
      </w:r>
      <w:r w:rsidR="00600F5D" w:rsidRPr="00600F5D">
        <w:rPr>
          <w:vertAlign w:val="superscript"/>
        </w:rPr>
        <w:t>rd</w:t>
      </w:r>
      <w:r w:rsidR="00600F5D">
        <w:t xml:space="preserve"> event were re-tested (and performed better). </w:t>
      </w:r>
      <w:r w:rsidR="00FC7BC3">
        <w:t xml:space="preserve">Specifically, the </w:t>
      </w:r>
      <w:r w:rsidR="00FC7BC3">
        <w:rPr>
          <w:i/>
        </w:rPr>
        <w:t xml:space="preserve">ex-post </w:t>
      </w:r>
      <w:r w:rsidR="00FC7BC3">
        <w:t>FSL achievement rate for customers that remain in BIP</w:t>
      </w:r>
      <w:r w:rsidR="00DC2A53">
        <w:t xml:space="preserve"> and were not re-tested (</w:t>
      </w:r>
      <w:r w:rsidR="00DC2A53">
        <w:rPr>
          <w:i/>
        </w:rPr>
        <w:t xml:space="preserve">i.e., </w:t>
      </w:r>
      <w:r w:rsidR="00DC2A53">
        <w:t>the</w:t>
      </w:r>
      <w:r w:rsidR="00600F5D">
        <w:t>i</w:t>
      </w:r>
      <w:r w:rsidR="00DC2A53">
        <w:t>r only event day was May 3</w:t>
      </w:r>
      <w:r w:rsidR="00DC2A53" w:rsidRPr="00600F5D">
        <w:rPr>
          <w:vertAlign w:val="superscript"/>
        </w:rPr>
        <w:t>rd</w:t>
      </w:r>
      <w:r w:rsidR="00DC2A53">
        <w:t xml:space="preserve">) was 90%. The program </w:t>
      </w:r>
      <w:r w:rsidR="00DC2A53">
        <w:rPr>
          <w:i/>
        </w:rPr>
        <w:t>ex-ante</w:t>
      </w:r>
      <w:r w:rsidR="00FC7BC3">
        <w:t xml:space="preserve"> </w:t>
      </w:r>
      <w:r w:rsidR="00757F36">
        <w:t>FSL achievement rate is 9</w:t>
      </w:r>
      <w:r w:rsidR="00E22D40">
        <w:t>4.</w:t>
      </w:r>
      <w:r w:rsidR="00757F36">
        <w:t>5</w:t>
      </w:r>
      <w:r w:rsidR="00DC2A53">
        <w:t>%, which is increased because c</w:t>
      </w:r>
      <w:r w:rsidR="00FC7BC3">
        <w:t>ustomers that were re-tested on July 11</w:t>
      </w:r>
      <w:r w:rsidR="00FC7BC3" w:rsidRPr="00600F5D">
        <w:rPr>
          <w:vertAlign w:val="superscript"/>
        </w:rPr>
        <w:t>th</w:t>
      </w:r>
      <w:r w:rsidR="00FC7BC3">
        <w:t xml:space="preserve"> or October 17</w:t>
      </w:r>
      <w:r w:rsidR="00FC7BC3" w:rsidRPr="00600F5D">
        <w:rPr>
          <w:vertAlign w:val="superscript"/>
        </w:rPr>
        <w:t>th</w:t>
      </w:r>
      <w:r w:rsidR="00FC7BC3">
        <w:t xml:space="preserve"> achieved a higher FSL achievement rate</w:t>
      </w:r>
      <w:r w:rsidR="00DC2A53">
        <w:t xml:space="preserve"> for these events</w:t>
      </w:r>
      <w:r w:rsidR="00FC7BC3">
        <w:t>.</w:t>
      </w:r>
      <w:r w:rsidR="00320302">
        <w:t xml:space="preserve"> As mentioned previously, the average size of customers has decreased in the </w:t>
      </w:r>
      <w:r w:rsidR="00320302">
        <w:rPr>
          <w:i/>
        </w:rPr>
        <w:t xml:space="preserve">ex-ante </w:t>
      </w:r>
      <w:r w:rsidR="00320302">
        <w:t>forecast because of new enrollees are smaller on average, as well as larger customers that de-enrolled.</w:t>
      </w:r>
    </w:p>
    <w:p w14:paraId="1C153837" w14:textId="77777777" w:rsidR="00EB7908" w:rsidRDefault="00EB7908" w:rsidP="00EB7908"/>
    <w:p w14:paraId="72E675A2" w14:textId="64FFE77D" w:rsidR="00EB7908" w:rsidRDefault="00EB7908" w:rsidP="009C55CF">
      <w:pPr>
        <w:pStyle w:val="TableCaption"/>
        <w:keepNext/>
        <w:keepLines/>
        <w:rPr>
          <w:i/>
        </w:rPr>
      </w:pPr>
      <w:bookmarkStart w:id="219" w:name="_Toc508800235"/>
      <w:r w:rsidRPr="00376F46">
        <w:t xml:space="preserve">Table </w:t>
      </w:r>
      <w:r>
        <w:t>6</w:t>
      </w:r>
      <w:r w:rsidRPr="00376F46">
        <w:t>.</w:t>
      </w:r>
      <w:r w:rsidR="00372CA5">
        <w:t>4</w:t>
      </w:r>
      <w:r w:rsidR="007030CD">
        <w:t>:</w:t>
      </w:r>
      <w:r w:rsidRPr="00376F46">
        <w:t xml:space="preserve"> Comparison of </w:t>
      </w:r>
      <w:r w:rsidR="006B77F5">
        <w:t xml:space="preserve">Current </w:t>
      </w:r>
      <w:r w:rsidR="006B77F5" w:rsidRPr="005926F0">
        <w:rPr>
          <w:i/>
        </w:rPr>
        <w:t>Ex-</w:t>
      </w:r>
      <w:r w:rsidR="005926F0" w:rsidRPr="005926F0">
        <w:rPr>
          <w:i/>
        </w:rPr>
        <w:t>p</w:t>
      </w:r>
      <w:r w:rsidR="006B6630" w:rsidRPr="005926F0">
        <w:rPr>
          <w:i/>
        </w:rPr>
        <w:t>ost</w:t>
      </w:r>
      <w:r>
        <w:t xml:space="preserve"> and Current </w:t>
      </w:r>
      <w:r w:rsidRPr="005926F0">
        <w:rPr>
          <w:i/>
        </w:rPr>
        <w:t>Ex</w:t>
      </w:r>
      <w:r w:rsidR="006B77F5" w:rsidRPr="005926F0">
        <w:rPr>
          <w:i/>
        </w:rPr>
        <w:t>-</w:t>
      </w:r>
      <w:r w:rsidR="005926F0" w:rsidRPr="005926F0">
        <w:rPr>
          <w:i/>
        </w:rPr>
        <w:t>a</w:t>
      </w:r>
      <w:r w:rsidRPr="005926F0">
        <w:rPr>
          <w:i/>
        </w:rPr>
        <w:t>nte</w:t>
      </w:r>
      <w:r>
        <w:t xml:space="preserve"> </w:t>
      </w:r>
      <w:r w:rsidRPr="00376F46">
        <w:t>Impacts</w:t>
      </w:r>
      <w:r>
        <w:t>,</w:t>
      </w:r>
      <w:r w:rsidRPr="00376F46">
        <w:t xml:space="preserve"> </w:t>
      </w:r>
      <w:r>
        <w:rPr>
          <w:i/>
        </w:rPr>
        <w:t>PG&amp;E</w:t>
      </w:r>
      <w:bookmarkEnd w:id="219"/>
    </w:p>
    <w:tbl>
      <w:tblPr>
        <w:tblW w:w="8305" w:type="dxa"/>
        <w:jc w:val="center"/>
        <w:tblLook w:val="04A0" w:firstRow="1" w:lastRow="0" w:firstColumn="1" w:lastColumn="0" w:noHBand="0" w:noVBand="1"/>
      </w:tblPr>
      <w:tblGrid>
        <w:gridCol w:w="1314"/>
        <w:gridCol w:w="2182"/>
        <w:gridCol w:w="2454"/>
        <w:gridCol w:w="2355"/>
      </w:tblGrid>
      <w:tr w:rsidR="009C55CF" w:rsidRPr="009C55CF" w14:paraId="294FE74D" w14:textId="77777777" w:rsidTr="006B55F6">
        <w:trPr>
          <w:trHeight w:val="20"/>
          <w:jc w:val="center"/>
        </w:trPr>
        <w:tc>
          <w:tcPr>
            <w:tcW w:w="1314" w:type="dxa"/>
            <w:vMerge w:val="restart"/>
            <w:tcBorders>
              <w:top w:val="single" w:sz="4" w:space="0" w:color="auto"/>
              <w:left w:val="single" w:sz="4" w:space="0" w:color="auto"/>
              <w:bottom w:val="single" w:sz="4" w:space="0" w:color="auto"/>
              <w:right w:val="nil"/>
            </w:tcBorders>
            <w:shd w:val="clear" w:color="auto" w:fill="0C2577"/>
            <w:vAlign w:val="center"/>
            <w:hideMark/>
          </w:tcPr>
          <w:p w14:paraId="331A780F" w14:textId="77777777" w:rsidR="009C55CF" w:rsidRPr="009C55CF" w:rsidRDefault="009C55CF" w:rsidP="00B15225">
            <w:pPr>
              <w:keepNext/>
              <w:jc w:val="center"/>
              <w:rPr>
                <w:rFonts w:ascii="Arial" w:hAnsi="Arial" w:cs="Arial"/>
                <w:b/>
                <w:bCs/>
                <w:color w:val="FFFFFF"/>
                <w:sz w:val="20"/>
                <w:szCs w:val="20"/>
              </w:rPr>
            </w:pPr>
            <w:r w:rsidRPr="009C55CF">
              <w:rPr>
                <w:rFonts w:ascii="Arial" w:hAnsi="Arial" w:cs="Arial"/>
                <w:b/>
                <w:bCs/>
                <w:color w:val="FFFFFF"/>
                <w:sz w:val="20"/>
                <w:szCs w:val="20"/>
              </w:rPr>
              <w:t>Level</w:t>
            </w:r>
          </w:p>
        </w:tc>
        <w:tc>
          <w:tcPr>
            <w:tcW w:w="2182" w:type="dxa"/>
            <w:vMerge w:val="restart"/>
            <w:tcBorders>
              <w:top w:val="single" w:sz="4" w:space="0" w:color="auto"/>
              <w:left w:val="single" w:sz="4" w:space="0" w:color="FFFFFF"/>
              <w:bottom w:val="single" w:sz="4" w:space="0" w:color="auto"/>
              <w:right w:val="single" w:sz="4" w:space="0" w:color="FFFFFF"/>
            </w:tcBorders>
            <w:shd w:val="clear" w:color="auto" w:fill="0C2577"/>
            <w:vAlign w:val="center"/>
            <w:hideMark/>
          </w:tcPr>
          <w:p w14:paraId="197CAD52" w14:textId="77777777" w:rsidR="009C55CF" w:rsidRPr="009C55CF" w:rsidRDefault="009C55CF" w:rsidP="00B15225">
            <w:pPr>
              <w:keepNext/>
              <w:jc w:val="center"/>
              <w:rPr>
                <w:rFonts w:ascii="Arial" w:hAnsi="Arial" w:cs="Arial"/>
                <w:b/>
                <w:bCs/>
                <w:color w:val="FFFFFF"/>
                <w:sz w:val="20"/>
                <w:szCs w:val="20"/>
              </w:rPr>
            </w:pPr>
            <w:r w:rsidRPr="009C55CF">
              <w:rPr>
                <w:rFonts w:ascii="Arial" w:hAnsi="Arial" w:cs="Arial"/>
                <w:b/>
                <w:bCs/>
                <w:color w:val="FFFFFF"/>
                <w:sz w:val="20"/>
                <w:szCs w:val="20"/>
              </w:rPr>
              <w:t>Outcome</w:t>
            </w:r>
          </w:p>
        </w:tc>
        <w:tc>
          <w:tcPr>
            <w:tcW w:w="2454" w:type="dxa"/>
            <w:tcBorders>
              <w:top w:val="single" w:sz="4" w:space="0" w:color="auto"/>
              <w:left w:val="nil"/>
              <w:bottom w:val="nil"/>
              <w:right w:val="single" w:sz="4" w:space="0" w:color="FFFFFF"/>
            </w:tcBorders>
            <w:shd w:val="clear" w:color="auto" w:fill="0C2577"/>
            <w:vAlign w:val="bottom"/>
            <w:hideMark/>
          </w:tcPr>
          <w:p w14:paraId="5F11DC68" w14:textId="77777777" w:rsidR="009C55CF" w:rsidRPr="00600F5D" w:rsidRDefault="009C55CF" w:rsidP="00B15225">
            <w:pPr>
              <w:keepNext/>
              <w:jc w:val="center"/>
              <w:rPr>
                <w:rFonts w:ascii="Arial" w:hAnsi="Arial" w:cs="Arial"/>
                <w:b/>
                <w:bCs/>
                <w:i/>
                <w:color w:val="FFFFFF"/>
                <w:sz w:val="20"/>
                <w:szCs w:val="20"/>
              </w:rPr>
            </w:pPr>
            <w:r w:rsidRPr="00600F5D">
              <w:rPr>
                <w:rFonts w:ascii="Arial" w:hAnsi="Arial" w:cs="Arial"/>
                <w:b/>
                <w:bCs/>
                <w:i/>
                <w:color w:val="FFFFFF"/>
                <w:sz w:val="20"/>
                <w:szCs w:val="20"/>
              </w:rPr>
              <w:t xml:space="preserve">Ex-post </w:t>
            </w:r>
          </w:p>
        </w:tc>
        <w:tc>
          <w:tcPr>
            <w:tcW w:w="2355" w:type="dxa"/>
            <w:vMerge w:val="restart"/>
            <w:tcBorders>
              <w:top w:val="single" w:sz="4" w:space="0" w:color="auto"/>
              <w:left w:val="nil"/>
              <w:bottom w:val="single" w:sz="4" w:space="0" w:color="auto"/>
              <w:right w:val="single" w:sz="4" w:space="0" w:color="auto"/>
            </w:tcBorders>
            <w:shd w:val="clear" w:color="auto" w:fill="0C2577"/>
            <w:vAlign w:val="center"/>
            <w:hideMark/>
          </w:tcPr>
          <w:p w14:paraId="4B4175C5" w14:textId="77777777" w:rsidR="009C55CF" w:rsidRPr="009C55CF" w:rsidRDefault="009C55CF" w:rsidP="00B15225">
            <w:pPr>
              <w:keepNext/>
              <w:jc w:val="center"/>
              <w:rPr>
                <w:rFonts w:ascii="Arial" w:hAnsi="Arial" w:cs="Arial"/>
                <w:b/>
                <w:bCs/>
                <w:color w:val="FFFFFF"/>
                <w:sz w:val="20"/>
                <w:szCs w:val="20"/>
              </w:rPr>
            </w:pPr>
            <w:r w:rsidRPr="00600F5D">
              <w:rPr>
                <w:rFonts w:ascii="Arial" w:hAnsi="Arial" w:cs="Arial"/>
                <w:b/>
                <w:bCs/>
                <w:i/>
                <w:color w:val="FFFFFF"/>
                <w:sz w:val="20"/>
                <w:szCs w:val="20"/>
              </w:rPr>
              <w:t>Ex-ante</w:t>
            </w:r>
            <w:r w:rsidRPr="009C55CF">
              <w:rPr>
                <w:rFonts w:ascii="Arial" w:hAnsi="Arial" w:cs="Arial"/>
                <w:b/>
                <w:bCs/>
                <w:color w:val="FFFFFF"/>
                <w:sz w:val="20"/>
                <w:szCs w:val="20"/>
              </w:rPr>
              <w:t xml:space="preserve"> 2018 Typical Event Day, Current Study</w:t>
            </w:r>
          </w:p>
        </w:tc>
      </w:tr>
      <w:tr w:rsidR="009C55CF" w:rsidRPr="009C55CF" w14:paraId="26D18A92" w14:textId="77777777" w:rsidTr="009C55CF">
        <w:trPr>
          <w:trHeight w:val="20"/>
          <w:jc w:val="center"/>
        </w:trPr>
        <w:tc>
          <w:tcPr>
            <w:tcW w:w="1314" w:type="dxa"/>
            <w:vMerge/>
            <w:tcBorders>
              <w:top w:val="single" w:sz="4" w:space="0" w:color="auto"/>
              <w:left w:val="single" w:sz="4" w:space="0" w:color="auto"/>
              <w:bottom w:val="single" w:sz="4" w:space="0" w:color="auto"/>
              <w:right w:val="nil"/>
            </w:tcBorders>
            <w:vAlign w:val="center"/>
            <w:hideMark/>
          </w:tcPr>
          <w:p w14:paraId="79693B8D" w14:textId="77777777" w:rsidR="009C55CF" w:rsidRPr="009C55CF" w:rsidRDefault="009C55CF" w:rsidP="00B15225">
            <w:pPr>
              <w:keepNext/>
              <w:rPr>
                <w:rFonts w:ascii="Arial" w:hAnsi="Arial" w:cs="Arial"/>
                <w:b/>
                <w:bCs/>
                <w:color w:val="FFFFFF"/>
                <w:sz w:val="20"/>
                <w:szCs w:val="20"/>
              </w:rPr>
            </w:pPr>
          </w:p>
        </w:tc>
        <w:tc>
          <w:tcPr>
            <w:tcW w:w="2182" w:type="dxa"/>
            <w:vMerge/>
            <w:tcBorders>
              <w:top w:val="single" w:sz="4" w:space="0" w:color="auto"/>
              <w:left w:val="single" w:sz="4" w:space="0" w:color="FFFFFF"/>
              <w:bottom w:val="single" w:sz="4" w:space="0" w:color="auto"/>
              <w:right w:val="single" w:sz="4" w:space="0" w:color="FFFFFF"/>
            </w:tcBorders>
            <w:vAlign w:val="center"/>
            <w:hideMark/>
          </w:tcPr>
          <w:p w14:paraId="551E9478" w14:textId="77777777" w:rsidR="009C55CF" w:rsidRPr="009C55CF" w:rsidRDefault="009C55CF" w:rsidP="00B15225">
            <w:pPr>
              <w:keepNext/>
              <w:rPr>
                <w:rFonts w:ascii="Arial" w:hAnsi="Arial" w:cs="Arial"/>
                <w:b/>
                <w:bCs/>
                <w:color w:val="FFFFFF"/>
                <w:sz w:val="20"/>
                <w:szCs w:val="20"/>
              </w:rPr>
            </w:pPr>
          </w:p>
        </w:tc>
        <w:tc>
          <w:tcPr>
            <w:tcW w:w="2454" w:type="dxa"/>
            <w:tcBorders>
              <w:top w:val="nil"/>
              <w:left w:val="nil"/>
              <w:bottom w:val="single" w:sz="4" w:space="0" w:color="auto"/>
              <w:right w:val="single" w:sz="4" w:space="0" w:color="FFFFFF"/>
            </w:tcBorders>
            <w:shd w:val="clear" w:color="000000" w:fill="132577"/>
            <w:hideMark/>
          </w:tcPr>
          <w:p w14:paraId="1132B05D" w14:textId="77777777" w:rsidR="009C55CF" w:rsidRPr="009C55CF" w:rsidRDefault="009C55CF" w:rsidP="00B15225">
            <w:pPr>
              <w:keepNext/>
              <w:jc w:val="center"/>
              <w:rPr>
                <w:rFonts w:ascii="Arial" w:hAnsi="Arial" w:cs="Arial"/>
                <w:b/>
                <w:bCs/>
                <w:color w:val="FFFFFF"/>
                <w:sz w:val="20"/>
                <w:szCs w:val="20"/>
              </w:rPr>
            </w:pPr>
            <w:r w:rsidRPr="009C55CF">
              <w:rPr>
                <w:rFonts w:ascii="Arial" w:hAnsi="Arial" w:cs="Arial"/>
                <w:b/>
                <w:bCs/>
                <w:color w:val="FFFFFF"/>
                <w:sz w:val="20"/>
                <w:szCs w:val="20"/>
              </w:rPr>
              <w:t>PY2017</w:t>
            </w:r>
          </w:p>
        </w:tc>
        <w:tc>
          <w:tcPr>
            <w:tcW w:w="2355" w:type="dxa"/>
            <w:vMerge/>
            <w:tcBorders>
              <w:top w:val="single" w:sz="4" w:space="0" w:color="auto"/>
              <w:left w:val="nil"/>
              <w:bottom w:val="single" w:sz="4" w:space="0" w:color="auto"/>
              <w:right w:val="single" w:sz="4" w:space="0" w:color="auto"/>
            </w:tcBorders>
            <w:vAlign w:val="center"/>
            <w:hideMark/>
          </w:tcPr>
          <w:p w14:paraId="60A4A16C" w14:textId="77777777" w:rsidR="009C55CF" w:rsidRPr="009C55CF" w:rsidRDefault="009C55CF" w:rsidP="00B15225">
            <w:pPr>
              <w:keepNext/>
              <w:rPr>
                <w:rFonts w:ascii="Arial" w:hAnsi="Arial" w:cs="Arial"/>
                <w:b/>
                <w:bCs/>
                <w:color w:val="FFFFFF"/>
                <w:sz w:val="20"/>
                <w:szCs w:val="20"/>
              </w:rPr>
            </w:pPr>
          </w:p>
        </w:tc>
      </w:tr>
      <w:tr w:rsidR="00757F36" w:rsidRPr="009C55CF" w14:paraId="17ACB70F" w14:textId="77777777" w:rsidTr="009C55CF">
        <w:trPr>
          <w:trHeight w:val="20"/>
          <w:jc w:val="center"/>
        </w:trPr>
        <w:tc>
          <w:tcPr>
            <w:tcW w:w="1314" w:type="dxa"/>
            <w:vMerge w:val="restart"/>
            <w:tcBorders>
              <w:top w:val="nil"/>
              <w:left w:val="single" w:sz="4" w:space="0" w:color="auto"/>
              <w:bottom w:val="single" w:sz="4" w:space="0" w:color="auto"/>
              <w:right w:val="nil"/>
            </w:tcBorders>
            <w:shd w:val="clear" w:color="auto" w:fill="auto"/>
            <w:vAlign w:val="center"/>
            <w:hideMark/>
          </w:tcPr>
          <w:p w14:paraId="4FBDD0D0" w14:textId="77777777" w:rsidR="00757F36" w:rsidRPr="009C55CF" w:rsidRDefault="00757F36" w:rsidP="00757F36">
            <w:pPr>
              <w:keepNext/>
              <w:rPr>
                <w:rFonts w:ascii="Arial" w:hAnsi="Arial" w:cs="Arial"/>
                <w:b/>
                <w:bCs/>
                <w:color w:val="000000"/>
                <w:sz w:val="20"/>
                <w:szCs w:val="20"/>
              </w:rPr>
            </w:pPr>
            <w:r w:rsidRPr="009C55CF">
              <w:rPr>
                <w:rFonts w:ascii="Arial" w:hAnsi="Arial" w:cs="Arial"/>
                <w:b/>
                <w:bCs/>
                <w:color w:val="000000"/>
                <w:sz w:val="20"/>
                <w:szCs w:val="20"/>
              </w:rPr>
              <w:t>Total</w:t>
            </w:r>
          </w:p>
        </w:tc>
        <w:tc>
          <w:tcPr>
            <w:tcW w:w="2182" w:type="dxa"/>
            <w:tcBorders>
              <w:top w:val="nil"/>
              <w:left w:val="single" w:sz="4" w:space="0" w:color="auto"/>
              <w:bottom w:val="nil"/>
              <w:right w:val="single" w:sz="4" w:space="0" w:color="auto"/>
            </w:tcBorders>
            <w:shd w:val="clear" w:color="000000" w:fill="FFFFFF"/>
            <w:vAlign w:val="center"/>
            <w:hideMark/>
          </w:tcPr>
          <w:p w14:paraId="4000AA3B" w14:textId="4CA47B61" w:rsidR="00757F36" w:rsidRPr="009C55CF" w:rsidRDefault="00757F36" w:rsidP="00757F36">
            <w:pPr>
              <w:keepNext/>
              <w:rPr>
                <w:rFonts w:ascii="Arial" w:hAnsi="Arial" w:cs="Arial"/>
                <w:color w:val="000000"/>
                <w:sz w:val="20"/>
                <w:szCs w:val="20"/>
              </w:rPr>
            </w:pPr>
            <w:r w:rsidRPr="009C55CF">
              <w:rPr>
                <w:rFonts w:ascii="Arial" w:hAnsi="Arial" w:cs="Arial"/>
                <w:color w:val="000000"/>
                <w:sz w:val="20"/>
                <w:szCs w:val="20"/>
              </w:rPr>
              <w:t xml:space="preserve"># </w:t>
            </w:r>
            <w:r>
              <w:rPr>
                <w:rFonts w:ascii="Arial" w:hAnsi="Arial" w:cs="Arial"/>
                <w:color w:val="000000"/>
                <w:sz w:val="20"/>
                <w:szCs w:val="20"/>
              </w:rPr>
              <w:t>Customers</w:t>
            </w:r>
          </w:p>
        </w:tc>
        <w:tc>
          <w:tcPr>
            <w:tcW w:w="2454" w:type="dxa"/>
            <w:tcBorders>
              <w:top w:val="nil"/>
              <w:left w:val="nil"/>
              <w:bottom w:val="nil"/>
              <w:right w:val="single" w:sz="4" w:space="0" w:color="auto"/>
            </w:tcBorders>
            <w:shd w:val="clear" w:color="000000" w:fill="FFFFFF"/>
            <w:vAlign w:val="center"/>
            <w:hideMark/>
          </w:tcPr>
          <w:p w14:paraId="748F7E22" w14:textId="776FA25D" w:rsidR="00757F36" w:rsidRPr="009C55CF" w:rsidRDefault="00757F36" w:rsidP="00757F36">
            <w:pPr>
              <w:keepNext/>
              <w:jc w:val="center"/>
              <w:rPr>
                <w:rFonts w:ascii="Arial" w:hAnsi="Arial" w:cs="Arial"/>
                <w:color w:val="000000"/>
                <w:sz w:val="20"/>
                <w:szCs w:val="20"/>
              </w:rPr>
            </w:pPr>
            <w:r>
              <w:rPr>
                <w:rFonts w:ascii="Arial" w:hAnsi="Arial" w:cs="Arial"/>
                <w:color w:val="000000"/>
                <w:sz w:val="20"/>
                <w:szCs w:val="20"/>
              </w:rPr>
              <w:t>331</w:t>
            </w:r>
          </w:p>
        </w:tc>
        <w:tc>
          <w:tcPr>
            <w:tcW w:w="2355" w:type="dxa"/>
            <w:tcBorders>
              <w:top w:val="single" w:sz="4" w:space="0" w:color="auto"/>
              <w:left w:val="nil"/>
              <w:bottom w:val="nil"/>
              <w:right w:val="single" w:sz="4" w:space="0" w:color="auto"/>
            </w:tcBorders>
            <w:shd w:val="clear" w:color="000000" w:fill="FFFFFF"/>
            <w:vAlign w:val="center"/>
            <w:hideMark/>
          </w:tcPr>
          <w:p w14:paraId="3FE6E35A" w14:textId="3BB5FE79" w:rsidR="00757F36" w:rsidRPr="009C55CF" w:rsidRDefault="00757F36" w:rsidP="00757F36">
            <w:pPr>
              <w:keepNext/>
              <w:jc w:val="center"/>
              <w:rPr>
                <w:rFonts w:ascii="Arial" w:hAnsi="Arial" w:cs="Arial"/>
                <w:color w:val="000000"/>
                <w:sz w:val="20"/>
                <w:szCs w:val="20"/>
              </w:rPr>
            </w:pPr>
            <w:r>
              <w:rPr>
                <w:rFonts w:ascii="Arial" w:hAnsi="Arial" w:cs="Arial"/>
                <w:color w:val="000000"/>
                <w:sz w:val="20"/>
                <w:szCs w:val="20"/>
              </w:rPr>
              <w:t>362</w:t>
            </w:r>
          </w:p>
        </w:tc>
      </w:tr>
      <w:tr w:rsidR="00757F36" w:rsidRPr="009C55CF" w14:paraId="538E70E7" w14:textId="77777777" w:rsidTr="009C55CF">
        <w:trPr>
          <w:trHeight w:val="20"/>
          <w:jc w:val="center"/>
        </w:trPr>
        <w:tc>
          <w:tcPr>
            <w:tcW w:w="1314" w:type="dxa"/>
            <w:vMerge/>
            <w:tcBorders>
              <w:top w:val="nil"/>
              <w:left w:val="single" w:sz="4" w:space="0" w:color="auto"/>
              <w:bottom w:val="single" w:sz="4" w:space="0" w:color="auto"/>
              <w:right w:val="nil"/>
            </w:tcBorders>
            <w:vAlign w:val="center"/>
            <w:hideMark/>
          </w:tcPr>
          <w:p w14:paraId="57F7793D" w14:textId="77777777" w:rsidR="00757F36" w:rsidRPr="009C55CF" w:rsidRDefault="00757F36" w:rsidP="00757F36">
            <w:pPr>
              <w:keepNext/>
              <w:rPr>
                <w:rFonts w:ascii="Arial" w:hAnsi="Arial" w:cs="Arial"/>
                <w:b/>
                <w:bCs/>
                <w:color w:val="000000"/>
                <w:sz w:val="20"/>
                <w:szCs w:val="20"/>
              </w:rPr>
            </w:pPr>
          </w:p>
        </w:tc>
        <w:tc>
          <w:tcPr>
            <w:tcW w:w="2182" w:type="dxa"/>
            <w:tcBorders>
              <w:top w:val="nil"/>
              <w:left w:val="single" w:sz="4" w:space="0" w:color="auto"/>
              <w:bottom w:val="nil"/>
              <w:right w:val="single" w:sz="4" w:space="0" w:color="auto"/>
            </w:tcBorders>
            <w:shd w:val="clear" w:color="000000" w:fill="FFFFFF"/>
            <w:vAlign w:val="center"/>
            <w:hideMark/>
          </w:tcPr>
          <w:p w14:paraId="4BF2FB3E" w14:textId="40136AC2" w:rsidR="00757F36" w:rsidRPr="009C55CF" w:rsidRDefault="00757F36" w:rsidP="00757F36">
            <w:pPr>
              <w:keepNext/>
              <w:rPr>
                <w:rFonts w:ascii="Arial" w:hAnsi="Arial" w:cs="Arial"/>
                <w:color w:val="000000"/>
                <w:sz w:val="20"/>
                <w:szCs w:val="20"/>
              </w:rPr>
            </w:pPr>
            <w:r w:rsidRPr="009C55CF">
              <w:rPr>
                <w:rFonts w:ascii="Arial" w:hAnsi="Arial" w:cs="Arial"/>
                <w:color w:val="000000"/>
                <w:sz w:val="20"/>
                <w:szCs w:val="20"/>
              </w:rPr>
              <w:t>Reference (MW</w:t>
            </w:r>
            <w:r>
              <w:rPr>
                <w:rFonts w:ascii="Arial" w:hAnsi="Arial" w:cs="Arial"/>
                <w:color w:val="000000"/>
                <w:sz w:val="20"/>
                <w:szCs w:val="20"/>
              </w:rPr>
              <w:t>h/h</w:t>
            </w:r>
            <w:r w:rsidRPr="009C55CF">
              <w:rPr>
                <w:rFonts w:ascii="Arial" w:hAnsi="Arial" w:cs="Arial"/>
                <w:color w:val="000000"/>
                <w:sz w:val="20"/>
                <w:szCs w:val="20"/>
              </w:rPr>
              <w:t>)</w:t>
            </w:r>
          </w:p>
        </w:tc>
        <w:tc>
          <w:tcPr>
            <w:tcW w:w="2454" w:type="dxa"/>
            <w:tcBorders>
              <w:top w:val="nil"/>
              <w:left w:val="nil"/>
              <w:bottom w:val="nil"/>
              <w:right w:val="single" w:sz="4" w:space="0" w:color="auto"/>
            </w:tcBorders>
            <w:shd w:val="clear" w:color="000000" w:fill="FFFFFF"/>
            <w:vAlign w:val="center"/>
            <w:hideMark/>
          </w:tcPr>
          <w:p w14:paraId="439D4A72" w14:textId="10B4D0A9" w:rsidR="00757F36" w:rsidRPr="009C55CF" w:rsidRDefault="00757F36" w:rsidP="00757F36">
            <w:pPr>
              <w:keepNext/>
              <w:jc w:val="center"/>
              <w:rPr>
                <w:rFonts w:ascii="Arial" w:hAnsi="Arial" w:cs="Arial"/>
                <w:color w:val="000000"/>
                <w:sz w:val="20"/>
                <w:szCs w:val="20"/>
              </w:rPr>
            </w:pPr>
            <w:r>
              <w:rPr>
                <w:rFonts w:ascii="Arial" w:hAnsi="Arial" w:cs="Arial"/>
                <w:color w:val="000000"/>
                <w:sz w:val="20"/>
                <w:szCs w:val="20"/>
              </w:rPr>
              <w:t>343.6</w:t>
            </w:r>
          </w:p>
        </w:tc>
        <w:tc>
          <w:tcPr>
            <w:tcW w:w="2355" w:type="dxa"/>
            <w:tcBorders>
              <w:top w:val="nil"/>
              <w:left w:val="nil"/>
              <w:bottom w:val="nil"/>
              <w:right w:val="single" w:sz="4" w:space="0" w:color="auto"/>
            </w:tcBorders>
            <w:shd w:val="clear" w:color="000000" w:fill="FFFFFF"/>
            <w:vAlign w:val="center"/>
            <w:hideMark/>
          </w:tcPr>
          <w:p w14:paraId="043DD7DA" w14:textId="4C308247" w:rsidR="00757F36" w:rsidRPr="009C55CF" w:rsidRDefault="00757F36" w:rsidP="00757F36">
            <w:pPr>
              <w:keepNext/>
              <w:jc w:val="center"/>
              <w:rPr>
                <w:rFonts w:ascii="Arial" w:hAnsi="Arial" w:cs="Arial"/>
                <w:color w:val="000000"/>
                <w:sz w:val="20"/>
                <w:szCs w:val="20"/>
              </w:rPr>
            </w:pPr>
            <w:r>
              <w:rPr>
                <w:rFonts w:ascii="Arial" w:hAnsi="Arial" w:cs="Arial"/>
                <w:color w:val="000000"/>
                <w:sz w:val="20"/>
                <w:szCs w:val="20"/>
              </w:rPr>
              <w:t>308.8</w:t>
            </w:r>
          </w:p>
        </w:tc>
      </w:tr>
      <w:tr w:rsidR="00757F36" w:rsidRPr="009C55CF" w14:paraId="21C85530" w14:textId="77777777" w:rsidTr="009C55CF">
        <w:trPr>
          <w:trHeight w:val="20"/>
          <w:jc w:val="center"/>
        </w:trPr>
        <w:tc>
          <w:tcPr>
            <w:tcW w:w="1314" w:type="dxa"/>
            <w:vMerge/>
            <w:tcBorders>
              <w:top w:val="nil"/>
              <w:left w:val="single" w:sz="4" w:space="0" w:color="auto"/>
              <w:bottom w:val="single" w:sz="4" w:space="0" w:color="auto"/>
              <w:right w:val="nil"/>
            </w:tcBorders>
            <w:vAlign w:val="center"/>
            <w:hideMark/>
          </w:tcPr>
          <w:p w14:paraId="1A8E3C4A" w14:textId="77777777" w:rsidR="00757F36" w:rsidRPr="009C55CF" w:rsidRDefault="00757F36" w:rsidP="00757F36">
            <w:pPr>
              <w:keepNext/>
              <w:rPr>
                <w:rFonts w:ascii="Arial" w:hAnsi="Arial" w:cs="Arial"/>
                <w:b/>
                <w:bCs/>
                <w:color w:val="000000"/>
                <w:sz w:val="20"/>
                <w:szCs w:val="20"/>
              </w:rPr>
            </w:pPr>
          </w:p>
        </w:tc>
        <w:tc>
          <w:tcPr>
            <w:tcW w:w="2182" w:type="dxa"/>
            <w:tcBorders>
              <w:top w:val="nil"/>
              <w:left w:val="single" w:sz="4" w:space="0" w:color="auto"/>
              <w:bottom w:val="nil"/>
              <w:right w:val="single" w:sz="4" w:space="0" w:color="auto"/>
            </w:tcBorders>
            <w:shd w:val="clear" w:color="000000" w:fill="FFFFFF"/>
            <w:vAlign w:val="center"/>
            <w:hideMark/>
          </w:tcPr>
          <w:p w14:paraId="5DABABB6" w14:textId="7FDAA705" w:rsidR="00757F36" w:rsidRPr="009C55CF" w:rsidRDefault="00757F36" w:rsidP="00757F36">
            <w:pPr>
              <w:keepNext/>
              <w:rPr>
                <w:rFonts w:ascii="Arial" w:hAnsi="Arial" w:cs="Arial"/>
                <w:color w:val="000000"/>
                <w:sz w:val="20"/>
                <w:szCs w:val="20"/>
              </w:rPr>
            </w:pPr>
            <w:r w:rsidRPr="009C55CF">
              <w:rPr>
                <w:rFonts w:ascii="Arial" w:hAnsi="Arial" w:cs="Arial"/>
                <w:color w:val="000000"/>
                <w:sz w:val="20"/>
                <w:szCs w:val="20"/>
              </w:rPr>
              <w:t>Load Impact (MW</w:t>
            </w:r>
            <w:r>
              <w:rPr>
                <w:rFonts w:ascii="Arial" w:hAnsi="Arial" w:cs="Arial"/>
                <w:color w:val="000000"/>
                <w:sz w:val="20"/>
                <w:szCs w:val="20"/>
              </w:rPr>
              <w:t>h/h</w:t>
            </w:r>
            <w:r w:rsidRPr="009C55CF">
              <w:rPr>
                <w:rFonts w:ascii="Arial" w:hAnsi="Arial" w:cs="Arial"/>
                <w:color w:val="000000"/>
                <w:sz w:val="20"/>
                <w:szCs w:val="20"/>
              </w:rPr>
              <w:t>)</w:t>
            </w:r>
          </w:p>
        </w:tc>
        <w:tc>
          <w:tcPr>
            <w:tcW w:w="2454" w:type="dxa"/>
            <w:tcBorders>
              <w:top w:val="nil"/>
              <w:left w:val="nil"/>
              <w:bottom w:val="nil"/>
              <w:right w:val="single" w:sz="4" w:space="0" w:color="auto"/>
            </w:tcBorders>
            <w:shd w:val="clear" w:color="000000" w:fill="FFFFFF"/>
            <w:vAlign w:val="center"/>
            <w:hideMark/>
          </w:tcPr>
          <w:p w14:paraId="1DE7543D" w14:textId="03B59513" w:rsidR="00757F36" w:rsidRPr="009C55CF" w:rsidRDefault="00757F36" w:rsidP="00757F36">
            <w:pPr>
              <w:keepNext/>
              <w:jc w:val="center"/>
              <w:rPr>
                <w:rFonts w:ascii="Arial" w:hAnsi="Arial" w:cs="Arial"/>
                <w:color w:val="000000"/>
                <w:sz w:val="20"/>
                <w:szCs w:val="20"/>
              </w:rPr>
            </w:pPr>
            <w:r>
              <w:rPr>
                <w:rFonts w:ascii="Arial" w:hAnsi="Arial" w:cs="Arial"/>
                <w:color w:val="000000"/>
                <w:sz w:val="20"/>
                <w:szCs w:val="20"/>
              </w:rPr>
              <w:t>195.4</w:t>
            </w:r>
          </w:p>
        </w:tc>
        <w:tc>
          <w:tcPr>
            <w:tcW w:w="2355" w:type="dxa"/>
            <w:tcBorders>
              <w:top w:val="nil"/>
              <w:left w:val="nil"/>
              <w:bottom w:val="nil"/>
              <w:right w:val="single" w:sz="4" w:space="0" w:color="auto"/>
            </w:tcBorders>
            <w:shd w:val="clear" w:color="000000" w:fill="FFFFFF"/>
            <w:vAlign w:val="center"/>
            <w:hideMark/>
          </w:tcPr>
          <w:p w14:paraId="4E9769F2" w14:textId="0E34C012" w:rsidR="00757F36" w:rsidRPr="009C55CF" w:rsidRDefault="00757F36" w:rsidP="00757F36">
            <w:pPr>
              <w:keepNext/>
              <w:jc w:val="center"/>
              <w:rPr>
                <w:rFonts w:ascii="Arial" w:hAnsi="Arial" w:cs="Arial"/>
                <w:color w:val="000000"/>
                <w:sz w:val="20"/>
                <w:szCs w:val="20"/>
              </w:rPr>
            </w:pPr>
            <w:r>
              <w:rPr>
                <w:rFonts w:ascii="Arial" w:hAnsi="Arial" w:cs="Arial"/>
                <w:color w:val="000000"/>
                <w:sz w:val="20"/>
                <w:szCs w:val="20"/>
              </w:rPr>
              <w:t>220.5</w:t>
            </w:r>
          </w:p>
        </w:tc>
      </w:tr>
      <w:tr w:rsidR="00757F36" w:rsidRPr="009C55CF" w14:paraId="2739C8AB" w14:textId="77777777" w:rsidTr="009C55CF">
        <w:trPr>
          <w:trHeight w:val="20"/>
          <w:jc w:val="center"/>
        </w:trPr>
        <w:tc>
          <w:tcPr>
            <w:tcW w:w="1314" w:type="dxa"/>
            <w:vMerge/>
            <w:tcBorders>
              <w:top w:val="nil"/>
              <w:left w:val="single" w:sz="4" w:space="0" w:color="auto"/>
              <w:bottom w:val="single" w:sz="4" w:space="0" w:color="auto"/>
              <w:right w:val="nil"/>
            </w:tcBorders>
            <w:vAlign w:val="center"/>
            <w:hideMark/>
          </w:tcPr>
          <w:p w14:paraId="1D78D7F9" w14:textId="77777777" w:rsidR="00757F36" w:rsidRPr="009C55CF" w:rsidRDefault="00757F36" w:rsidP="00757F36">
            <w:pPr>
              <w:keepNext/>
              <w:rPr>
                <w:rFonts w:ascii="Arial" w:hAnsi="Arial" w:cs="Arial"/>
                <w:b/>
                <w:bCs/>
                <w:color w:val="000000"/>
                <w:sz w:val="20"/>
                <w:szCs w:val="20"/>
              </w:rPr>
            </w:pPr>
          </w:p>
        </w:tc>
        <w:tc>
          <w:tcPr>
            <w:tcW w:w="2182" w:type="dxa"/>
            <w:tcBorders>
              <w:top w:val="nil"/>
              <w:left w:val="single" w:sz="4" w:space="0" w:color="auto"/>
              <w:bottom w:val="single" w:sz="4" w:space="0" w:color="auto"/>
              <w:right w:val="single" w:sz="4" w:space="0" w:color="auto"/>
            </w:tcBorders>
            <w:shd w:val="clear" w:color="000000" w:fill="FFFFFF"/>
            <w:vAlign w:val="center"/>
            <w:hideMark/>
          </w:tcPr>
          <w:p w14:paraId="40023483" w14:textId="16307A24" w:rsidR="00757F36" w:rsidRPr="009C55CF" w:rsidRDefault="00757F36" w:rsidP="00757F36">
            <w:pPr>
              <w:keepNext/>
              <w:rPr>
                <w:rFonts w:ascii="Arial" w:hAnsi="Arial" w:cs="Arial"/>
                <w:color w:val="000000"/>
                <w:sz w:val="20"/>
                <w:szCs w:val="20"/>
              </w:rPr>
            </w:pPr>
            <w:r w:rsidRPr="009C55CF">
              <w:rPr>
                <w:rFonts w:ascii="Arial" w:hAnsi="Arial" w:cs="Arial"/>
                <w:color w:val="000000"/>
                <w:sz w:val="20"/>
                <w:szCs w:val="20"/>
              </w:rPr>
              <w:t>FSL (MW</w:t>
            </w:r>
            <w:r>
              <w:rPr>
                <w:rFonts w:ascii="Arial" w:hAnsi="Arial" w:cs="Arial"/>
                <w:color w:val="000000"/>
                <w:sz w:val="20"/>
                <w:szCs w:val="20"/>
              </w:rPr>
              <w:t>h/h</w:t>
            </w:r>
            <w:r w:rsidRPr="009C55CF">
              <w:rPr>
                <w:rFonts w:ascii="Arial" w:hAnsi="Arial" w:cs="Arial"/>
                <w:color w:val="000000"/>
                <w:sz w:val="20"/>
                <w:szCs w:val="20"/>
              </w:rPr>
              <w:t>)</w:t>
            </w:r>
          </w:p>
        </w:tc>
        <w:tc>
          <w:tcPr>
            <w:tcW w:w="2454" w:type="dxa"/>
            <w:tcBorders>
              <w:top w:val="nil"/>
              <w:left w:val="nil"/>
              <w:bottom w:val="single" w:sz="4" w:space="0" w:color="auto"/>
              <w:right w:val="single" w:sz="4" w:space="0" w:color="auto"/>
            </w:tcBorders>
            <w:shd w:val="clear" w:color="000000" w:fill="FFFFFF"/>
            <w:vAlign w:val="center"/>
            <w:hideMark/>
          </w:tcPr>
          <w:p w14:paraId="2FA56340" w14:textId="6824BDC9" w:rsidR="00757F36" w:rsidRPr="009C55CF" w:rsidRDefault="00757F36" w:rsidP="00757F36">
            <w:pPr>
              <w:keepNext/>
              <w:jc w:val="center"/>
              <w:rPr>
                <w:rFonts w:ascii="Arial" w:hAnsi="Arial" w:cs="Arial"/>
                <w:color w:val="000000"/>
                <w:sz w:val="20"/>
                <w:szCs w:val="20"/>
              </w:rPr>
            </w:pPr>
            <w:r>
              <w:rPr>
                <w:rFonts w:ascii="Arial" w:hAnsi="Arial" w:cs="Arial"/>
                <w:color w:val="000000"/>
                <w:sz w:val="20"/>
                <w:szCs w:val="20"/>
              </w:rPr>
              <w:t>84.5</w:t>
            </w:r>
          </w:p>
        </w:tc>
        <w:tc>
          <w:tcPr>
            <w:tcW w:w="2355" w:type="dxa"/>
            <w:tcBorders>
              <w:top w:val="nil"/>
              <w:left w:val="nil"/>
              <w:bottom w:val="single" w:sz="4" w:space="0" w:color="auto"/>
              <w:right w:val="single" w:sz="4" w:space="0" w:color="auto"/>
            </w:tcBorders>
            <w:shd w:val="clear" w:color="000000" w:fill="FFFFFF"/>
            <w:vAlign w:val="center"/>
            <w:hideMark/>
          </w:tcPr>
          <w:p w14:paraId="76DD6A09" w14:textId="144FDDF8" w:rsidR="00757F36" w:rsidRPr="009C55CF" w:rsidRDefault="00757F36" w:rsidP="00757F36">
            <w:pPr>
              <w:keepNext/>
              <w:jc w:val="center"/>
              <w:rPr>
                <w:rFonts w:ascii="Arial" w:hAnsi="Arial" w:cs="Arial"/>
                <w:color w:val="000000"/>
                <w:sz w:val="20"/>
                <w:szCs w:val="20"/>
              </w:rPr>
            </w:pPr>
            <w:r>
              <w:rPr>
                <w:rFonts w:ascii="Arial" w:hAnsi="Arial" w:cs="Arial"/>
                <w:color w:val="000000"/>
                <w:sz w:val="20"/>
                <w:szCs w:val="20"/>
              </w:rPr>
              <w:t>75.5</w:t>
            </w:r>
          </w:p>
        </w:tc>
      </w:tr>
      <w:tr w:rsidR="00757F36" w:rsidRPr="009C55CF" w14:paraId="70A03A49" w14:textId="77777777" w:rsidTr="009C55CF">
        <w:trPr>
          <w:trHeight w:val="20"/>
          <w:jc w:val="center"/>
        </w:trPr>
        <w:tc>
          <w:tcPr>
            <w:tcW w:w="1314" w:type="dxa"/>
            <w:vMerge w:val="restart"/>
            <w:tcBorders>
              <w:top w:val="nil"/>
              <w:left w:val="single" w:sz="4" w:space="0" w:color="auto"/>
              <w:bottom w:val="single" w:sz="4" w:space="0" w:color="auto"/>
              <w:right w:val="nil"/>
            </w:tcBorders>
            <w:shd w:val="clear" w:color="auto" w:fill="auto"/>
            <w:vAlign w:val="center"/>
            <w:hideMark/>
          </w:tcPr>
          <w:p w14:paraId="6ED40316" w14:textId="002E0172" w:rsidR="00757F36" w:rsidRPr="009C55CF" w:rsidRDefault="00757F36" w:rsidP="00757F36">
            <w:pPr>
              <w:keepNext/>
              <w:rPr>
                <w:rFonts w:ascii="Arial" w:hAnsi="Arial" w:cs="Arial"/>
                <w:b/>
                <w:bCs/>
                <w:color w:val="000000"/>
                <w:sz w:val="20"/>
                <w:szCs w:val="20"/>
              </w:rPr>
            </w:pPr>
            <w:r w:rsidRPr="009C55CF">
              <w:rPr>
                <w:rFonts w:ascii="Arial" w:hAnsi="Arial" w:cs="Arial"/>
                <w:b/>
                <w:bCs/>
                <w:color w:val="000000"/>
                <w:sz w:val="20"/>
                <w:szCs w:val="20"/>
              </w:rPr>
              <w:t xml:space="preserve">Per </w:t>
            </w:r>
            <w:r>
              <w:rPr>
                <w:rFonts w:ascii="Arial" w:hAnsi="Arial" w:cs="Arial"/>
                <w:b/>
                <w:bCs/>
                <w:color w:val="000000"/>
                <w:sz w:val="20"/>
                <w:szCs w:val="20"/>
              </w:rPr>
              <w:t>Customer</w:t>
            </w:r>
          </w:p>
        </w:tc>
        <w:tc>
          <w:tcPr>
            <w:tcW w:w="2182" w:type="dxa"/>
            <w:tcBorders>
              <w:top w:val="nil"/>
              <w:left w:val="single" w:sz="4" w:space="0" w:color="auto"/>
              <w:bottom w:val="nil"/>
              <w:right w:val="single" w:sz="4" w:space="0" w:color="auto"/>
            </w:tcBorders>
            <w:shd w:val="clear" w:color="000000" w:fill="FFFFFF"/>
            <w:vAlign w:val="center"/>
            <w:hideMark/>
          </w:tcPr>
          <w:p w14:paraId="56876152" w14:textId="4A912053" w:rsidR="00757F36" w:rsidRPr="009C55CF" w:rsidRDefault="00757F36" w:rsidP="00757F36">
            <w:pPr>
              <w:keepNext/>
              <w:rPr>
                <w:rFonts w:ascii="Arial" w:hAnsi="Arial" w:cs="Arial"/>
                <w:color w:val="000000"/>
                <w:sz w:val="20"/>
                <w:szCs w:val="20"/>
              </w:rPr>
            </w:pPr>
            <w:r w:rsidRPr="009C55CF">
              <w:rPr>
                <w:rFonts w:ascii="Arial" w:hAnsi="Arial" w:cs="Arial"/>
                <w:color w:val="000000"/>
                <w:sz w:val="20"/>
                <w:szCs w:val="20"/>
              </w:rPr>
              <w:t>Reference (kW</w:t>
            </w:r>
            <w:r>
              <w:rPr>
                <w:rFonts w:ascii="Arial" w:hAnsi="Arial" w:cs="Arial"/>
                <w:color w:val="000000"/>
                <w:sz w:val="20"/>
                <w:szCs w:val="20"/>
              </w:rPr>
              <w:t>h/h</w:t>
            </w:r>
            <w:r w:rsidRPr="009C55CF">
              <w:rPr>
                <w:rFonts w:ascii="Arial" w:hAnsi="Arial" w:cs="Arial"/>
                <w:color w:val="000000"/>
                <w:sz w:val="20"/>
                <w:szCs w:val="20"/>
              </w:rPr>
              <w:t>)</w:t>
            </w:r>
          </w:p>
        </w:tc>
        <w:tc>
          <w:tcPr>
            <w:tcW w:w="2454" w:type="dxa"/>
            <w:tcBorders>
              <w:top w:val="nil"/>
              <w:left w:val="nil"/>
              <w:bottom w:val="nil"/>
              <w:right w:val="single" w:sz="4" w:space="0" w:color="auto"/>
            </w:tcBorders>
            <w:shd w:val="clear" w:color="000000" w:fill="FFFFFF"/>
            <w:vAlign w:val="center"/>
            <w:hideMark/>
          </w:tcPr>
          <w:p w14:paraId="22AD6A39" w14:textId="6491B796" w:rsidR="00757F36" w:rsidRPr="009C55CF" w:rsidRDefault="00757F36" w:rsidP="00757F36">
            <w:pPr>
              <w:keepNext/>
              <w:jc w:val="center"/>
              <w:rPr>
                <w:rFonts w:ascii="Arial" w:hAnsi="Arial" w:cs="Arial"/>
                <w:color w:val="000000"/>
                <w:sz w:val="20"/>
                <w:szCs w:val="20"/>
              </w:rPr>
            </w:pPr>
            <w:r>
              <w:rPr>
                <w:rFonts w:ascii="Arial" w:hAnsi="Arial" w:cs="Arial"/>
                <w:color w:val="000000"/>
                <w:sz w:val="20"/>
                <w:szCs w:val="20"/>
              </w:rPr>
              <w:t>1,038.2</w:t>
            </w:r>
          </w:p>
        </w:tc>
        <w:tc>
          <w:tcPr>
            <w:tcW w:w="2355" w:type="dxa"/>
            <w:tcBorders>
              <w:top w:val="nil"/>
              <w:left w:val="nil"/>
              <w:bottom w:val="nil"/>
              <w:right w:val="single" w:sz="4" w:space="0" w:color="auto"/>
            </w:tcBorders>
            <w:shd w:val="clear" w:color="000000" w:fill="FFFFFF"/>
            <w:vAlign w:val="center"/>
            <w:hideMark/>
          </w:tcPr>
          <w:p w14:paraId="71D0C19B" w14:textId="3163E443" w:rsidR="00757F36" w:rsidRPr="009C55CF" w:rsidRDefault="00757F36" w:rsidP="00757F36">
            <w:pPr>
              <w:keepNext/>
              <w:jc w:val="center"/>
              <w:rPr>
                <w:rFonts w:ascii="Arial" w:hAnsi="Arial" w:cs="Arial"/>
                <w:color w:val="000000"/>
                <w:sz w:val="20"/>
                <w:szCs w:val="20"/>
              </w:rPr>
            </w:pPr>
            <w:r>
              <w:rPr>
                <w:rFonts w:ascii="Arial" w:hAnsi="Arial" w:cs="Arial"/>
                <w:color w:val="000000"/>
                <w:sz w:val="20"/>
                <w:szCs w:val="20"/>
              </w:rPr>
              <w:t>852.9</w:t>
            </w:r>
          </w:p>
        </w:tc>
      </w:tr>
      <w:tr w:rsidR="00757F36" w:rsidRPr="009C55CF" w14:paraId="5E3E676A" w14:textId="77777777" w:rsidTr="009C55CF">
        <w:trPr>
          <w:trHeight w:val="20"/>
          <w:jc w:val="center"/>
        </w:trPr>
        <w:tc>
          <w:tcPr>
            <w:tcW w:w="1314" w:type="dxa"/>
            <w:vMerge/>
            <w:tcBorders>
              <w:top w:val="nil"/>
              <w:left w:val="single" w:sz="4" w:space="0" w:color="auto"/>
              <w:bottom w:val="single" w:sz="4" w:space="0" w:color="auto"/>
              <w:right w:val="nil"/>
            </w:tcBorders>
            <w:vAlign w:val="center"/>
            <w:hideMark/>
          </w:tcPr>
          <w:p w14:paraId="4DE900C6" w14:textId="77777777" w:rsidR="00757F36" w:rsidRPr="009C55CF" w:rsidRDefault="00757F36" w:rsidP="00757F36">
            <w:pPr>
              <w:keepNext/>
              <w:rPr>
                <w:rFonts w:ascii="Arial" w:hAnsi="Arial" w:cs="Arial"/>
                <w:b/>
                <w:bCs/>
                <w:color w:val="000000"/>
                <w:sz w:val="20"/>
                <w:szCs w:val="20"/>
              </w:rPr>
            </w:pPr>
          </w:p>
        </w:tc>
        <w:tc>
          <w:tcPr>
            <w:tcW w:w="2182" w:type="dxa"/>
            <w:tcBorders>
              <w:top w:val="nil"/>
              <w:left w:val="single" w:sz="4" w:space="0" w:color="auto"/>
              <w:bottom w:val="nil"/>
              <w:right w:val="single" w:sz="4" w:space="0" w:color="auto"/>
            </w:tcBorders>
            <w:shd w:val="clear" w:color="000000" w:fill="FFFFFF"/>
            <w:vAlign w:val="center"/>
            <w:hideMark/>
          </w:tcPr>
          <w:p w14:paraId="7ECF8850" w14:textId="0EADE33E" w:rsidR="00757F36" w:rsidRPr="009C55CF" w:rsidRDefault="00757F36" w:rsidP="00757F36">
            <w:pPr>
              <w:keepNext/>
              <w:rPr>
                <w:rFonts w:ascii="Arial" w:hAnsi="Arial" w:cs="Arial"/>
                <w:color w:val="000000"/>
                <w:sz w:val="20"/>
                <w:szCs w:val="20"/>
              </w:rPr>
            </w:pPr>
            <w:r w:rsidRPr="009C55CF">
              <w:rPr>
                <w:rFonts w:ascii="Arial" w:hAnsi="Arial" w:cs="Arial"/>
                <w:color w:val="000000"/>
                <w:sz w:val="20"/>
                <w:szCs w:val="20"/>
              </w:rPr>
              <w:t>Load Impact (kW</w:t>
            </w:r>
            <w:r>
              <w:rPr>
                <w:rFonts w:ascii="Arial" w:hAnsi="Arial" w:cs="Arial"/>
                <w:color w:val="000000"/>
                <w:sz w:val="20"/>
                <w:szCs w:val="20"/>
              </w:rPr>
              <w:t>h/h</w:t>
            </w:r>
            <w:r w:rsidRPr="009C55CF">
              <w:rPr>
                <w:rFonts w:ascii="Arial" w:hAnsi="Arial" w:cs="Arial"/>
                <w:color w:val="000000"/>
                <w:sz w:val="20"/>
                <w:szCs w:val="20"/>
              </w:rPr>
              <w:t>)</w:t>
            </w:r>
          </w:p>
        </w:tc>
        <w:tc>
          <w:tcPr>
            <w:tcW w:w="2454" w:type="dxa"/>
            <w:tcBorders>
              <w:top w:val="nil"/>
              <w:left w:val="nil"/>
              <w:bottom w:val="nil"/>
              <w:right w:val="single" w:sz="4" w:space="0" w:color="auto"/>
            </w:tcBorders>
            <w:shd w:val="clear" w:color="000000" w:fill="FFFFFF"/>
            <w:vAlign w:val="center"/>
            <w:hideMark/>
          </w:tcPr>
          <w:p w14:paraId="7AAD63D7" w14:textId="453CE117" w:rsidR="00757F36" w:rsidRPr="009C55CF" w:rsidRDefault="00757F36" w:rsidP="00757F36">
            <w:pPr>
              <w:keepNext/>
              <w:jc w:val="center"/>
              <w:rPr>
                <w:rFonts w:ascii="Arial" w:hAnsi="Arial" w:cs="Arial"/>
                <w:color w:val="000000"/>
                <w:sz w:val="20"/>
                <w:szCs w:val="20"/>
              </w:rPr>
            </w:pPr>
            <w:r>
              <w:rPr>
                <w:rFonts w:ascii="Arial" w:hAnsi="Arial" w:cs="Arial"/>
                <w:color w:val="000000"/>
                <w:sz w:val="20"/>
                <w:szCs w:val="20"/>
              </w:rPr>
              <w:t>590.4</w:t>
            </w:r>
          </w:p>
        </w:tc>
        <w:tc>
          <w:tcPr>
            <w:tcW w:w="2355" w:type="dxa"/>
            <w:tcBorders>
              <w:top w:val="nil"/>
              <w:left w:val="nil"/>
              <w:bottom w:val="nil"/>
              <w:right w:val="single" w:sz="4" w:space="0" w:color="auto"/>
            </w:tcBorders>
            <w:shd w:val="clear" w:color="000000" w:fill="FFFFFF"/>
            <w:vAlign w:val="center"/>
            <w:hideMark/>
          </w:tcPr>
          <w:p w14:paraId="68DC15D4" w14:textId="7749F90F" w:rsidR="00757F36" w:rsidRPr="009C55CF" w:rsidRDefault="00757F36" w:rsidP="00757F36">
            <w:pPr>
              <w:keepNext/>
              <w:jc w:val="center"/>
              <w:rPr>
                <w:rFonts w:ascii="Arial" w:hAnsi="Arial" w:cs="Arial"/>
                <w:color w:val="000000"/>
                <w:sz w:val="20"/>
                <w:szCs w:val="20"/>
              </w:rPr>
            </w:pPr>
            <w:r>
              <w:rPr>
                <w:rFonts w:ascii="Arial" w:hAnsi="Arial" w:cs="Arial"/>
                <w:color w:val="000000"/>
                <w:sz w:val="20"/>
                <w:szCs w:val="20"/>
              </w:rPr>
              <w:t>609.0</w:t>
            </w:r>
          </w:p>
        </w:tc>
      </w:tr>
      <w:tr w:rsidR="00757F36" w:rsidRPr="009C55CF" w14:paraId="28A5E55B" w14:textId="77777777" w:rsidTr="009C55CF">
        <w:trPr>
          <w:trHeight w:val="20"/>
          <w:jc w:val="center"/>
        </w:trPr>
        <w:tc>
          <w:tcPr>
            <w:tcW w:w="1314" w:type="dxa"/>
            <w:vMerge/>
            <w:tcBorders>
              <w:top w:val="nil"/>
              <w:left w:val="single" w:sz="4" w:space="0" w:color="auto"/>
              <w:bottom w:val="single" w:sz="4" w:space="0" w:color="auto"/>
              <w:right w:val="nil"/>
            </w:tcBorders>
            <w:vAlign w:val="center"/>
            <w:hideMark/>
          </w:tcPr>
          <w:p w14:paraId="1B1241F3" w14:textId="77777777" w:rsidR="00757F36" w:rsidRPr="009C55CF" w:rsidRDefault="00757F36" w:rsidP="00757F36">
            <w:pPr>
              <w:keepNext/>
              <w:rPr>
                <w:rFonts w:ascii="Arial" w:hAnsi="Arial" w:cs="Arial"/>
                <w:b/>
                <w:bCs/>
                <w:color w:val="000000"/>
                <w:sz w:val="20"/>
                <w:szCs w:val="20"/>
              </w:rPr>
            </w:pPr>
          </w:p>
        </w:tc>
        <w:tc>
          <w:tcPr>
            <w:tcW w:w="2182" w:type="dxa"/>
            <w:tcBorders>
              <w:top w:val="nil"/>
              <w:left w:val="single" w:sz="4" w:space="0" w:color="auto"/>
              <w:bottom w:val="single" w:sz="4" w:space="0" w:color="auto"/>
              <w:right w:val="single" w:sz="4" w:space="0" w:color="auto"/>
            </w:tcBorders>
            <w:shd w:val="clear" w:color="000000" w:fill="FFFFFF"/>
            <w:vAlign w:val="center"/>
            <w:hideMark/>
          </w:tcPr>
          <w:p w14:paraId="2678C518" w14:textId="77777777" w:rsidR="00757F36" w:rsidRPr="009C55CF" w:rsidRDefault="00757F36" w:rsidP="00757F36">
            <w:pPr>
              <w:keepNext/>
              <w:rPr>
                <w:rFonts w:ascii="Arial" w:hAnsi="Arial" w:cs="Arial"/>
                <w:color w:val="000000"/>
                <w:sz w:val="20"/>
                <w:szCs w:val="20"/>
              </w:rPr>
            </w:pPr>
            <w:r w:rsidRPr="009C55CF">
              <w:rPr>
                <w:rFonts w:ascii="Arial" w:hAnsi="Arial" w:cs="Arial"/>
                <w:color w:val="000000"/>
                <w:sz w:val="20"/>
                <w:szCs w:val="20"/>
              </w:rPr>
              <w:t>% Load Impact</w:t>
            </w:r>
          </w:p>
        </w:tc>
        <w:tc>
          <w:tcPr>
            <w:tcW w:w="2454" w:type="dxa"/>
            <w:tcBorders>
              <w:top w:val="nil"/>
              <w:left w:val="nil"/>
              <w:bottom w:val="single" w:sz="4" w:space="0" w:color="auto"/>
              <w:right w:val="single" w:sz="4" w:space="0" w:color="auto"/>
            </w:tcBorders>
            <w:shd w:val="clear" w:color="000000" w:fill="FFFFFF"/>
            <w:vAlign w:val="center"/>
            <w:hideMark/>
          </w:tcPr>
          <w:p w14:paraId="022DFDF1" w14:textId="1EE0C105" w:rsidR="00757F36" w:rsidRPr="009C55CF" w:rsidRDefault="00757F36" w:rsidP="00757F36">
            <w:pPr>
              <w:keepNext/>
              <w:jc w:val="center"/>
              <w:rPr>
                <w:rFonts w:ascii="Arial" w:hAnsi="Arial" w:cs="Arial"/>
                <w:color w:val="000000"/>
                <w:sz w:val="20"/>
                <w:szCs w:val="20"/>
              </w:rPr>
            </w:pPr>
            <w:r>
              <w:rPr>
                <w:rFonts w:ascii="Arial" w:hAnsi="Arial" w:cs="Arial"/>
                <w:color w:val="000000"/>
                <w:sz w:val="20"/>
                <w:szCs w:val="20"/>
              </w:rPr>
              <w:t>56.9%</w:t>
            </w:r>
          </w:p>
        </w:tc>
        <w:tc>
          <w:tcPr>
            <w:tcW w:w="2355" w:type="dxa"/>
            <w:tcBorders>
              <w:top w:val="nil"/>
              <w:left w:val="nil"/>
              <w:bottom w:val="single" w:sz="4" w:space="0" w:color="auto"/>
              <w:right w:val="single" w:sz="4" w:space="0" w:color="auto"/>
            </w:tcBorders>
            <w:shd w:val="clear" w:color="000000" w:fill="FFFFFF"/>
            <w:vAlign w:val="center"/>
            <w:hideMark/>
          </w:tcPr>
          <w:p w14:paraId="3973C052" w14:textId="799F0803" w:rsidR="00757F36" w:rsidRPr="009C55CF" w:rsidRDefault="00757F36" w:rsidP="00757F36">
            <w:pPr>
              <w:keepNext/>
              <w:jc w:val="center"/>
              <w:rPr>
                <w:rFonts w:ascii="Arial" w:hAnsi="Arial" w:cs="Arial"/>
                <w:color w:val="000000"/>
                <w:sz w:val="20"/>
                <w:szCs w:val="20"/>
              </w:rPr>
            </w:pPr>
            <w:r>
              <w:rPr>
                <w:rFonts w:ascii="Arial" w:hAnsi="Arial" w:cs="Arial"/>
                <w:color w:val="000000"/>
                <w:sz w:val="20"/>
                <w:szCs w:val="20"/>
              </w:rPr>
              <w:t>71.4%</w:t>
            </w:r>
          </w:p>
        </w:tc>
      </w:tr>
    </w:tbl>
    <w:p w14:paraId="5FE2C117" w14:textId="77777777" w:rsidR="009C55CF" w:rsidRDefault="009C55CF" w:rsidP="009C55CF">
      <w:pPr>
        <w:pStyle w:val="TableCaption"/>
        <w:keepNext/>
        <w:keepLines/>
      </w:pPr>
    </w:p>
    <w:p w14:paraId="2646C507" w14:textId="23DF1277" w:rsidR="0004544A" w:rsidRDefault="00782E76" w:rsidP="00DA4753">
      <w:r>
        <w:t>Table 6.</w:t>
      </w:r>
      <w:r w:rsidR="00372CA5">
        <w:t>5</w:t>
      </w:r>
      <w:r>
        <w:t xml:space="preserve"> documents the various potential sources of differences between the </w:t>
      </w:r>
      <w:r w:rsidRPr="002A342D">
        <w:rPr>
          <w:i/>
        </w:rPr>
        <w:t>ex</w:t>
      </w:r>
      <w:r w:rsidR="002A342D" w:rsidRPr="002A342D">
        <w:rPr>
          <w:i/>
        </w:rPr>
        <w:t>-</w:t>
      </w:r>
      <w:r w:rsidRPr="002A342D">
        <w:rPr>
          <w:i/>
        </w:rPr>
        <w:t>post</w:t>
      </w:r>
      <w:r>
        <w:t xml:space="preserve"> and </w:t>
      </w:r>
      <w:r w:rsidRPr="002A342D">
        <w:rPr>
          <w:i/>
        </w:rPr>
        <w:t>ex</w:t>
      </w:r>
      <w:r w:rsidR="002A342D" w:rsidRPr="002A342D">
        <w:rPr>
          <w:i/>
        </w:rPr>
        <w:t>-</w:t>
      </w:r>
      <w:r w:rsidRPr="002A342D">
        <w:rPr>
          <w:i/>
        </w:rPr>
        <w:t>ante</w:t>
      </w:r>
      <w:r>
        <w:t xml:space="preserve"> </w:t>
      </w:r>
      <w:r w:rsidR="00B81C3C">
        <w:t>load impacts</w:t>
      </w:r>
      <w:r w:rsidR="00807692">
        <w:t xml:space="preserve">. </w:t>
      </w:r>
    </w:p>
    <w:p w14:paraId="47430B41" w14:textId="77777777" w:rsidR="00782E76" w:rsidRDefault="00782E76" w:rsidP="00DA4753"/>
    <w:p w14:paraId="407049EE" w14:textId="1BC13E6A" w:rsidR="00DA4753" w:rsidRDefault="00DA4753" w:rsidP="00F05294">
      <w:pPr>
        <w:pStyle w:val="TableCaption"/>
        <w:keepNext/>
        <w:keepLines/>
      </w:pPr>
      <w:bookmarkStart w:id="220" w:name="_Toc383598019"/>
      <w:bookmarkStart w:id="221" w:name="_Toc508800236"/>
      <w:r w:rsidRPr="00600F5D">
        <w:lastRenderedPageBreak/>
        <w:t>Table 6.</w:t>
      </w:r>
      <w:r w:rsidR="00372CA5" w:rsidRPr="00600F5D">
        <w:t>5</w:t>
      </w:r>
      <w:r w:rsidRPr="00600F5D">
        <w:t xml:space="preserve">: PG&amp;E </w:t>
      </w:r>
      <w:r w:rsidRPr="00600F5D">
        <w:rPr>
          <w:i/>
        </w:rPr>
        <w:t>Ex</w:t>
      </w:r>
      <w:r w:rsidR="00052CFC" w:rsidRPr="00600F5D">
        <w:rPr>
          <w:i/>
        </w:rPr>
        <w:t>-p</w:t>
      </w:r>
      <w:r w:rsidRPr="00600F5D">
        <w:rPr>
          <w:i/>
        </w:rPr>
        <w:t>ost</w:t>
      </w:r>
      <w:r w:rsidRPr="00600F5D">
        <w:t xml:space="preserve"> versus </w:t>
      </w:r>
      <w:r w:rsidRPr="00600F5D">
        <w:rPr>
          <w:i/>
        </w:rPr>
        <w:t>Ex</w:t>
      </w:r>
      <w:r w:rsidR="00052CFC" w:rsidRPr="00600F5D">
        <w:rPr>
          <w:i/>
        </w:rPr>
        <w:t>-a</w:t>
      </w:r>
      <w:r w:rsidRPr="00600F5D">
        <w:rPr>
          <w:i/>
        </w:rPr>
        <w:t>nte</w:t>
      </w:r>
      <w:r w:rsidRPr="00600F5D">
        <w:t xml:space="preserve"> Factors</w:t>
      </w:r>
      <w:bookmarkEnd w:id="220"/>
      <w:bookmarkEnd w:id="221"/>
    </w:p>
    <w:tbl>
      <w:tblPr>
        <w:tblW w:w="9580" w:type="dxa"/>
        <w:jc w:val="center"/>
        <w:tblLook w:val="04A0" w:firstRow="1" w:lastRow="0" w:firstColumn="1" w:lastColumn="0" w:noHBand="0" w:noVBand="1"/>
      </w:tblPr>
      <w:tblGrid>
        <w:gridCol w:w="1420"/>
        <w:gridCol w:w="2720"/>
        <w:gridCol w:w="2680"/>
        <w:gridCol w:w="2760"/>
      </w:tblGrid>
      <w:tr w:rsidR="00F05294" w:rsidRPr="00F05294" w14:paraId="592AA166" w14:textId="77777777" w:rsidTr="006B55F6">
        <w:trPr>
          <w:trHeight w:val="300"/>
          <w:jc w:val="center"/>
        </w:trPr>
        <w:tc>
          <w:tcPr>
            <w:tcW w:w="1420" w:type="dxa"/>
            <w:tcBorders>
              <w:top w:val="single" w:sz="4" w:space="0" w:color="auto"/>
              <w:left w:val="single" w:sz="4" w:space="0" w:color="auto"/>
              <w:bottom w:val="single" w:sz="4" w:space="0" w:color="auto"/>
              <w:right w:val="single" w:sz="4" w:space="0" w:color="FFFFFF" w:themeColor="background1"/>
            </w:tcBorders>
            <w:shd w:val="clear" w:color="auto" w:fill="0C2577"/>
            <w:vAlign w:val="center"/>
            <w:hideMark/>
          </w:tcPr>
          <w:p w14:paraId="284283AA" w14:textId="77777777" w:rsidR="00F05294" w:rsidRPr="00F05294" w:rsidRDefault="00F05294" w:rsidP="00EB7A51">
            <w:pPr>
              <w:keepNext/>
              <w:jc w:val="center"/>
              <w:rPr>
                <w:rFonts w:ascii="Arial" w:hAnsi="Arial" w:cs="Arial"/>
                <w:b/>
                <w:bCs/>
                <w:color w:val="FFFFFF"/>
                <w:sz w:val="20"/>
                <w:szCs w:val="20"/>
              </w:rPr>
            </w:pPr>
            <w:r w:rsidRPr="00F05294">
              <w:rPr>
                <w:rFonts w:ascii="Arial" w:hAnsi="Arial" w:cs="Arial"/>
                <w:b/>
                <w:bCs/>
                <w:color w:val="FFFFFF"/>
                <w:sz w:val="20"/>
                <w:szCs w:val="20"/>
              </w:rPr>
              <w:t>Factor</w:t>
            </w:r>
          </w:p>
        </w:tc>
        <w:tc>
          <w:tcPr>
            <w:tcW w:w="2720"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C2577"/>
            <w:vAlign w:val="center"/>
            <w:hideMark/>
          </w:tcPr>
          <w:p w14:paraId="1AC1CA61" w14:textId="77777777" w:rsidR="00F05294" w:rsidRPr="00F05294" w:rsidRDefault="00F05294" w:rsidP="00EB7A51">
            <w:pPr>
              <w:keepNext/>
              <w:jc w:val="center"/>
              <w:rPr>
                <w:rFonts w:ascii="Arial" w:hAnsi="Arial" w:cs="Arial"/>
                <w:b/>
                <w:bCs/>
                <w:i/>
                <w:iCs/>
                <w:color w:val="FFFFFF"/>
                <w:sz w:val="20"/>
                <w:szCs w:val="20"/>
              </w:rPr>
            </w:pPr>
            <w:r w:rsidRPr="00F05294">
              <w:rPr>
                <w:rFonts w:ascii="Arial" w:hAnsi="Arial" w:cs="Arial"/>
                <w:b/>
                <w:bCs/>
                <w:i/>
                <w:iCs/>
                <w:color w:val="FFFFFF"/>
                <w:sz w:val="20"/>
                <w:szCs w:val="20"/>
              </w:rPr>
              <w:t>Ex-post</w:t>
            </w:r>
          </w:p>
        </w:tc>
        <w:tc>
          <w:tcPr>
            <w:tcW w:w="2680"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C2577"/>
            <w:vAlign w:val="center"/>
            <w:hideMark/>
          </w:tcPr>
          <w:p w14:paraId="177DB8DE" w14:textId="77777777" w:rsidR="00F05294" w:rsidRPr="00F05294" w:rsidRDefault="00F05294" w:rsidP="00EB7A51">
            <w:pPr>
              <w:keepNext/>
              <w:jc w:val="center"/>
              <w:rPr>
                <w:rFonts w:ascii="Arial" w:hAnsi="Arial" w:cs="Arial"/>
                <w:b/>
                <w:bCs/>
                <w:i/>
                <w:iCs/>
                <w:color w:val="FFFFFF"/>
                <w:sz w:val="20"/>
                <w:szCs w:val="20"/>
              </w:rPr>
            </w:pPr>
            <w:r w:rsidRPr="00F05294">
              <w:rPr>
                <w:rFonts w:ascii="Arial" w:hAnsi="Arial" w:cs="Arial"/>
                <w:b/>
                <w:bCs/>
                <w:i/>
                <w:iCs/>
                <w:color w:val="FFFFFF"/>
                <w:sz w:val="20"/>
                <w:szCs w:val="20"/>
              </w:rPr>
              <w:t>Ex-ante</w:t>
            </w:r>
          </w:p>
        </w:tc>
        <w:tc>
          <w:tcPr>
            <w:tcW w:w="2760" w:type="dxa"/>
            <w:tcBorders>
              <w:top w:val="single" w:sz="4" w:space="0" w:color="auto"/>
              <w:left w:val="single" w:sz="4" w:space="0" w:color="FFFFFF" w:themeColor="background1"/>
              <w:bottom w:val="single" w:sz="4" w:space="0" w:color="auto"/>
              <w:right w:val="single" w:sz="4" w:space="0" w:color="auto"/>
            </w:tcBorders>
            <w:shd w:val="clear" w:color="auto" w:fill="0C2577"/>
            <w:vAlign w:val="center"/>
            <w:hideMark/>
          </w:tcPr>
          <w:p w14:paraId="4D29D704" w14:textId="77777777" w:rsidR="00F05294" w:rsidRPr="00F05294" w:rsidRDefault="00F05294" w:rsidP="00EB7A51">
            <w:pPr>
              <w:keepNext/>
              <w:jc w:val="center"/>
              <w:rPr>
                <w:rFonts w:ascii="Arial" w:hAnsi="Arial" w:cs="Arial"/>
                <w:b/>
                <w:bCs/>
                <w:color w:val="FFFFFF"/>
                <w:sz w:val="20"/>
                <w:szCs w:val="20"/>
              </w:rPr>
            </w:pPr>
            <w:r w:rsidRPr="00F05294">
              <w:rPr>
                <w:rFonts w:ascii="Arial" w:hAnsi="Arial" w:cs="Arial"/>
                <w:b/>
                <w:bCs/>
                <w:color w:val="FFFFFF"/>
                <w:sz w:val="20"/>
                <w:szCs w:val="20"/>
              </w:rPr>
              <w:t>Expected Impact</w:t>
            </w:r>
          </w:p>
        </w:tc>
      </w:tr>
      <w:tr w:rsidR="00F05294" w:rsidRPr="00F05294" w14:paraId="0A176996" w14:textId="77777777" w:rsidTr="00F05294">
        <w:trPr>
          <w:trHeight w:val="1020"/>
          <w:jc w:val="center"/>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537EA3F0" w14:textId="77777777" w:rsidR="00F05294" w:rsidRPr="00F05294" w:rsidRDefault="00F05294" w:rsidP="00EB7A51">
            <w:pPr>
              <w:keepNext/>
              <w:rPr>
                <w:rFonts w:ascii="Arial" w:hAnsi="Arial" w:cs="Arial"/>
                <w:color w:val="000000"/>
                <w:sz w:val="20"/>
                <w:szCs w:val="20"/>
              </w:rPr>
            </w:pPr>
            <w:r w:rsidRPr="00F05294">
              <w:rPr>
                <w:rFonts w:ascii="Arial" w:hAnsi="Arial" w:cs="Arial"/>
                <w:color w:val="000000"/>
                <w:sz w:val="20"/>
                <w:szCs w:val="20"/>
              </w:rPr>
              <w:t>Weather</w:t>
            </w:r>
          </w:p>
        </w:tc>
        <w:tc>
          <w:tcPr>
            <w:tcW w:w="2720" w:type="dxa"/>
            <w:tcBorders>
              <w:top w:val="nil"/>
              <w:left w:val="nil"/>
              <w:bottom w:val="single" w:sz="4" w:space="0" w:color="auto"/>
              <w:right w:val="single" w:sz="4" w:space="0" w:color="auto"/>
            </w:tcBorders>
            <w:shd w:val="clear" w:color="auto" w:fill="auto"/>
            <w:vAlign w:val="center"/>
            <w:hideMark/>
          </w:tcPr>
          <w:p w14:paraId="3C641EE1" w14:textId="29F66A69" w:rsidR="00F05294" w:rsidRPr="00F05294" w:rsidRDefault="00F05294" w:rsidP="00EB7A51">
            <w:pPr>
              <w:keepNext/>
              <w:rPr>
                <w:rFonts w:ascii="Arial" w:hAnsi="Arial" w:cs="Arial"/>
                <w:color w:val="000000"/>
                <w:sz w:val="20"/>
                <w:szCs w:val="20"/>
              </w:rPr>
            </w:pPr>
            <w:r w:rsidRPr="00F05294">
              <w:rPr>
                <w:rFonts w:ascii="Arial" w:hAnsi="Arial" w:cs="Arial"/>
                <w:color w:val="000000"/>
                <w:sz w:val="20"/>
                <w:szCs w:val="20"/>
              </w:rPr>
              <w:t>77.7</w:t>
            </w:r>
            <w:r w:rsidR="00774686">
              <w:rPr>
                <w:rFonts w:ascii="Arial" w:hAnsi="Arial" w:cs="Arial"/>
                <w:color w:val="000000"/>
                <w:sz w:val="20"/>
                <w:szCs w:val="20"/>
              </w:rPr>
              <w:t xml:space="preserve"> </w:t>
            </w:r>
            <w:r w:rsidR="00774686" w:rsidRPr="00F05294">
              <w:rPr>
                <w:rFonts w:ascii="Arial" w:hAnsi="Arial" w:cs="Arial"/>
                <w:color w:val="000000"/>
                <w:sz w:val="20"/>
                <w:szCs w:val="20"/>
              </w:rPr>
              <w:t xml:space="preserve">degrees </w:t>
            </w:r>
            <w:r w:rsidR="00774686">
              <w:rPr>
                <w:rFonts w:ascii="Arial" w:hAnsi="Arial" w:cs="Arial"/>
                <w:color w:val="000000"/>
                <w:sz w:val="20"/>
                <w:szCs w:val="20"/>
              </w:rPr>
              <w:t>on 5/3/2017,</w:t>
            </w:r>
            <w:r w:rsidR="00774686">
              <w:rPr>
                <w:rFonts w:ascii="Arial" w:hAnsi="Arial" w:cs="Arial"/>
                <w:color w:val="000000"/>
                <w:sz w:val="20"/>
                <w:szCs w:val="20"/>
              </w:rPr>
              <w:br/>
            </w:r>
            <w:r w:rsidRPr="00F05294">
              <w:rPr>
                <w:rFonts w:ascii="Arial" w:hAnsi="Arial" w:cs="Arial"/>
                <w:color w:val="000000"/>
                <w:sz w:val="20"/>
                <w:szCs w:val="20"/>
              </w:rPr>
              <w:t>91.</w:t>
            </w:r>
            <w:r w:rsidR="00320302">
              <w:rPr>
                <w:rFonts w:ascii="Arial" w:hAnsi="Arial" w:cs="Arial"/>
                <w:color w:val="000000"/>
                <w:sz w:val="20"/>
                <w:szCs w:val="20"/>
              </w:rPr>
              <w:t>7</w:t>
            </w:r>
            <w:r w:rsidRPr="00F05294">
              <w:rPr>
                <w:rFonts w:ascii="Arial" w:hAnsi="Arial" w:cs="Arial"/>
                <w:color w:val="000000"/>
                <w:sz w:val="20"/>
                <w:szCs w:val="20"/>
              </w:rPr>
              <w:t xml:space="preserve"> </w:t>
            </w:r>
            <w:r w:rsidR="00774686" w:rsidRPr="00F05294">
              <w:rPr>
                <w:rFonts w:ascii="Arial" w:hAnsi="Arial" w:cs="Arial"/>
                <w:color w:val="000000"/>
                <w:sz w:val="20"/>
                <w:szCs w:val="20"/>
              </w:rPr>
              <w:t xml:space="preserve">degrees </w:t>
            </w:r>
            <w:r w:rsidR="00774686">
              <w:rPr>
                <w:rFonts w:ascii="Arial" w:hAnsi="Arial" w:cs="Arial"/>
                <w:color w:val="000000"/>
                <w:sz w:val="20"/>
                <w:szCs w:val="20"/>
              </w:rPr>
              <w:t>on 7/11/2017,</w:t>
            </w:r>
            <w:r w:rsidR="00774686">
              <w:rPr>
                <w:rFonts w:ascii="Arial" w:hAnsi="Arial" w:cs="Arial"/>
                <w:color w:val="000000"/>
                <w:sz w:val="20"/>
                <w:szCs w:val="20"/>
              </w:rPr>
              <w:br/>
            </w:r>
            <w:r w:rsidRPr="00F05294">
              <w:rPr>
                <w:rFonts w:ascii="Arial" w:hAnsi="Arial" w:cs="Arial"/>
                <w:color w:val="000000"/>
                <w:sz w:val="20"/>
                <w:szCs w:val="20"/>
              </w:rPr>
              <w:t>during event hours.</w:t>
            </w:r>
          </w:p>
        </w:tc>
        <w:tc>
          <w:tcPr>
            <w:tcW w:w="2680" w:type="dxa"/>
            <w:tcBorders>
              <w:top w:val="nil"/>
              <w:left w:val="nil"/>
              <w:bottom w:val="single" w:sz="4" w:space="0" w:color="auto"/>
              <w:right w:val="single" w:sz="4" w:space="0" w:color="auto"/>
            </w:tcBorders>
            <w:shd w:val="clear" w:color="000000" w:fill="FFFFFF"/>
            <w:vAlign w:val="center"/>
            <w:hideMark/>
          </w:tcPr>
          <w:p w14:paraId="68017EC5" w14:textId="19B00AD0" w:rsidR="00F05294" w:rsidRPr="00F05294" w:rsidRDefault="00774686" w:rsidP="00EB7A51">
            <w:pPr>
              <w:keepNext/>
              <w:rPr>
                <w:rFonts w:ascii="Arial" w:hAnsi="Arial" w:cs="Arial"/>
                <w:color w:val="000000"/>
                <w:sz w:val="20"/>
                <w:szCs w:val="20"/>
              </w:rPr>
            </w:pPr>
            <w:r>
              <w:rPr>
                <w:rFonts w:ascii="Arial" w:hAnsi="Arial" w:cs="Arial"/>
                <w:color w:val="000000"/>
                <w:sz w:val="20"/>
                <w:szCs w:val="20"/>
              </w:rPr>
              <w:t>96.</w:t>
            </w:r>
            <w:r w:rsidR="00757F36">
              <w:rPr>
                <w:rFonts w:ascii="Arial" w:hAnsi="Arial" w:cs="Arial"/>
                <w:color w:val="000000"/>
                <w:sz w:val="20"/>
                <w:szCs w:val="20"/>
              </w:rPr>
              <w:t>0</w:t>
            </w:r>
            <w:r w:rsidR="00F05294" w:rsidRPr="00F05294">
              <w:rPr>
                <w:rFonts w:ascii="Arial" w:hAnsi="Arial" w:cs="Arial"/>
                <w:color w:val="000000"/>
                <w:sz w:val="20"/>
                <w:szCs w:val="20"/>
              </w:rPr>
              <w:t xml:space="preserve"> degrees Fahrenheit during event hours on utility-specific 1-in-2 typical event day.</w:t>
            </w:r>
          </w:p>
        </w:tc>
        <w:tc>
          <w:tcPr>
            <w:tcW w:w="2760" w:type="dxa"/>
            <w:tcBorders>
              <w:top w:val="nil"/>
              <w:left w:val="nil"/>
              <w:bottom w:val="single" w:sz="4" w:space="0" w:color="auto"/>
              <w:right w:val="single" w:sz="4" w:space="0" w:color="auto"/>
            </w:tcBorders>
            <w:shd w:val="clear" w:color="000000" w:fill="FFFFFF"/>
            <w:vAlign w:val="center"/>
            <w:hideMark/>
          </w:tcPr>
          <w:p w14:paraId="1C692E06" w14:textId="22EA9159" w:rsidR="00F05294" w:rsidRPr="00F05294" w:rsidRDefault="00320302" w:rsidP="00EB7A51">
            <w:pPr>
              <w:keepNext/>
              <w:rPr>
                <w:rFonts w:ascii="Arial" w:hAnsi="Arial" w:cs="Arial"/>
                <w:color w:val="000000"/>
                <w:sz w:val="20"/>
                <w:szCs w:val="20"/>
              </w:rPr>
            </w:pPr>
            <w:r>
              <w:rPr>
                <w:rFonts w:ascii="Arial" w:hAnsi="Arial" w:cs="Arial"/>
                <w:color w:val="000000"/>
                <w:sz w:val="20"/>
                <w:szCs w:val="20"/>
              </w:rPr>
              <w:t>Little to no impact because most customers are categorized as not weather</w:t>
            </w:r>
            <w:r w:rsidR="00072D51">
              <w:rPr>
                <w:rFonts w:ascii="Arial" w:hAnsi="Arial" w:cs="Arial"/>
                <w:color w:val="000000"/>
                <w:sz w:val="20"/>
                <w:szCs w:val="20"/>
              </w:rPr>
              <w:t xml:space="preserve"> sensitive</w:t>
            </w:r>
            <w:r w:rsidR="00F05294" w:rsidRPr="00F05294">
              <w:rPr>
                <w:rFonts w:ascii="Arial" w:hAnsi="Arial" w:cs="Arial"/>
                <w:color w:val="000000"/>
                <w:sz w:val="20"/>
                <w:szCs w:val="20"/>
              </w:rPr>
              <w:t>.</w:t>
            </w:r>
          </w:p>
        </w:tc>
      </w:tr>
      <w:tr w:rsidR="00F05294" w:rsidRPr="00F05294" w14:paraId="79D68129" w14:textId="77777777" w:rsidTr="00F05294">
        <w:trPr>
          <w:trHeight w:val="300"/>
          <w:jc w:val="center"/>
        </w:trPr>
        <w:tc>
          <w:tcPr>
            <w:tcW w:w="1420" w:type="dxa"/>
            <w:vMerge w:val="restart"/>
            <w:tcBorders>
              <w:top w:val="nil"/>
              <w:left w:val="single" w:sz="4" w:space="0" w:color="auto"/>
              <w:bottom w:val="single" w:sz="4" w:space="0" w:color="auto"/>
              <w:right w:val="single" w:sz="4" w:space="0" w:color="auto"/>
            </w:tcBorders>
            <w:shd w:val="clear" w:color="auto" w:fill="auto"/>
            <w:vAlign w:val="center"/>
            <w:hideMark/>
          </w:tcPr>
          <w:p w14:paraId="3F3A44F5" w14:textId="77777777" w:rsidR="00F05294" w:rsidRPr="00F05294" w:rsidRDefault="00F05294" w:rsidP="00EB7A51">
            <w:pPr>
              <w:keepNext/>
              <w:rPr>
                <w:rFonts w:ascii="Arial" w:hAnsi="Arial" w:cs="Arial"/>
                <w:color w:val="000000"/>
                <w:sz w:val="20"/>
                <w:szCs w:val="20"/>
              </w:rPr>
            </w:pPr>
            <w:r w:rsidRPr="00F05294">
              <w:rPr>
                <w:rFonts w:ascii="Arial" w:hAnsi="Arial" w:cs="Arial"/>
                <w:color w:val="000000"/>
                <w:sz w:val="20"/>
                <w:szCs w:val="20"/>
              </w:rPr>
              <w:t>Event window</w:t>
            </w:r>
          </w:p>
        </w:tc>
        <w:tc>
          <w:tcPr>
            <w:tcW w:w="2720" w:type="dxa"/>
            <w:vMerge w:val="restart"/>
            <w:tcBorders>
              <w:top w:val="nil"/>
              <w:left w:val="single" w:sz="4" w:space="0" w:color="auto"/>
              <w:bottom w:val="single" w:sz="4" w:space="0" w:color="auto"/>
              <w:right w:val="single" w:sz="4" w:space="0" w:color="auto"/>
            </w:tcBorders>
            <w:shd w:val="clear" w:color="auto" w:fill="auto"/>
            <w:vAlign w:val="center"/>
            <w:hideMark/>
          </w:tcPr>
          <w:p w14:paraId="39743DF3" w14:textId="1BD6D17C" w:rsidR="00F05294" w:rsidRPr="00F05294" w:rsidRDefault="00F05294" w:rsidP="00EB7A51">
            <w:pPr>
              <w:keepNext/>
              <w:rPr>
                <w:rFonts w:ascii="Arial" w:hAnsi="Arial" w:cs="Arial"/>
                <w:color w:val="000000"/>
                <w:sz w:val="20"/>
                <w:szCs w:val="20"/>
              </w:rPr>
            </w:pPr>
            <w:r w:rsidRPr="00F05294">
              <w:rPr>
                <w:rFonts w:ascii="Arial" w:hAnsi="Arial" w:cs="Arial"/>
                <w:color w:val="000000"/>
                <w:sz w:val="20"/>
                <w:szCs w:val="20"/>
              </w:rPr>
              <w:t>HE 21-22</w:t>
            </w:r>
            <w:r w:rsidR="00774686">
              <w:rPr>
                <w:rFonts w:ascii="Arial" w:hAnsi="Arial" w:cs="Arial"/>
                <w:color w:val="000000"/>
                <w:sz w:val="20"/>
                <w:szCs w:val="20"/>
              </w:rPr>
              <w:t xml:space="preserve"> on 5/3/2017, </w:t>
            </w:r>
            <w:r w:rsidR="00774686">
              <w:rPr>
                <w:rFonts w:ascii="Arial" w:hAnsi="Arial" w:cs="Arial"/>
                <w:color w:val="000000"/>
                <w:sz w:val="20"/>
                <w:szCs w:val="20"/>
              </w:rPr>
              <w:br/>
              <w:t xml:space="preserve">HE </w:t>
            </w:r>
            <w:r w:rsidRPr="00F05294">
              <w:rPr>
                <w:rFonts w:ascii="Arial" w:hAnsi="Arial" w:cs="Arial"/>
                <w:color w:val="000000"/>
                <w:sz w:val="20"/>
                <w:szCs w:val="20"/>
              </w:rPr>
              <w:t>19-20</w:t>
            </w:r>
            <w:r w:rsidR="00774686">
              <w:rPr>
                <w:rFonts w:ascii="Arial" w:hAnsi="Arial" w:cs="Arial"/>
                <w:color w:val="000000"/>
                <w:sz w:val="20"/>
                <w:szCs w:val="20"/>
              </w:rPr>
              <w:t xml:space="preserve"> on 7/11/2017</w:t>
            </w:r>
            <w:r w:rsidRPr="00F05294">
              <w:rPr>
                <w:rFonts w:ascii="Arial" w:hAnsi="Arial" w:cs="Arial"/>
                <w:color w:val="000000"/>
                <w:sz w:val="20"/>
                <w:szCs w:val="20"/>
              </w:rPr>
              <w:t>.</w:t>
            </w:r>
          </w:p>
        </w:tc>
        <w:tc>
          <w:tcPr>
            <w:tcW w:w="2680" w:type="dxa"/>
            <w:tcBorders>
              <w:top w:val="nil"/>
              <w:left w:val="nil"/>
              <w:bottom w:val="single" w:sz="4" w:space="0" w:color="auto"/>
              <w:right w:val="single" w:sz="4" w:space="0" w:color="auto"/>
            </w:tcBorders>
            <w:shd w:val="clear" w:color="000000" w:fill="FFFFFF"/>
            <w:vAlign w:val="center"/>
            <w:hideMark/>
          </w:tcPr>
          <w:p w14:paraId="3B79700A" w14:textId="77777777" w:rsidR="00F05294" w:rsidRPr="00F05294" w:rsidRDefault="00F05294" w:rsidP="00EB7A51">
            <w:pPr>
              <w:keepNext/>
              <w:rPr>
                <w:rFonts w:ascii="Arial" w:hAnsi="Arial" w:cs="Arial"/>
                <w:color w:val="000000"/>
                <w:sz w:val="20"/>
                <w:szCs w:val="20"/>
              </w:rPr>
            </w:pPr>
            <w:r w:rsidRPr="00F05294">
              <w:rPr>
                <w:rFonts w:ascii="Arial" w:hAnsi="Arial" w:cs="Arial"/>
                <w:color w:val="000000"/>
                <w:sz w:val="20"/>
                <w:szCs w:val="20"/>
              </w:rPr>
              <w:t>HE 14-18 in Apr-Oct;</w:t>
            </w:r>
          </w:p>
        </w:tc>
        <w:tc>
          <w:tcPr>
            <w:tcW w:w="27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CC0487" w14:textId="77777777" w:rsidR="00F05294" w:rsidRPr="00F05294" w:rsidRDefault="00F05294" w:rsidP="00EB7A51">
            <w:pPr>
              <w:keepNext/>
              <w:rPr>
                <w:rFonts w:ascii="Arial" w:hAnsi="Arial" w:cs="Arial"/>
                <w:color w:val="000000"/>
                <w:sz w:val="20"/>
                <w:szCs w:val="20"/>
              </w:rPr>
            </w:pPr>
            <w:r w:rsidRPr="00F05294">
              <w:rPr>
                <w:rFonts w:ascii="Arial" w:hAnsi="Arial" w:cs="Arial"/>
                <w:color w:val="000000"/>
                <w:sz w:val="20"/>
                <w:szCs w:val="20"/>
              </w:rPr>
              <w:t xml:space="preserve">Slightly higher average reference loads for </w:t>
            </w:r>
            <w:r w:rsidRPr="00F05294">
              <w:rPr>
                <w:rFonts w:ascii="Arial" w:hAnsi="Arial" w:cs="Arial"/>
                <w:i/>
                <w:iCs/>
                <w:color w:val="000000"/>
                <w:sz w:val="20"/>
                <w:szCs w:val="20"/>
              </w:rPr>
              <w:t>ex-ante</w:t>
            </w:r>
            <w:r w:rsidRPr="00F05294">
              <w:rPr>
                <w:rFonts w:ascii="Arial" w:hAnsi="Arial" w:cs="Arial"/>
                <w:color w:val="000000"/>
                <w:sz w:val="20"/>
                <w:szCs w:val="20"/>
              </w:rPr>
              <w:t>.</w:t>
            </w:r>
          </w:p>
        </w:tc>
      </w:tr>
      <w:tr w:rsidR="00F05294" w:rsidRPr="00F05294" w14:paraId="03420B13" w14:textId="77777777" w:rsidTr="00F05294">
        <w:trPr>
          <w:trHeight w:val="300"/>
          <w:jc w:val="center"/>
        </w:trPr>
        <w:tc>
          <w:tcPr>
            <w:tcW w:w="1420" w:type="dxa"/>
            <w:vMerge/>
            <w:tcBorders>
              <w:top w:val="nil"/>
              <w:left w:val="single" w:sz="4" w:space="0" w:color="auto"/>
              <w:bottom w:val="single" w:sz="4" w:space="0" w:color="auto"/>
              <w:right w:val="single" w:sz="4" w:space="0" w:color="auto"/>
            </w:tcBorders>
            <w:vAlign w:val="center"/>
            <w:hideMark/>
          </w:tcPr>
          <w:p w14:paraId="35260518" w14:textId="77777777" w:rsidR="00F05294" w:rsidRPr="00F05294" w:rsidRDefault="00F05294" w:rsidP="00EB7A51">
            <w:pPr>
              <w:keepNext/>
              <w:rPr>
                <w:rFonts w:ascii="Arial" w:hAnsi="Arial" w:cs="Arial"/>
                <w:color w:val="000000"/>
                <w:sz w:val="20"/>
                <w:szCs w:val="20"/>
              </w:rPr>
            </w:pPr>
          </w:p>
        </w:tc>
        <w:tc>
          <w:tcPr>
            <w:tcW w:w="2720" w:type="dxa"/>
            <w:vMerge/>
            <w:tcBorders>
              <w:top w:val="nil"/>
              <w:left w:val="single" w:sz="4" w:space="0" w:color="auto"/>
              <w:bottom w:val="single" w:sz="4" w:space="0" w:color="auto"/>
              <w:right w:val="single" w:sz="4" w:space="0" w:color="auto"/>
            </w:tcBorders>
            <w:vAlign w:val="center"/>
            <w:hideMark/>
          </w:tcPr>
          <w:p w14:paraId="0E9E45A9" w14:textId="77777777" w:rsidR="00F05294" w:rsidRPr="00F05294" w:rsidRDefault="00F05294" w:rsidP="00EB7A51">
            <w:pPr>
              <w:keepNext/>
              <w:rPr>
                <w:rFonts w:ascii="Arial" w:hAnsi="Arial" w:cs="Arial"/>
                <w:color w:val="000000"/>
                <w:sz w:val="20"/>
                <w:szCs w:val="20"/>
              </w:rPr>
            </w:pPr>
          </w:p>
        </w:tc>
        <w:tc>
          <w:tcPr>
            <w:tcW w:w="2680" w:type="dxa"/>
            <w:tcBorders>
              <w:top w:val="nil"/>
              <w:left w:val="nil"/>
              <w:bottom w:val="single" w:sz="4" w:space="0" w:color="auto"/>
              <w:right w:val="single" w:sz="4" w:space="0" w:color="auto"/>
            </w:tcBorders>
            <w:shd w:val="clear" w:color="000000" w:fill="FFFFFF"/>
            <w:vAlign w:val="center"/>
            <w:hideMark/>
          </w:tcPr>
          <w:p w14:paraId="68E312FF" w14:textId="77777777" w:rsidR="00F05294" w:rsidRPr="00F05294" w:rsidRDefault="00F05294" w:rsidP="00EB7A51">
            <w:pPr>
              <w:keepNext/>
              <w:rPr>
                <w:rFonts w:ascii="Arial" w:hAnsi="Arial" w:cs="Arial"/>
                <w:color w:val="000000"/>
                <w:sz w:val="20"/>
                <w:szCs w:val="20"/>
              </w:rPr>
            </w:pPr>
            <w:r w:rsidRPr="00F05294">
              <w:rPr>
                <w:rFonts w:ascii="Arial" w:hAnsi="Arial" w:cs="Arial"/>
                <w:color w:val="000000"/>
                <w:sz w:val="20"/>
                <w:szCs w:val="20"/>
              </w:rPr>
              <w:t>HE 17-21 in Nov-Mar.</w:t>
            </w:r>
          </w:p>
        </w:tc>
        <w:tc>
          <w:tcPr>
            <w:tcW w:w="2760" w:type="dxa"/>
            <w:vMerge/>
            <w:tcBorders>
              <w:top w:val="nil"/>
              <w:left w:val="single" w:sz="4" w:space="0" w:color="auto"/>
              <w:bottom w:val="single" w:sz="4" w:space="0" w:color="auto"/>
              <w:right w:val="single" w:sz="4" w:space="0" w:color="auto"/>
            </w:tcBorders>
            <w:vAlign w:val="center"/>
            <w:hideMark/>
          </w:tcPr>
          <w:p w14:paraId="6A5CC016" w14:textId="77777777" w:rsidR="00F05294" w:rsidRPr="00F05294" w:rsidRDefault="00F05294" w:rsidP="00EB7A51">
            <w:pPr>
              <w:keepNext/>
              <w:rPr>
                <w:rFonts w:ascii="Arial" w:hAnsi="Arial" w:cs="Arial"/>
                <w:color w:val="000000"/>
                <w:sz w:val="20"/>
                <w:szCs w:val="20"/>
              </w:rPr>
            </w:pPr>
          </w:p>
        </w:tc>
      </w:tr>
      <w:tr w:rsidR="00F05294" w:rsidRPr="00F05294" w14:paraId="5EE50821" w14:textId="77777777" w:rsidTr="00F05294">
        <w:trPr>
          <w:trHeight w:val="765"/>
          <w:jc w:val="center"/>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17AF8DC7" w14:textId="77777777" w:rsidR="00F05294" w:rsidRPr="00F05294" w:rsidRDefault="00F05294" w:rsidP="00EB7A51">
            <w:pPr>
              <w:keepNext/>
              <w:rPr>
                <w:rFonts w:ascii="Arial" w:hAnsi="Arial" w:cs="Arial"/>
                <w:color w:val="000000"/>
                <w:sz w:val="20"/>
                <w:szCs w:val="20"/>
              </w:rPr>
            </w:pPr>
            <w:r w:rsidRPr="00F05294">
              <w:rPr>
                <w:rFonts w:ascii="Arial" w:hAnsi="Arial" w:cs="Arial"/>
                <w:color w:val="000000"/>
                <w:sz w:val="20"/>
                <w:szCs w:val="20"/>
              </w:rPr>
              <w:t>% of resource dispatched</w:t>
            </w:r>
          </w:p>
        </w:tc>
        <w:tc>
          <w:tcPr>
            <w:tcW w:w="2720" w:type="dxa"/>
            <w:tcBorders>
              <w:top w:val="nil"/>
              <w:left w:val="nil"/>
              <w:bottom w:val="single" w:sz="4" w:space="0" w:color="auto"/>
              <w:right w:val="single" w:sz="4" w:space="0" w:color="auto"/>
            </w:tcBorders>
            <w:shd w:val="clear" w:color="auto" w:fill="auto"/>
            <w:vAlign w:val="center"/>
            <w:hideMark/>
          </w:tcPr>
          <w:p w14:paraId="44DED5C6" w14:textId="1DBEB1C3" w:rsidR="00F05294" w:rsidRPr="00F05294" w:rsidRDefault="00600F5D" w:rsidP="00EB7A51">
            <w:pPr>
              <w:keepNext/>
              <w:rPr>
                <w:rFonts w:ascii="Arial" w:hAnsi="Arial" w:cs="Arial"/>
                <w:color w:val="000000"/>
                <w:sz w:val="20"/>
                <w:szCs w:val="20"/>
              </w:rPr>
            </w:pPr>
            <w:r>
              <w:rPr>
                <w:rFonts w:ascii="Arial" w:hAnsi="Arial" w:cs="Arial"/>
                <w:color w:val="000000"/>
                <w:sz w:val="20"/>
                <w:szCs w:val="20"/>
              </w:rPr>
              <w:t>All on the 5/3/2017 event.</w:t>
            </w:r>
          </w:p>
        </w:tc>
        <w:tc>
          <w:tcPr>
            <w:tcW w:w="2680" w:type="dxa"/>
            <w:tcBorders>
              <w:top w:val="nil"/>
              <w:left w:val="nil"/>
              <w:bottom w:val="single" w:sz="4" w:space="0" w:color="auto"/>
              <w:right w:val="single" w:sz="4" w:space="0" w:color="auto"/>
            </w:tcBorders>
            <w:shd w:val="clear" w:color="000000" w:fill="FFFFFF"/>
            <w:vAlign w:val="center"/>
            <w:hideMark/>
          </w:tcPr>
          <w:p w14:paraId="33BBEC8A" w14:textId="77777777" w:rsidR="00F05294" w:rsidRPr="00F05294" w:rsidRDefault="00F05294" w:rsidP="00EB7A51">
            <w:pPr>
              <w:keepNext/>
              <w:rPr>
                <w:rFonts w:ascii="Arial" w:hAnsi="Arial" w:cs="Arial"/>
                <w:color w:val="000000"/>
                <w:sz w:val="20"/>
                <w:szCs w:val="20"/>
              </w:rPr>
            </w:pPr>
            <w:r w:rsidRPr="00F05294">
              <w:rPr>
                <w:rFonts w:ascii="Arial" w:hAnsi="Arial" w:cs="Arial"/>
                <w:color w:val="000000"/>
                <w:sz w:val="20"/>
                <w:szCs w:val="20"/>
              </w:rPr>
              <w:t>Assume all customers are called.</w:t>
            </w:r>
          </w:p>
        </w:tc>
        <w:tc>
          <w:tcPr>
            <w:tcW w:w="2760" w:type="dxa"/>
            <w:tcBorders>
              <w:top w:val="nil"/>
              <w:left w:val="nil"/>
              <w:bottom w:val="single" w:sz="4" w:space="0" w:color="auto"/>
              <w:right w:val="single" w:sz="4" w:space="0" w:color="auto"/>
            </w:tcBorders>
            <w:shd w:val="clear" w:color="000000" w:fill="FFFFFF"/>
            <w:vAlign w:val="center"/>
            <w:hideMark/>
          </w:tcPr>
          <w:p w14:paraId="4B6E3B48" w14:textId="77777777" w:rsidR="00F05294" w:rsidRPr="00F05294" w:rsidRDefault="00F05294" w:rsidP="00EB7A51">
            <w:pPr>
              <w:keepNext/>
              <w:rPr>
                <w:rFonts w:ascii="Arial" w:hAnsi="Arial" w:cs="Arial"/>
                <w:color w:val="000000"/>
                <w:sz w:val="20"/>
                <w:szCs w:val="20"/>
              </w:rPr>
            </w:pPr>
            <w:r w:rsidRPr="00F05294">
              <w:rPr>
                <w:rFonts w:ascii="Arial" w:hAnsi="Arial" w:cs="Arial"/>
                <w:color w:val="000000"/>
                <w:sz w:val="20"/>
                <w:szCs w:val="20"/>
              </w:rPr>
              <w:t xml:space="preserve">None. The </w:t>
            </w:r>
            <w:r w:rsidRPr="00F05294">
              <w:rPr>
                <w:rFonts w:ascii="Arial" w:hAnsi="Arial" w:cs="Arial"/>
                <w:i/>
                <w:iCs/>
                <w:color w:val="000000"/>
                <w:sz w:val="20"/>
                <w:szCs w:val="20"/>
              </w:rPr>
              <w:t>ex-ante</w:t>
            </w:r>
            <w:r w:rsidRPr="00F05294">
              <w:rPr>
                <w:rFonts w:ascii="Arial" w:hAnsi="Arial" w:cs="Arial"/>
                <w:color w:val="000000"/>
                <w:sz w:val="20"/>
                <w:szCs w:val="20"/>
              </w:rPr>
              <w:t xml:space="preserve"> method assumes that all enrolled customers are dispatched.</w:t>
            </w:r>
          </w:p>
        </w:tc>
      </w:tr>
      <w:tr w:rsidR="00F05294" w:rsidRPr="00F05294" w14:paraId="17C7E9A6" w14:textId="77777777" w:rsidTr="00F05294">
        <w:trPr>
          <w:trHeight w:val="2040"/>
          <w:jc w:val="center"/>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1375C510" w14:textId="77777777" w:rsidR="00F05294" w:rsidRPr="00F05294" w:rsidRDefault="00F05294" w:rsidP="00EB7A51">
            <w:pPr>
              <w:keepNext/>
              <w:rPr>
                <w:rFonts w:ascii="Arial" w:hAnsi="Arial" w:cs="Arial"/>
                <w:color w:val="000000"/>
                <w:sz w:val="20"/>
                <w:szCs w:val="20"/>
              </w:rPr>
            </w:pPr>
            <w:r w:rsidRPr="00F05294">
              <w:rPr>
                <w:rFonts w:ascii="Arial" w:hAnsi="Arial" w:cs="Arial"/>
                <w:color w:val="000000"/>
                <w:sz w:val="20"/>
                <w:szCs w:val="20"/>
              </w:rPr>
              <w:t>Enrollment</w:t>
            </w:r>
          </w:p>
        </w:tc>
        <w:tc>
          <w:tcPr>
            <w:tcW w:w="2720" w:type="dxa"/>
            <w:tcBorders>
              <w:top w:val="nil"/>
              <w:left w:val="nil"/>
              <w:bottom w:val="single" w:sz="4" w:space="0" w:color="auto"/>
              <w:right w:val="single" w:sz="4" w:space="0" w:color="auto"/>
            </w:tcBorders>
            <w:shd w:val="clear" w:color="auto" w:fill="auto"/>
            <w:vAlign w:val="center"/>
            <w:hideMark/>
          </w:tcPr>
          <w:p w14:paraId="2815BFF2" w14:textId="54BD8517" w:rsidR="00F05294" w:rsidRPr="00F05294" w:rsidRDefault="00F05294" w:rsidP="00EB7A51">
            <w:pPr>
              <w:keepNext/>
              <w:rPr>
                <w:rFonts w:ascii="Arial" w:hAnsi="Arial" w:cs="Arial"/>
                <w:color w:val="000000"/>
                <w:sz w:val="20"/>
                <w:szCs w:val="20"/>
              </w:rPr>
            </w:pPr>
            <w:r w:rsidRPr="00F05294">
              <w:rPr>
                <w:rFonts w:ascii="Arial" w:hAnsi="Arial" w:cs="Arial"/>
                <w:color w:val="000000"/>
                <w:sz w:val="20"/>
                <w:szCs w:val="20"/>
              </w:rPr>
              <w:t xml:space="preserve">327 </w:t>
            </w:r>
            <w:r w:rsidR="00DF5A48">
              <w:rPr>
                <w:rFonts w:ascii="Arial" w:hAnsi="Arial" w:cs="Arial"/>
                <w:color w:val="000000"/>
                <w:sz w:val="20"/>
                <w:szCs w:val="20"/>
              </w:rPr>
              <w:t>customer</w:t>
            </w:r>
            <w:r w:rsidRPr="00F05294">
              <w:rPr>
                <w:rFonts w:ascii="Arial" w:hAnsi="Arial" w:cs="Arial"/>
                <w:color w:val="000000"/>
                <w:sz w:val="20"/>
                <w:szCs w:val="20"/>
              </w:rPr>
              <w:t xml:space="preserve">s during the 5/3/2017 event day; 75 </w:t>
            </w:r>
            <w:r w:rsidR="00DF5A48">
              <w:rPr>
                <w:rFonts w:ascii="Arial" w:hAnsi="Arial" w:cs="Arial"/>
                <w:color w:val="000000"/>
                <w:sz w:val="20"/>
                <w:szCs w:val="20"/>
              </w:rPr>
              <w:t>customer</w:t>
            </w:r>
            <w:r w:rsidR="00DF5A48" w:rsidRPr="00F05294">
              <w:rPr>
                <w:rFonts w:ascii="Arial" w:hAnsi="Arial" w:cs="Arial"/>
                <w:color w:val="000000"/>
                <w:sz w:val="20"/>
                <w:szCs w:val="20"/>
              </w:rPr>
              <w:t xml:space="preserve">s </w:t>
            </w:r>
            <w:r w:rsidRPr="00F05294">
              <w:rPr>
                <w:rFonts w:ascii="Arial" w:hAnsi="Arial" w:cs="Arial"/>
                <w:color w:val="000000"/>
                <w:sz w:val="20"/>
                <w:szCs w:val="20"/>
              </w:rPr>
              <w:t>during the 7/11/2017 event day.</w:t>
            </w:r>
          </w:p>
        </w:tc>
        <w:tc>
          <w:tcPr>
            <w:tcW w:w="2680" w:type="dxa"/>
            <w:tcBorders>
              <w:top w:val="nil"/>
              <w:left w:val="nil"/>
              <w:bottom w:val="single" w:sz="4" w:space="0" w:color="auto"/>
              <w:right w:val="single" w:sz="4" w:space="0" w:color="auto"/>
            </w:tcBorders>
            <w:shd w:val="clear" w:color="000000" w:fill="FFFFFF"/>
            <w:vAlign w:val="center"/>
            <w:hideMark/>
          </w:tcPr>
          <w:p w14:paraId="6571652D" w14:textId="20D5A4B2" w:rsidR="00F05294" w:rsidRPr="00F05294" w:rsidRDefault="00757F36" w:rsidP="00EB7A51">
            <w:pPr>
              <w:keepNext/>
              <w:rPr>
                <w:rFonts w:ascii="Arial" w:hAnsi="Arial" w:cs="Arial"/>
                <w:color w:val="000000"/>
                <w:sz w:val="20"/>
                <w:szCs w:val="20"/>
              </w:rPr>
            </w:pPr>
            <w:r>
              <w:rPr>
                <w:rFonts w:ascii="Arial" w:hAnsi="Arial" w:cs="Arial"/>
                <w:color w:val="000000"/>
                <w:sz w:val="20"/>
                <w:szCs w:val="20"/>
              </w:rPr>
              <w:t>362</w:t>
            </w:r>
            <w:r w:rsidR="00774686" w:rsidRPr="00F05294">
              <w:rPr>
                <w:rFonts w:ascii="Arial" w:hAnsi="Arial" w:cs="Arial"/>
                <w:color w:val="000000"/>
                <w:sz w:val="20"/>
                <w:szCs w:val="20"/>
              </w:rPr>
              <w:t xml:space="preserve"> </w:t>
            </w:r>
            <w:r w:rsidR="00DF5A48">
              <w:rPr>
                <w:rFonts w:ascii="Arial" w:hAnsi="Arial" w:cs="Arial"/>
                <w:color w:val="000000"/>
                <w:sz w:val="20"/>
                <w:szCs w:val="20"/>
              </w:rPr>
              <w:t>customer</w:t>
            </w:r>
            <w:r w:rsidR="00DF5A48" w:rsidRPr="00F05294">
              <w:rPr>
                <w:rFonts w:ascii="Arial" w:hAnsi="Arial" w:cs="Arial"/>
                <w:color w:val="000000"/>
                <w:sz w:val="20"/>
                <w:szCs w:val="20"/>
              </w:rPr>
              <w:t>s</w:t>
            </w:r>
            <w:r w:rsidR="00F05294" w:rsidRPr="00F05294">
              <w:rPr>
                <w:rFonts w:ascii="Arial" w:hAnsi="Arial" w:cs="Arial"/>
                <w:color w:val="000000"/>
                <w:sz w:val="20"/>
                <w:szCs w:val="20"/>
              </w:rPr>
              <w:t>.</w:t>
            </w:r>
          </w:p>
        </w:tc>
        <w:tc>
          <w:tcPr>
            <w:tcW w:w="2760" w:type="dxa"/>
            <w:tcBorders>
              <w:top w:val="nil"/>
              <w:left w:val="nil"/>
              <w:bottom w:val="single" w:sz="4" w:space="0" w:color="auto"/>
              <w:right w:val="single" w:sz="4" w:space="0" w:color="auto"/>
            </w:tcBorders>
            <w:shd w:val="clear" w:color="000000" w:fill="FFFFFF"/>
            <w:vAlign w:val="center"/>
            <w:hideMark/>
          </w:tcPr>
          <w:p w14:paraId="4A436D60" w14:textId="3577FE23" w:rsidR="00F05294" w:rsidRPr="00F05294" w:rsidRDefault="00757F36" w:rsidP="00757F36">
            <w:pPr>
              <w:keepNext/>
              <w:rPr>
                <w:rFonts w:ascii="Arial" w:hAnsi="Arial" w:cs="Arial"/>
                <w:color w:val="000000"/>
                <w:sz w:val="20"/>
                <w:szCs w:val="20"/>
              </w:rPr>
            </w:pPr>
            <w:r>
              <w:rPr>
                <w:rFonts w:ascii="Arial" w:hAnsi="Arial" w:cs="Arial"/>
                <w:color w:val="000000"/>
                <w:sz w:val="20"/>
                <w:szCs w:val="20"/>
              </w:rPr>
              <w:t>70</w:t>
            </w:r>
            <w:r w:rsidR="00774686">
              <w:rPr>
                <w:rFonts w:ascii="Arial" w:hAnsi="Arial" w:cs="Arial"/>
                <w:color w:val="000000"/>
                <w:sz w:val="20"/>
                <w:szCs w:val="20"/>
              </w:rPr>
              <w:t xml:space="preserve"> smaller</w:t>
            </w:r>
            <w:r w:rsidR="00600F5D">
              <w:rPr>
                <w:rFonts w:ascii="Arial" w:hAnsi="Arial" w:cs="Arial"/>
                <w:color w:val="000000"/>
                <w:sz w:val="20"/>
                <w:szCs w:val="20"/>
              </w:rPr>
              <w:t>-</w:t>
            </w:r>
            <w:r w:rsidR="00774686">
              <w:rPr>
                <w:rFonts w:ascii="Arial" w:hAnsi="Arial" w:cs="Arial"/>
                <w:color w:val="000000"/>
                <w:sz w:val="20"/>
                <w:szCs w:val="20"/>
              </w:rPr>
              <w:t>than</w:t>
            </w:r>
            <w:r w:rsidR="00600F5D">
              <w:rPr>
                <w:rFonts w:ascii="Arial" w:hAnsi="Arial" w:cs="Arial"/>
                <w:color w:val="000000"/>
                <w:sz w:val="20"/>
                <w:szCs w:val="20"/>
              </w:rPr>
              <w:t>-</w:t>
            </w:r>
            <w:r w:rsidR="00774686">
              <w:rPr>
                <w:rFonts w:ascii="Arial" w:hAnsi="Arial" w:cs="Arial"/>
                <w:color w:val="000000"/>
                <w:sz w:val="20"/>
                <w:szCs w:val="20"/>
              </w:rPr>
              <w:t xml:space="preserve">average </w:t>
            </w:r>
            <w:r w:rsidR="00DF5A48">
              <w:rPr>
                <w:rFonts w:ascii="Arial" w:hAnsi="Arial" w:cs="Arial"/>
                <w:color w:val="000000"/>
                <w:sz w:val="20"/>
                <w:szCs w:val="20"/>
              </w:rPr>
              <w:t>customer</w:t>
            </w:r>
            <w:r w:rsidR="00DF5A48" w:rsidRPr="00F05294">
              <w:rPr>
                <w:rFonts w:ascii="Arial" w:hAnsi="Arial" w:cs="Arial"/>
                <w:color w:val="000000"/>
                <w:sz w:val="20"/>
                <w:szCs w:val="20"/>
              </w:rPr>
              <w:t xml:space="preserve">s </w:t>
            </w:r>
            <w:r w:rsidR="00F05294" w:rsidRPr="00F05294">
              <w:rPr>
                <w:rFonts w:ascii="Arial" w:hAnsi="Arial" w:cs="Arial"/>
                <w:color w:val="000000"/>
                <w:sz w:val="20"/>
                <w:szCs w:val="20"/>
              </w:rPr>
              <w:t>joined</w:t>
            </w:r>
            <w:r w:rsidR="00600F5D">
              <w:rPr>
                <w:rFonts w:ascii="Arial" w:hAnsi="Arial" w:cs="Arial"/>
                <w:color w:val="000000"/>
                <w:sz w:val="20"/>
                <w:szCs w:val="20"/>
              </w:rPr>
              <w:t xml:space="preserve"> BIP</w:t>
            </w:r>
            <w:r w:rsidR="00F05294" w:rsidRPr="00F05294">
              <w:rPr>
                <w:rFonts w:ascii="Arial" w:hAnsi="Arial" w:cs="Arial"/>
                <w:color w:val="000000"/>
                <w:sz w:val="20"/>
                <w:szCs w:val="20"/>
              </w:rPr>
              <w:t xml:space="preserve">, while </w:t>
            </w:r>
            <w:r w:rsidR="00774686">
              <w:rPr>
                <w:rFonts w:ascii="Arial" w:hAnsi="Arial" w:cs="Arial"/>
                <w:color w:val="000000"/>
                <w:sz w:val="20"/>
                <w:szCs w:val="20"/>
              </w:rPr>
              <w:t>35 larger</w:t>
            </w:r>
            <w:r w:rsidR="00600F5D">
              <w:rPr>
                <w:rFonts w:ascii="Arial" w:hAnsi="Arial" w:cs="Arial"/>
                <w:color w:val="000000"/>
                <w:sz w:val="20"/>
                <w:szCs w:val="20"/>
              </w:rPr>
              <w:t>-</w:t>
            </w:r>
            <w:r w:rsidR="00774686">
              <w:rPr>
                <w:rFonts w:ascii="Arial" w:hAnsi="Arial" w:cs="Arial"/>
                <w:color w:val="000000"/>
                <w:sz w:val="20"/>
                <w:szCs w:val="20"/>
              </w:rPr>
              <w:t>than</w:t>
            </w:r>
            <w:r w:rsidR="00600F5D">
              <w:rPr>
                <w:rFonts w:ascii="Arial" w:hAnsi="Arial" w:cs="Arial"/>
                <w:color w:val="000000"/>
                <w:sz w:val="20"/>
                <w:szCs w:val="20"/>
              </w:rPr>
              <w:t>-</w:t>
            </w:r>
            <w:r w:rsidR="00774686">
              <w:rPr>
                <w:rFonts w:ascii="Arial" w:hAnsi="Arial" w:cs="Arial"/>
                <w:color w:val="000000"/>
                <w:sz w:val="20"/>
                <w:szCs w:val="20"/>
              </w:rPr>
              <w:t>average</w:t>
            </w:r>
            <w:r w:rsidR="00F05294" w:rsidRPr="00F05294">
              <w:rPr>
                <w:rFonts w:ascii="Arial" w:hAnsi="Arial" w:cs="Arial"/>
                <w:color w:val="000000"/>
                <w:sz w:val="20"/>
                <w:szCs w:val="20"/>
              </w:rPr>
              <w:t xml:space="preserve"> </w:t>
            </w:r>
            <w:r w:rsidR="00DF5A48">
              <w:rPr>
                <w:rFonts w:ascii="Arial" w:hAnsi="Arial" w:cs="Arial"/>
                <w:color w:val="000000"/>
                <w:sz w:val="20"/>
                <w:szCs w:val="20"/>
              </w:rPr>
              <w:t>customer</w:t>
            </w:r>
            <w:r w:rsidR="00DF5A48" w:rsidRPr="00F05294">
              <w:rPr>
                <w:rFonts w:ascii="Arial" w:hAnsi="Arial" w:cs="Arial"/>
                <w:color w:val="000000"/>
                <w:sz w:val="20"/>
                <w:szCs w:val="20"/>
              </w:rPr>
              <w:t xml:space="preserve">s </w:t>
            </w:r>
            <w:r w:rsidR="00600F5D">
              <w:rPr>
                <w:rFonts w:ascii="Arial" w:hAnsi="Arial" w:cs="Arial"/>
                <w:color w:val="000000"/>
                <w:sz w:val="20"/>
                <w:szCs w:val="20"/>
              </w:rPr>
              <w:t>de-enrolled</w:t>
            </w:r>
            <w:r w:rsidR="00F05294" w:rsidRPr="00F05294">
              <w:rPr>
                <w:rFonts w:ascii="Arial" w:hAnsi="Arial" w:cs="Arial"/>
                <w:color w:val="000000"/>
                <w:sz w:val="20"/>
                <w:szCs w:val="20"/>
              </w:rPr>
              <w:t xml:space="preserve">, increasing aggregate reference loads and load impacts somewhat </w:t>
            </w:r>
            <w:r w:rsidR="00774686">
              <w:rPr>
                <w:rFonts w:ascii="Arial" w:hAnsi="Arial" w:cs="Arial"/>
                <w:color w:val="000000"/>
                <w:sz w:val="20"/>
                <w:szCs w:val="20"/>
              </w:rPr>
              <w:t>while decreasing</w:t>
            </w:r>
            <w:r w:rsidR="00F05294" w:rsidRPr="00F05294">
              <w:rPr>
                <w:rFonts w:ascii="Arial" w:hAnsi="Arial" w:cs="Arial"/>
                <w:color w:val="000000"/>
                <w:sz w:val="20"/>
                <w:szCs w:val="20"/>
              </w:rPr>
              <w:t xml:space="preserve"> per-customer </w:t>
            </w:r>
            <w:r w:rsidR="00774686">
              <w:rPr>
                <w:rFonts w:ascii="Arial" w:hAnsi="Arial" w:cs="Arial"/>
                <w:color w:val="000000"/>
                <w:sz w:val="20"/>
                <w:szCs w:val="20"/>
              </w:rPr>
              <w:t>reference loads</w:t>
            </w:r>
            <w:r w:rsidR="00F05294" w:rsidRPr="00F05294">
              <w:rPr>
                <w:rFonts w:ascii="Arial" w:hAnsi="Arial" w:cs="Arial"/>
                <w:color w:val="000000"/>
                <w:sz w:val="20"/>
                <w:szCs w:val="20"/>
              </w:rPr>
              <w:t xml:space="preserve">. </w:t>
            </w:r>
          </w:p>
        </w:tc>
      </w:tr>
      <w:tr w:rsidR="00F05294" w:rsidRPr="00F05294" w14:paraId="0439226E" w14:textId="77777777" w:rsidTr="00F05294">
        <w:trPr>
          <w:trHeight w:val="1530"/>
          <w:jc w:val="center"/>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6B5B3CC0" w14:textId="77777777" w:rsidR="00F05294" w:rsidRPr="00F05294" w:rsidRDefault="00F05294" w:rsidP="00EB7A51">
            <w:pPr>
              <w:keepNext/>
              <w:rPr>
                <w:rFonts w:ascii="Arial" w:hAnsi="Arial" w:cs="Arial"/>
                <w:color w:val="000000"/>
                <w:sz w:val="20"/>
                <w:szCs w:val="20"/>
              </w:rPr>
            </w:pPr>
            <w:r w:rsidRPr="00F05294">
              <w:rPr>
                <w:rFonts w:ascii="Arial" w:hAnsi="Arial" w:cs="Arial"/>
                <w:color w:val="000000"/>
                <w:sz w:val="20"/>
                <w:szCs w:val="20"/>
              </w:rPr>
              <w:t>Methodology</w:t>
            </w:r>
          </w:p>
        </w:tc>
        <w:tc>
          <w:tcPr>
            <w:tcW w:w="2720" w:type="dxa"/>
            <w:tcBorders>
              <w:top w:val="nil"/>
              <w:left w:val="nil"/>
              <w:bottom w:val="single" w:sz="4" w:space="0" w:color="auto"/>
              <w:right w:val="single" w:sz="4" w:space="0" w:color="auto"/>
            </w:tcBorders>
            <w:shd w:val="clear" w:color="auto" w:fill="auto"/>
            <w:vAlign w:val="center"/>
            <w:hideMark/>
          </w:tcPr>
          <w:p w14:paraId="26367B7A" w14:textId="5043F951" w:rsidR="00F05294" w:rsidRPr="00F05294" w:rsidRDefault="00224EF7" w:rsidP="00EB7A51">
            <w:pPr>
              <w:keepNext/>
              <w:rPr>
                <w:rFonts w:ascii="Arial" w:hAnsi="Arial" w:cs="Arial"/>
                <w:color w:val="000000"/>
                <w:sz w:val="20"/>
                <w:szCs w:val="20"/>
              </w:rPr>
            </w:pPr>
            <w:r>
              <w:rPr>
                <w:rFonts w:ascii="Arial" w:hAnsi="Arial" w:cs="Arial"/>
                <w:color w:val="000000"/>
                <w:sz w:val="20"/>
                <w:szCs w:val="20"/>
              </w:rPr>
              <w:t>Customer</w:t>
            </w:r>
            <w:r w:rsidR="00F05294" w:rsidRPr="00F05294">
              <w:rPr>
                <w:rFonts w:ascii="Arial" w:hAnsi="Arial" w:cs="Arial"/>
                <w:color w:val="000000"/>
                <w:sz w:val="20"/>
                <w:szCs w:val="20"/>
              </w:rPr>
              <w:t>-specific regressions using own within-subject analysis.</w:t>
            </w:r>
          </w:p>
        </w:tc>
        <w:tc>
          <w:tcPr>
            <w:tcW w:w="2680" w:type="dxa"/>
            <w:tcBorders>
              <w:top w:val="nil"/>
              <w:left w:val="nil"/>
              <w:bottom w:val="single" w:sz="4" w:space="0" w:color="auto"/>
              <w:right w:val="single" w:sz="4" w:space="0" w:color="auto"/>
            </w:tcBorders>
            <w:shd w:val="clear" w:color="000000" w:fill="FFFFFF"/>
            <w:vAlign w:val="center"/>
            <w:hideMark/>
          </w:tcPr>
          <w:p w14:paraId="132BB630" w14:textId="2ADB8D59" w:rsidR="00F05294" w:rsidRPr="00F05294" w:rsidRDefault="00F05294" w:rsidP="00EB7A51">
            <w:pPr>
              <w:keepNext/>
              <w:rPr>
                <w:rFonts w:ascii="Arial" w:hAnsi="Arial" w:cs="Arial"/>
                <w:color w:val="000000"/>
                <w:sz w:val="20"/>
                <w:szCs w:val="20"/>
              </w:rPr>
            </w:pPr>
            <w:r w:rsidRPr="00F05294">
              <w:rPr>
                <w:rFonts w:ascii="Arial" w:hAnsi="Arial" w:cs="Arial"/>
                <w:color w:val="000000"/>
                <w:sz w:val="20"/>
                <w:szCs w:val="20"/>
              </w:rPr>
              <w:t>Referen</w:t>
            </w:r>
            <w:r w:rsidR="00DF5A48">
              <w:rPr>
                <w:rFonts w:ascii="Arial" w:hAnsi="Arial" w:cs="Arial"/>
                <w:color w:val="000000"/>
                <w:sz w:val="20"/>
                <w:szCs w:val="20"/>
              </w:rPr>
              <w:t>ce loads are simulated from customer</w:t>
            </w:r>
            <w:r w:rsidRPr="00F05294">
              <w:rPr>
                <w:rFonts w:ascii="Arial" w:hAnsi="Arial" w:cs="Arial"/>
                <w:color w:val="000000"/>
                <w:sz w:val="20"/>
                <w:szCs w:val="20"/>
              </w:rPr>
              <w:t xml:space="preserve">-specific regressions. Load impacts are based on </w:t>
            </w:r>
            <w:r w:rsidR="00DF5A48">
              <w:rPr>
                <w:rFonts w:ascii="Arial" w:hAnsi="Arial" w:cs="Arial"/>
                <w:color w:val="000000"/>
                <w:sz w:val="20"/>
                <w:szCs w:val="20"/>
              </w:rPr>
              <w:t>customer</w:t>
            </w:r>
            <w:r w:rsidRPr="00F05294">
              <w:rPr>
                <w:rFonts w:ascii="Arial" w:hAnsi="Arial" w:cs="Arial"/>
                <w:color w:val="000000"/>
                <w:sz w:val="20"/>
                <w:szCs w:val="20"/>
              </w:rPr>
              <w:t>-level performance on the most recent event day.</w:t>
            </w:r>
          </w:p>
        </w:tc>
        <w:tc>
          <w:tcPr>
            <w:tcW w:w="2760" w:type="dxa"/>
            <w:tcBorders>
              <w:top w:val="nil"/>
              <w:left w:val="nil"/>
              <w:bottom w:val="single" w:sz="4" w:space="0" w:color="auto"/>
              <w:right w:val="single" w:sz="4" w:space="0" w:color="auto"/>
            </w:tcBorders>
            <w:shd w:val="clear" w:color="000000" w:fill="FFFFFF"/>
            <w:vAlign w:val="center"/>
            <w:hideMark/>
          </w:tcPr>
          <w:p w14:paraId="0EF91221" w14:textId="305BDC84" w:rsidR="00F05294" w:rsidRPr="00F05294" w:rsidRDefault="00E062CE" w:rsidP="00EB7A51">
            <w:pPr>
              <w:keepNext/>
              <w:rPr>
                <w:rFonts w:ascii="Arial" w:hAnsi="Arial" w:cs="Arial"/>
                <w:color w:val="000000"/>
                <w:sz w:val="20"/>
                <w:szCs w:val="20"/>
              </w:rPr>
            </w:pPr>
            <w:r>
              <w:rPr>
                <w:rFonts w:ascii="Arial" w:hAnsi="Arial" w:cs="Arial"/>
                <w:i/>
                <w:color w:val="000000"/>
                <w:sz w:val="20"/>
                <w:szCs w:val="20"/>
              </w:rPr>
              <w:t xml:space="preserve">Ex-ante </w:t>
            </w:r>
            <w:r>
              <w:rPr>
                <w:rFonts w:ascii="Arial" w:hAnsi="Arial" w:cs="Arial"/>
                <w:color w:val="000000"/>
                <w:sz w:val="20"/>
                <w:szCs w:val="20"/>
              </w:rPr>
              <w:t>p</w:t>
            </w:r>
            <w:r w:rsidR="00774686">
              <w:rPr>
                <w:rFonts w:ascii="Arial" w:hAnsi="Arial" w:cs="Arial"/>
                <w:color w:val="000000"/>
                <w:sz w:val="20"/>
                <w:szCs w:val="20"/>
              </w:rPr>
              <w:t xml:space="preserve">er-customer load impacts are higher because re-tested customers attained higher FSL achievement </w:t>
            </w:r>
            <w:r>
              <w:rPr>
                <w:rFonts w:ascii="Arial" w:hAnsi="Arial" w:cs="Arial"/>
                <w:color w:val="000000"/>
                <w:sz w:val="20"/>
                <w:szCs w:val="20"/>
              </w:rPr>
              <w:t xml:space="preserve">rate </w:t>
            </w:r>
            <w:r w:rsidR="00774686">
              <w:rPr>
                <w:rFonts w:ascii="Arial" w:hAnsi="Arial" w:cs="Arial"/>
                <w:color w:val="000000"/>
                <w:sz w:val="20"/>
                <w:szCs w:val="20"/>
              </w:rPr>
              <w:t xml:space="preserve">than 5/3 </w:t>
            </w:r>
            <w:r>
              <w:rPr>
                <w:rFonts w:ascii="Arial" w:hAnsi="Arial" w:cs="Arial"/>
                <w:color w:val="000000"/>
                <w:sz w:val="20"/>
                <w:szCs w:val="20"/>
              </w:rPr>
              <w:t>event day</w:t>
            </w:r>
            <w:r w:rsidR="00F05294" w:rsidRPr="00F05294">
              <w:rPr>
                <w:rFonts w:ascii="Arial" w:hAnsi="Arial" w:cs="Arial"/>
                <w:color w:val="000000"/>
                <w:sz w:val="20"/>
                <w:szCs w:val="20"/>
              </w:rPr>
              <w:t>.</w:t>
            </w:r>
          </w:p>
        </w:tc>
      </w:tr>
    </w:tbl>
    <w:p w14:paraId="517A0057" w14:textId="77777777" w:rsidR="00DA4753" w:rsidRDefault="00DA4753" w:rsidP="00DA4753">
      <w:pPr>
        <w:pStyle w:val="Heading2"/>
      </w:pPr>
      <w:bookmarkStart w:id="222" w:name="_Toc383597956"/>
      <w:bookmarkStart w:id="223" w:name="_Toc510091135"/>
      <w:r>
        <w:t>6.2 SCE</w:t>
      </w:r>
      <w:bookmarkEnd w:id="222"/>
      <w:bookmarkEnd w:id="223"/>
    </w:p>
    <w:p w14:paraId="506BF86C" w14:textId="16DD4371" w:rsidR="00DA4753" w:rsidRDefault="00DA4753" w:rsidP="00DA4753">
      <w:pPr>
        <w:pStyle w:val="Heading3"/>
      </w:pPr>
      <w:bookmarkStart w:id="224" w:name="_Toc383597957"/>
      <w:bookmarkStart w:id="225" w:name="_Toc510091136"/>
      <w:r>
        <w:t xml:space="preserve">6.2.1 Previous versus current </w:t>
      </w:r>
      <w:r w:rsidRPr="000F1678">
        <w:rPr>
          <w:i/>
        </w:rPr>
        <w:t>ex</w:t>
      </w:r>
      <w:r w:rsidR="000F1678" w:rsidRPr="000F1678">
        <w:rPr>
          <w:i/>
        </w:rPr>
        <w:t>-</w:t>
      </w:r>
      <w:r w:rsidRPr="000F1678">
        <w:rPr>
          <w:i/>
        </w:rPr>
        <w:t>post</w:t>
      </w:r>
      <w:bookmarkEnd w:id="224"/>
      <w:bookmarkEnd w:id="225"/>
    </w:p>
    <w:p w14:paraId="7D2D6ADC" w14:textId="4E9192FF" w:rsidR="003F2BC2" w:rsidRDefault="00DA4753" w:rsidP="00DA4753">
      <w:r>
        <w:t>Table 6.</w:t>
      </w:r>
      <w:r w:rsidR="00372CA5">
        <w:t>6</w:t>
      </w:r>
      <w:r>
        <w:t xml:space="preserve"> compares </w:t>
      </w:r>
      <w:r w:rsidRPr="0001399D">
        <w:rPr>
          <w:i/>
        </w:rPr>
        <w:t>ex</w:t>
      </w:r>
      <w:r w:rsidR="0001399D" w:rsidRPr="0001399D">
        <w:rPr>
          <w:i/>
        </w:rPr>
        <w:t>-</w:t>
      </w:r>
      <w:r w:rsidRPr="0001399D">
        <w:rPr>
          <w:i/>
        </w:rPr>
        <w:t>post</w:t>
      </w:r>
      <w:r>
        <w:t xml:space="preserve"> load impacts for the typical event day </w:t>
      </w:r>
      <w:r w:rsidR="00E629C0">
        <w:t>between PY201</w:t>
      </w:r>
      <w:r w:rsidR="00090C1B">
        <w:t>6</w:t>
      </w:r>
      <w:r w:rsidR="00AE412A">
        <w:t xml:space="preserve"> and PY2017</w:t>
      </w:r>
      <w:r w:rsidR="00F7199D">
        <w:t xml:space="preserve">. </w:t>
      </w:r>
      <w:r w:rsidR="003F2BC2">
        <w:t xml:space="preserve">Only one BIP event was called in each year: </w:t>
      </w:r>
      <w:r w:rsidR="00AE412A">
        <w:t>July 26</w:t>
      </w:r>
      <w:r w:rsidR="00E629C0">
        <w:t>, 201</w:t>
      </w:r>
      <w:r w:rsidR="00AE412A">
        <w:t>6</w:t>
      </w:r>
      <w:r w:rsidR="00E629C0">
        <w:t xml:space="preserve"> (4 hours in duration)</w:t>
      </w:r>
      <w:r w:rsidR="00F7199D">
        <w:t xml:space="preserve">; </w:t>
      </w:r>
      <w:r w:rsidR="003F2BC2">
        <w:t xml:space="preserve">and </w:t>
      </w:r>
      <w:r w:rsidR="00AE412A">
        <w:t>May 3</w:t>
      </w:r>
      <w:r w:rsidR="00E629C0">
        <w:t>, 201</w:t>
      </w:r>
      <w:r w:rsidR="00AE412A">
        <w:t>7</w:t>
      </w:r>
      <w:r w:rsidR="00F7199D">
        <w:t>.</w:t>
      </w:r>
      <w:r w:rsidR="00E629C0">
        <w:t xml:space="preserve"> </w:t>
      </w:r>
      <w:r w:rsidR="00197BDA">
        <w:t xml:space="preserve"> While the May 3</w:t>
      </w:r>
      <w:r w:rsidR="00197BDA" w:rsidRPr="00197BDA">
        <w:rPr>
          <w:vertAlign w:val="superscript"/>
        </w:rPr>
        <w:t>rd</w:t>
      </w:r>
      <w:r w:rsidR="00197BDA">
        <w:t xml:space="preserve"> event included parts of three hours, results are summarized only for 8 to 9 p.m., as this was the only hour in which customers were expected to meet their FSL for the entire hour.</w:t>
      </w:r>
    </w:p>
    <w:p w14:paraId="183FB953" w14:textId="77777777" w:rsidR="003F2BC2" w:rsidRDefault="003F2BC2" w:rsidP="00DA4753"/>
    <w:p w14:paraId="592639E0" w14:textId="7493BFD1" w:rsidR="00DA4753" w:rsidRDefault="00E629C0" w:rsidP="00DA4753">
      <w:r>
        <w:t xml:space="preserve">The reference loads and load impacts are </w:t>
      </w:r>
      <w:r w:rsidR="00197BDA">
        <w:t xml:space="preserve">slightly </w:t>
      </w:r>
      <w:r w:rsidR="00AE412A">
        <w:t>lower</w:t>
      </w:r>
      <w:r w:rsidR="00F7199D">
        <w:t xml:space="preserve"> in </w:t>
      </w:r>
      <w:r w:rsidR="00AE412A">
        <w:t xml:space="preserve">PY2017, </w:t>
      </w:r>
      <w:r w:rsidR="00197BDA">
        <w:t xml:space="preserve">which is consistent with the lower enrollment during that year. Per-customer reference loads and load impacts are slightly higher in PY2017, but the percentage load impact is nearly identical in the two years. </w:t>
      </w:r>
    </w:p>
    <w:p w14:paraId="5D47B9E0" w14:textId="427D0857" w:rsidR="00F7199D" w:rsidRDefault="00F7199D" w:rsidP="00DA4753"/>
    <w:p w14:paraId="027423BF" w14:textId="6F7D6F9D" w:rsidR="00DA4753" w:rsidRDefault="00DA4753" w:rsidP="0082431E">
      <w:pPr>
        <w:pStyle w:val="TableCaption"/>
        <w:keepNext/>
        <w:keepLines/>
        <w:rPr>
          <w:i/>
        </w:rPr>
      </w:pPr>
      <w:bookmarkStart w:id="226" w:name="_Toc383598020"/>
      <w:bookmarkStart w:id="227" w:name="_Toc508800237"/>
      <w:r w:rsidRPr="00376F46">
        <w:lastRenderedPageBreak/>
        <w:t xml:space="preserve">Table </w:t>
      </w:r>
      <w:r>
        <w:t>6</w:t>
      </w:r>
      <w:r w:rsidRPr="00376F46">
        <w:t>.</w:t>
      </w:r>
      <w:r w:rsidR="00372CA5">
        <w:t>6</w:t>
      </w:r>
      <w:r w:rsidR="007030CD">
        <w:t>:</w:t>
      </w:r>
      <w:r w:rsidRPr="00376F46">
        <w:t xml:space="preserve"> Comparison of </w:t>
      </w:r>
      <w:r w:rsidR="00F14E5A" w:rsidRPr="0001399D">
        <w:rPr>
          <w:i/>
        </w:rPr>
        <w:t>Ex-</w:t>
      </w:r>
      <w:r w:rsidR="0001399D" w:rsidRPr="0001399D">
        <w:rPr>
          <w:i/>
        </w:rPr>
        <w:t>p</w:t>
      </w:r>
      <w:r w:rsidRPr="0001399D">
        <w:rPr>
          <w:i/>
        </w:rPr>
        <w:t>ost</w:t>
      </w:r>
      <w:r>
        <w:t xml:space="preserve"> </w:t>
      </w:r>
      <w:r w:rsidR="006B6630">
        <w:t>Impacts</w:t>
      </w:r>
      <w:r w:rsidRPr="00376F46">
        <w:t xml:space="preserve"> in PY201</w:t>
      </w:r>
      <w:r w:rsidR="00994E03">
        <w:t>6</w:t>
      </w:r>
      <w:r w:rsidRPr="00376F46">
        <w:t xml:space="preserve"> </w:t>
      </w:r>
      <w:r w:rsidR="00F7199D">
        <w:t xml:space="preserve">and </w:t>
      </w:r>
      <w:r w:rsidRPr="00376F46">
        <w:t>PY201</w:t>
      </w:r>
      <w:r w:rsidR="00994E03">
        <w:t>7</w:t>
      </w:r>
      <w:r w:rsidRPr="00376F46">
        <w:t xml:space="preserve">, </w:t>
      </w:r>
      <w:r>
        <w:rPr>
          <w:i/>
        </w:rPr>
        <w:t>SC</w:t>
      </w:r>
      <w:r w:rsidRPr="00376F46">
        <w:rPr>
          <w:i/>
        </w:rPr>
        <w:t>E</w:t>
      </w:r>
      <w:bookmarkEnd w:id="226"/>
      <w:bookmarkEnd w:id="227"/>
    </w:p>
    <w:tbl>
      <w:tblPr>
        <w:tblW w:w="7527" w:type="dxa"/>
        <w:jc w:val="center"/>
        <w:tblLook w:val="04A0" w:firstRow="1" w:lastRow="0" w:firstColumn="1" w:lastColumn="0" w:noHBand="0" w:noVBand="1"/>
      </w:tblPr>
      <w:tblGrid>
        <w:gridCol w:w="1191"/>
        <w:gridCol w:w="2224"/>
        <w:gridCol w:w="1977"/>
        <w:gridCol w:w="2135"/>
      </w:tblGrid>
      <w:tr w:rsidR="0082431E" w:rsidRPr="0082431E" w14:paraId="52BDCD52" w14:textId="77777777" w:rsidTr="006B55F6">
        <w:trPr>
          <w:trHeight w:val="259"/>
          <w:jc w:val="center"/>
        </w:trPr>
        <w:tc>
          <w:tcPr>
            <w:tcW w:w="1191" w:type="dxa"/>
            <w:tcBorders>
              <w:top w:val="single" w:sz="4" w:space="0" w:color="auto"/>
              <w:left w:val="single" w:sz="4" w:space="0" w:color="auto"/>
              <w:bottom w:val="single" w:sz="4" w:space="0" w:color="auto"/>
              <w:right w:val="single" w:sz="4" w:space="0" w:color="FFFFFF"/>
            </w:tcBorders>
            <w:shd w:val="clear" w:color="auto" w:fill="0C2577"/>
            <w:vAlign w:val="center"/>
            <w:hideMark/>
          </w:tcPr>
          <w:p w14:paraId="44DA3BA7" w14:textId="77777777" w:rsidR="0082431E" w:rsidRPr="0082431E" w:rsidRDefault="0082431E" w:rsidP="00EB7A51">
            <w:pPr>
              <w:keepNext/>
              <w:jc w:val="center"/>
              <w:rPr>
                <w:rFonts w:ascii="Arial" w:hAnsi="Arial" w:cs="Arial"/>
                <w:b/>
                <w:bCs/>
                <w:color w:val="FFFFFF"/>
                <w:sz w:val="20"/>
                <w:szCs w:val="20"/>
              </w:rPr>
            </w:pPr>
            <w:r w:rsidRPr="0082431E">
              <w:rPr>
                <w:rFonts w:ascii="Arial" w:hAnsi="Arial" w:cs="Arial"/>
                <w:b/>
                <w:bCs/>
                <w:color w:val="FFFFFF"/>
                <w:sz w:val="20"/>
                <w:szCs w:val="20"/>
              </w:rPr>
              <w:t>Level</w:t>
            </w:r>
          </w:p>
        </w:tc>
        <w:tc>
          <w:tcPr>
            <w:tcW w:w="2224" w:type="dxa"/>
            <w:tcBorders>
              <w:top w:val="single" w:sz="4" w:space="0" w:color="auto"/>
              <w:left w:val="nil"/>
              <w:bottom w:val="nil"/>
              <w:right w:val="nil"/>
            </w:tcBorders>
            <w:shd w:val="clear" w:color="auto" w:fill="0C2577"/>
            <w:vAlign w:val="center"/>
            <w:hideMark/>
          </w:tcPr>
          <w:p w14:paraId="032F5462" w14:textId="77777777" w:rsidR="0082431E" w:rsidRPr="0082431E" w:rsidRDefault="0082431E" w:rsidP="00EB7A51">
            <w:pPr>
              <w:keepNext/>
              <w:jc w:val="center"/>
              <w:rPr>
                <w:rFonts w:ascii="Arial" w:hAnsi="Arial" w:cs="Arial"/>
                <w:b/>
                <w:bCs/>
                <w:color w:val="FFFFFF"/>
                <w:sz w:val="20"/>
                <w:szCs w:val="20"/>
              </w:rPr>
            </w:pPr>
            <w:r w:rsidRPr="0082431E">
              <w:rPr>
                <w:rFonts w:ascii="Arial" w:hAnsi="Arial" w:cs="Arial"/>
                <w:b/>
                <w:bCs/>
                <w:color w:val="FFFFFF"/>
                <w:sz w:val="20"/>
                <w:szCs w:val="20"/>
              </w:rPr>
              <w:t>Outcome</w:t>
            </w:r>
          </w:p>
        </w:tc>
        <w:tc>
          <w:tcPr>
            <w:tcW w:w="1977" w:type="dxa"/>
            <w:tcBorders>
              <w:top w:val="single" w:sz="4" w:space="0" w:color="auto"/>
              <w:left w:val="single" w:sz="4" w:space="0" w:color="FFFFFF"/>
              <w:bottom w:val="single" w:sz="4" w:space="0" w:color="auto"/>
              <w:right w:val="nil"/>
            </w:tcBorders>
            <w:shd w:val="clear" w:color="auto" w:fill="0C2577"/>
            <w:vAlign w:val="center"/>
            <w:hideMark/>
          </w:tcPr>
          <w:p w14:paraId="49C4D77E" w14:textId="77777777" w:rsidR="0082431E" w:rsidRPr="0082431E" w:rsidRDefault="0082431E" w:rsidP="00EB7A51">
            <w:pPr>
              <w:keepNext/>
              <w:jc w:val="center"/>
              <w:rPr>
                <w:rFonts w:ascii="Arial" w:hAnsi="Arial" w:cs="Arial"/>
                <w:b/>
                <w:bCs/>
                <w:i/>
                <w:iCs/>
                <w:color w:val="FFFFFF"/>
                <w:sz w:val="20"/>
                <w:szCs w:val="20"/>
              </w:rPr>
            </w:pPr>
            <w:r w:rsidRPr="0082431E">
              <w:rPr>
                <w:rFonts w:ascii="Arial" w:hAnsi="Arial" w:cs="Arial"/>
                <w:b/>
                <w:bCs/>
                <w:i/>
                <w:iCs/>
                <w:color w:val="FFFFFF"/>
                <w:sz w:val="20"/>
                <w:szCs w:val="20"/>
              </w:rPr>
              <w:t>Ex-post</w:t>
            </w:r>
            <w:r w:rsidRPr="0082431E">
              <w:rPr>
                <w:rFonts w:ascii="Arial" w:hAnsi="Arial" w:cs="Arial"/>
                <w:b/>
                <w:bCs/>
                <w:color w:val="FFFFFF"/>
                <w:sz w:val="20"/>
                <w:szCs w:val="20"/>
              </w:rPr>
              <w:t xml:space="preserve"> PY2016</w:t>
            </w:r>
          </w:p>
        </w:tc>
        <w:tc>
          <w:tcPr>
            <w:tcW w:w="2135" w:type="dxa"/>
            <w:tcBorders>
              <w:top w:val="single" w:sz="4" w:space="0" w:color="auto"/>
              <w:left w:val="single" w:sz="4" w:space="0" w:color="FFFFFF"/>
              <w:bottom w:val="single" w:sz="4" w:space="0" w:color="auto"/>
              <w:right w:val="single" w:sz="4" w:space="0" w:color="auto"/>
            </w:tcBorders>
            <w:shd w:val="clear" w:color="auto" w:fill="0C2577"/>
            <w:vAlign w:val="center"/>
            <w:hideMark/>
          </w:tcPr>
          <w:p w14:paraId="1F8BD6D8" w14:textId="77777777" w:rsidR="0082431E" w:rsidRPr="0082431E" w:rsidRDefault="0082431E" w:rsidP="00EB7A51">
            <w:pPr>
              <w:keepNext/>
              <w:jc w:val="center"/>
              <w:rPr>
                <w:rFonts w:ascii="Arial" w:hAnsi="Arial" w:cs="Arial"/>
                <w:b/>
                <w:bCs/>
                <w:i/>
                <w:iCs/>
                <w:color w:val="FFFFFF"/>
                <w:sz w:val="20"/>
                <w:szCs w:val="20"/>
              </w:rPr>
            </w:pPr>
            <w:r w:rsidRPr="0082431E">
              <w:rPr>
                <w:rFonts w:ascii="Arial" w:hAnsi="Arial" w:cs="Arial"/>
                <w:b/>
                <w:bCs/>
                <w:i/>
                <w:iCs/>
                <w:color w:val="FFFFFF"/>
                <w:sz w:val="20"/>
                <w:szCs w:val="20"/>
              </w:rPr>
              <w:t>Ex-post</w:t>
            </w:r>
            <w:r w:rsidRPr="0082431E">
              <w:rPr>
                <w:rFonts w:ascii="Arial" w:hAnsi="Arial" w:cs="Arial"/>
                <w:b/>
                <w:bCs/>
                <w:color w:val="FFFFFF"/>
                <w:sz w:val="20"/>
                <w:szCs w:val="20"/>
              </w:rPr>
              <w:t xml:space="preserve"> PY2017</w:t>
            </w:r>
          </w:p>
        </w:tc>
      </w:tr>
      <w:tr w:rsidR="00994E03" w:rsidRPr="0082431E" w14:paraId="3E4C0A52" w14:textId="77777777" w:rsidTr="00690888">
        <w:trPr>
          <w:trHeight w:val="259"/>
          <w:jc w:val="center"/>
        </w:trPr>
        <w:tc>
          <w:tcPr>
            <w:tcW w:w="1191" w:type="dxa"/>
            <w:vMerge w:val="restart"/>
            <w:tcBorders>
              <w:top w:val="nil"/>
              <w:left w:val="single" w:sz="4" w:space="0" w:color="auto"/>
              <w:bottom w:val="single" w:sz="4" w:space="0" w:color="auto"/>
              <w:right w:val="nil"/>
            </w:tcBorders>
            <w:shd w:val="clear" w:color="auto" w:fill="auto"/>
            <w:vAlign w:val="center"/>
            <w:hideMark/>
          </w:tcPr>
          <w:p w14:paraId="567AAD1C" w14:textId="77777777" w:rsidR="00994E03" w:rsidRPr="0082431E" w:rsidRDefault="00994E03" w:rsidP="00994E03">
            <w:pPr>
              <w:keepNext/>
              <w:rPr>
                <w:rFonts w:ascii="Arial" w:hAnsi="Arial" w:cs="Arial"/>
                <w:b/>
                <w:bCs/>
                <w:color w:val="000000"/>
                <w:sz w:val="20"/>
                <w:szCs w:val="20"/>
              </w:rPr>
            </w:pPr>
            <w:r w:rsidRPr="0082431E">
              <w:rPr>
                <w:rFonts w:ascii="Arial" w:hAnsi="Arial" w:cs="Arial"/>
                <w:b/>
                <w:bCs/>
                <w:color w:val="000000"/>
                <w:sz w:val="20"/>
                <w:szCs w:val="20"/>
              </w:rPr>
              <w:t>Total</w:t>
            </w:r>
          </w:p>
        </w:tc>
        <w:tc>
          <w:tcPr>
            <w:tcW w:w="2224" w:type="dxa"/>
            <w:tcBorders>
              <w:top w:val="single" w:sz="4" w:space="0" w:color="auto"/>
              <w:left w:val="single" w:sz="4" w:space="0" w:color="auto"/>
              <w:bottom w:val="nil"/>
              <w:right w:val="single" w:sz="4" w:space="0" w:color="auto"/>
            </w:tcBorders>
            <w:shd w:val="clear" w:color="000000" w:fill="FFFFFF"/>
            <w:vAlign w:val="center"/>
            <w:hideMark/>
          </w:tcPr>
          <w:p w14:paraId="3B5001B6" w14:textId="1782F0F2" w:rsidR="00994E03" w:rsidRPr="0082431E" w:rsidRDefault="00994E03" w:rsidP="00994E03">
            <w:pPr>
              <w:keepNext/>
              <w:rPr>
                <w:rFonts w:ascii="Arial" w:hAnsi="Arial" w:cs="Arial"/>
                <w:color w:val="000000"/>
                <w:sz w:val="20"/>
                <w:szCs w:val="20"/>
              </w:rPr>
            </w:pPr>
            <w:r w:rsidRPr="0082431E">
              <w:rPr>
                <w:rFonts w:ascii="Arial" w:hAnsi="Arial" w:cs="Arial"/>
                <w:color w:val="000000"/>
                <w:sz w:val="20"/>
                <w:szCs w:val="20"/>
              </w:rPr>
              <w:t xml:space="preserve"># </w:t>
            </w:r>
            <w:r w:rsidR="00DF5A48">
              <w:rPr>
                <w:rFonts w:ascii="Arial" w:hAnsi="Arial" w:cs="Arial"/>
                <w:color w:val="000000"/>
                <w:sz w:val="20"/>
                <w:szCs w:val="20"/>
              </w:rPr>
              <w:t>Customer</w:t>
            </w:r>
            <w:r w:rsidR="00DF5A48" w:rsidRPr="00F05294">
              <w:rPr>
                <w:rFonts w:ascii="Arial" w:hAnsi="Arial" w:cs="Arial"/>
                <w:color w:val="000000"/>
                <w:sz w:val="20"/>
                <w:szCs w:val="20"/>
              </w:rPr>
              <w:t>s</w:t>
            </w:r>
          </w:p>
        </w:tc>
        <w:tc>
          <w:tcPr>
            <w:tcW w:w="1977" w:type="dxa"/>
            <w:tcBorders>
              <w:top w:val="nil"/>
              <w:left w:val="nil"/>
              <w:bottom w:val="nil"/>
              <w:right w:val="single" w:sz="4" w:space="0" w:color="auto"/>
            </w:tcBorders>
            <w:shd w:val="clear" w:color="000000" w:fill="FFFFFF"/>
            <w:vAlign w:val="center"/>
            <w:hideMark/>
          </w:tcPr>
          <w:p w14:paraId="075E643C" w14:textId="77777777" w:rsidR="00994E03" w:rsidRPr="0082431E" w:rsidRDefault="00994E03" w:rsidP="00994E03">
            <w:pPr>
              <w:keepNext/>
              <w:jc w:val="center"/>
              <w:rPr>
                <w:rFonts w:ascii="Arial" w:hAnsi="Arial" w:cs="Arial"/>
                <w:color w:val="000000"/>
                <w:sz w:val="20"/>
                <w:szCs w:val="20"/>
              </w:rPr>
            </w:pPr>
            <w:r w:rsidRPr="0082431E">
              <w:rPr>
                <w:rFonts w:ascii="Arial" w:hAnsi="Arial" w:cs="Arial"/>
                <w:color w:val="000000"/>
                <w:sz w:val="20"/>
                <w:szCs w:val="20"/>
              </w:rPr>
              <w:t>593</w:t>
            </w:r>
          </w:p>
        </w:tc>
        <w:tc>
          <w:tcPr>
            <w:tcW w:w="2135" w:type="dxa"/>
            <w:tcBorders>
              <w:top w:val="nil"/>
              <w:left w:val="nil"/>
              <w:bottom w:val="nil"/>
              <w:right w:val="single" w:sz="4" w:space="0" w:color="auto"/>
            </w:tcBorders>
            <w:shd w:val="clear" w:color="000000" w:fill="FFFFFF"/>
            <w:vAlign w:val="center"/>
            <w:hideMark/>
          </w:tcPr>
          <w:p w14:paraId="4B37FF5A" w14:textId="61B5B249" w:rsidR="00994E03" w:rsidRPr="0082431E" w:rsidRDefault="00994E03" w:rsidP="00994E03">
            <w:pPr>
              <w:keepNext/>
              <w:jc w:val="center"/>
              <w:rPr>
                <w:rFonts w:ascii="Arial" w:hAnsi="Arial" w:cs="Arial"/>
                <w:color w:val="000000"/>
                <w:sz w:val="20"/>
                <w:szCs w:val="20"/>
              </w:rPr>
            </w:pPr>
            <w:r>
              <w:rPr>
                <w:rFonts w:ascii="Arial" w:hAnsi="Arial" w:cs="Arial"/>
                <w:color w:val="000000"/>
                <w:sz w:val="20"/>
                <w:szCs w:val="20"/>
              </w:rPr>
              <w:t>571</w:t>
            </w:r>
          </w:p>
        </w:tc>
      </w:tr>
      <w:tr w:rsidR="00994E03" w:rsidRPr="0082431E" w14:paraId="128B1FE2" w14:textId="77777777" w:rsidTr="00690888">
        <w:trPr>
          <w:trHeight w:val="259"/>
          <w:jc w:val="center"/>
        </w:trPr>
        <w:tc>
          <w:tcPr>
            <w:tcW w:w="1191" w:type="dxa"/>
            <w:vMerge/>
            <w:tcBorders>
              <w:top w:val="nil"/>
              <w:left w:val="single" w:sz="4" w:space="0" w:color="auto"/>
              <w:bottom w:val="single" w:sz="4" w:space="0" w:color="auto"/>
              <w:right w:val="nil"/>
            </w:tcBorders>
            <w:vAlign w:val="center"/>
            <w:hideMark/>
          </w:tcPr>
          <w:p w14:paraId="0634B17A" w14:textId="77777777" w:rsidR="00994E03" w:rsidRPr="0082431E" w:rsidRDefault="00994E03" w:rsidP="00994E03">
            <w:pPr>
              <w:keepNext/>
              <w:rPr>
                <w:rFonts w:ascii="Arial" w:hAnsi="Arial" w:cs="Arial"/>
                <w:b/>
                <w:bCs/>
                <w:color w:val="000000"/>
                <w:sz w:val="20"/>
                <w:szCs w:val="20"/>
              </w:rPr>
            </w:pPr>
          </w:p>
        </w:tc>
        <w:tc>
          <w:tcPr>
            <w:tcW w:w="2224" w:type="dxa"/>
            <w:tcBorders>
              <w:top w:val="nil"/>
              <w:left w:val="single" w:sz="4" w:space="0" w:color="auto"/>
              <w:bottom w:val="nil"/>
              <w:right w:val="single" w:sz="4" w:space="0" w:color="auto"/>
            </w:tcBorders>
            <w:shd w:val="clear" w:color="000000" w:fill="FFFFFF"/>
            <w:vAlign w:val="center"/>
            <w:hideMark/>
          </w:tcPr>
          <w:p w14:paraId="2E8945F3" w14:textId="6D0F9250" w:rsidR="00994E03" w:rsidRPr="0082431E" w:rsidRDefault="00994E03" w:rsidP="00994E03">
            <w:pPr>
              <w:keepNext/>
              <w:rPr>
                <w:rFonts w:ascii="Arial" w:hAnsi="Arial" w:cs="Arial"/>
                <w:color w:val="000000"/>
                <w:sz w:val="20"/>
                <w:szCs w:val="20"/>
              </w:rPr>
            </w:pPr>
            <w:r w:rsidRPr="0082431E">
              <w:rPr>
                <w:rFonts w:ascii="Arial" w:hAnsi="Arial" w:cs="Arial"/>
                <w:color w:val="000000"/>
                <w:sz w:val="20"/>
                <w:szCs w:val="20"/>
              </w:rPr>
              <w:t>Reference (MW</w:t>
            </w:r>
            <w:r>
              <w:rPr>
                <w:rFonts w:ascii="Arial" w:hAnsi="Arial" w:cs="Arial"/>
                <w:color w:val="000000"/>
                <w:sz w:val="20"/>
                <w:szCs w:val="20"/>
              </w:rPr>
              <w:t>h/h</w:t>
            </w:r>
            <w:r w:rsidRPr="0082431E">
              <w:rPr>
                <w:rFonts w:ascii="Arial" w:hAnsi="Arial" w:cs="Arial"/>
                <w:color w:val="000000"/>
                <w:sz w:val="20"/>
                <w:szCs w:val="20"/>
              </w:rPr>
              <w:t>)</w:t>
            </w:r>
          </w:p>
        </w:tc>
        <w:tc>
          <w:tcPr>
            <w:tcW w:w="1977" w:type="dxa"/>
            <w:tcBorders>
              <w:top w:val="nil"/>
              <w:left w:val="nil"/>
              <w:bottom w:val="nil"/>
              <w:right w:val="single" w:sz="4" w:space="0" w:color="auto"/>
            </w:tcBorders>
            <w:shd w:val="clear" w:color="000000" w:fill="FFFFFF"/>
            <w:vAlign w:val="center"/>
            <w:hideMark/>
          </w:tcPr>
          <w:p w14:paraId="634D50B2" w14:textId="77777777" w:rsidR="00994E03" w:rsidRPr="0082431E" w:rsidRDefault="00994E03" w:rsidP="00994E03">
            <w:pPr>
              <w:keepNext/>
              <w:jc w:val="center"/>
              <w:rPr>
                <w:rFonts w:ascii="Arial" w:hAnsi="Arial" w:cs="Arial"/>
                <w:color w:val="000000"/>
                <w:sz w:val="20"/>
                <w:szCs w:val="20"/>
              </w:rPr>
            </w:pPr>
            <w:r w:rsidRPr="0082431E">
              <w:rPr>
                <w:rFonts w:ascii="Arial" w:hAnsi="Arial" w:cs="Arial"/>
                <w:color w:val="000000"/>
                <w:sz w:val="20"/>
                <w:szCs w:val="20"/>
              </w:rPr>
              <w:t>807.4</w:t>
            </w:r>
          </w:p>
        </w:tc>
        <w:tc>
          <w:tcPr>
            <w:tcW w:w="2135" w:type="dxa"/>
            <w:tcBorders>
              <w:top w:val="nil"/>
              <w:left w:val="nil"/>
              <w:bottom w:val="nil"/>
              <w:right w:val="single" w:sz="4" w:space="0" w:color="auto"/>
            </w:tcBorders>
            <w:shd w:val="clear" w:color="000000" w:fill="FFFFFF"/>
            <w:vAlign w:val="center"/>
            <w:hideMark/>
          </w:tcPr>
          <w:p w14:paraId="281D9934" w14:textId="51AB8DB9" w:rsidR="00994E03" w:rsidRPr="0082431E" w:rsidRDefault="00994E03" w:rsidP="00994E03">
            <w:pPr>
              <w:keepNext/>
              <w:jc w:val="center"/>
              <w:rPr>
                <w:rFonts w:ascii="Arial" w:hAnsi="Arial" w:cs="Arial"/>
                <w:color w:val="000000"/>
                <w:sz w:val="20"/>
                <w:szCs w:val="20"/>
              </w:rPr>
            </w:pPr>
            <w:r>
              <w:rPr>
                <w:rFonts w:ascii="Arial" w:hAnsi="Arial" w:cs="Arial"/>
                <w:color w:val="000000"/>
                <w:sz w:val="20"/>
                <w:szCs w:val="20"/>
              </w:rPr>
              <w:t>78</w:t>
            </w:r>
            <w:r w:rsidR="00197BDA">
              <w:rPr>
                <w:rFonts w:ascii="Arial" w:hAnsi="Arial" w:cs="Arial"/>
                <w:color w:val="000000"/>
                <w:sz w:val="20"/>
                <w:szCs w:val="20"/>
              </w:rPr>
              <w:t>9</w:t>
            </w:r>
            <w:r>
              <w:rPr>
                <w:rFonts w:ascii="Arial" w:hAnsi="Arial" w:cs="Arial"/>
                <w:color w:val="000000"/>
                <w:sz w:val="20"/>
                <w:szCs w:val="20"/>
              </w:rPr>
              <w:t>.</w:t>
            </w:r>
            <w:r w:rsidR="00197BDA">
              <w:rPr>
                <w:rFonts w:ascii="Arial" w:hAnsi="Arial" w:cs="Arial"/>
                <w:color w:val="000000"/>
                <w:sz w:val="20"/>
                <w:szCs w:val="20"/>
              </w:rPr>
              <w:t>5</w:t>
            </w:r>
          </w:p>
        </w:tc>
      </w:tr>
      <w:tr w:rsidR="00994E03" w:rsidRPr="0082431E" w14:paraId="6CEF9067" w14:textId="77777777" w:rsidTr="00690888">
        <w:trPr>
          <w:trHeight w:val="259"/>
          <w:jc w:val="center"/>
        </w:trPr>
        <w:tc>
          <w:tcPr>
            <w:tcW w:w="1191" w:type="dxa"/>
            <w:vMerge/>
            <w:tcBorders>
              <w:top w:val="nil"/>
              <w:left w:val="single" w:sz="4" w:space="0" w:color="auto"/>
              <w:bottom w:val="single" w:sz="4" w:space="0" w:color="auto"/>
              <w:right w:val="nil"/>
            </w:tcBorders>
            <w:vAlign w:val="center"/>
            <w:hideMark/>
          </w:tcPr>
          <w:p w14:paraId="7E52D938" w14:textId="77777777" w:rsidR="00994E03" w:rsidRPr="0082431E" w:rsidRDefault="00994E03" w:rsidP="00994E03">
            <w:pPr>
              <w:keepNext/>
              <w:rPr>
                <w:rFonts w:ascii="Arial" w:hAnsi="Arial" w:cs="Arial"/>
                <w:b/>
                <w:bCs/>
                <w:color w:val="000000"/>
                <w:sz w:val="20"/>
                <w:szCs w:val="20"/>
              </w:rPr>
            </w:pPr>
          </w:p>
        </w:tc>
        <w:tc>
          <w:tcPr>
            <w:tcW w:w="2224" w:type="dxa"/>
            <w:tcBorders>
              <w:top w:val="nil"/>
              <w:left w:val="single" w:sz="4" w:space="0" w:color="auto"/>
              <w:bottom w:val="single" w:sz="4" w:space="0" w:color="auto"/>
              <w:right w:val="single" w:sz="4" w:space="0" w:color="auto"/>
            </w:tcBorders>
            <w:shd w:val="clear" w:color="000000" w:fill="FFFFFF"/>
            <w:vAlign w:val="center"/>
            <w:hideMark/>
          </w:tcPr>
          <w:p w14:paraId="4B643B6B" w14:textId="1CDCABCC" w:rsidR="00994E03" w:rsidRPr="0082431E" w:rsidRDefault="00994E03" w:rsidP="00994E03">
            <w:pPr>
              <w:keepNext/>
              <w:rPr>
                <w:rFonts w:ascii="Arial" w:hAnsi="Arial" w:cs="Arial"/>
                <w:color w:val="000000"/>
                <w:sz w:val="20"/>
                <w:szCs w:val="20"/>
              </w:rPr>
            </w:pPr>
            <w:r w:rsidRPr="0082431E">
              <w:rPr>
                <w:rFonts w:ascii="Arial" w:hAnsi="Arial" w:cs="Arial"/>
                <w:color w:val="000000"/>
                <w:sz w:val="20"/>
                <w:szCs w:val="20"/>
              </w:rPr>
              <w:t>Load Impact (MW</w:t>
            </w:r>
            <w:r>
              <w:rPr>
                <w:rFonts w:ascii="Arial" w:hAnsi="Arial" w:cs="Arial"/>
                <w:color w:val="000000"/>
                <w:sz w:val="20"/>
                <w:szCs w:val="20"/>
              </w:rPr>
              <w:t>h/h</w:t>
            </w:r>
            <w:r w:rsidRPr="0082431E">
              <w:rPr>
                <w:rFonts w:ascii="Arial" w:hAnsi="Arial" w:cs="Arial"/>
                <w:color w:val="000000"/>
                <w:sz w:val="20"/>
                <w:szCs w:val="20"/>
              </w:rPr>
              <w:t>)</w:t>
            </w:r>
          </w:p>
        </w:tc>
        <w:tc>
          <w:tcPr>
            <w:tcW w:w="1977" w:type="dxa"/>
            <w:tcBorders>
              <w:top w:val="nil"/>
              <w:left w:val="nil"/>
              <w:bottom w:val="single" w:sz="4" w:space="0" w:color="auto"/>
              <w:right w:val="single" w:sz="4" w:space="0" w:color="auto"/>
            </w:tcBorders>
            <w:shd w:val="clear" w:color="000000" w:fill="FFFFFF"/>
            <w:vAlign w:val="center"/>
            <w:hideMark/>
          </w:tcPr>
          <w:p w14:paraId="5F485E4C" w14:textId="77777777" w:rsidR="00994E03" w:rsidRPr="0082431E" w:rsidRDefault="00994E03" w:rsidP="00994E03">
            <w:pPr>
              <w:keepNext/>
              <w:jc w:val="center"/>
              <w:rPr>
                <w:rFonts w:ascii="Arial" w:hAnsi="Arial" w:cs="Arial"/>
                <w:color w:val="000000"/>
                <w:sz w:val="20"/>
                <w:szCs w:val="20"/>
              </w:rPr>
            </w:pPr>
            <w:r w:rsidRPr="0082431E">
              <w:rPr>
                <w:rFonts w:ascii="Arial" w:hAnsi="Arial" w:cs="Arial"/>
                <w:color w:val="000000"/>
                <w:sz w:val="20"/>
                <w:szCs w:val="20"/>
              </w:rPr>
              <w:t>627.5</w:t>
            </w:r>
          </w:p>
        </w:tc>
        <w:tc>
          <w:tcPr>
            <w:tcW w:w="2135" w:type="dxa"/>
            <w:tcBorders>
              <w:top w:val="nil"/>
              <w:left w:val="nil"/>
              <w:bottom w:val="single" w:sz="4" w:space="0" w:color="auto"/>
              <w:right w:val="single" w:sz="4" w:space="0" w:color="auto"/>
            </w:tcBorders>
            <w:shd w:val="clear" w:color="000000" w:fill="FFFFFF"/>
            <w:vAlign w:val="center"/>
            <w:hideMark/>
          </w:tcPr>
          <w:p w14:paraId="76566F0F" w14:textId="3740149C" w:rsidR="00994E03" w:rsidRPr="0082431E" w:rsidRDefault="00197BDA" w:rsidP="00994E03">
            <w:pPr>
              <w:keepNext/>
              <w:jc w:val="center"/>
              <w:rPr>
                <w:rFonts w:ascii="Arial" w:hAnsi="Arial" w:cs="Arial"/>
                <w:color w:val="000000"/>
                <w:sz w:val="20"/>
                <w:szCs w:val="20"/>
              </w:rPr>
            </w:pPr>
            <w:r>
              <w:rPr>
                <w:rFonts w:ascii="Arial" w:hAnsi="Arial" w:cs="Arial"/>
                <w:color w:val="000000"/>
                <w:sz w:val="20"/>
                <w:szCs w:val="20"/>
              </w:rPr>
              <w:t>614.7</w:t>
            </w:r>
          </w:p>
        </w:tc>
      </w:tr>
      <w:tr w:rsidR="00994E03" w:rsidRPr="0082431E" w14:paraId="494CADFD" w14:textId="77777777" w:rsidTr="00690888">
        <w:trPr>
          <w:trHeight w:val="259"/>
          <w:jc w:val="center"/>
        </w:trPr>
        <w:tc>
          <w:tcPr>
            <w:tcW w:w="1191" w:type="dxa"/>
            <w:vMerge w:val="restart"/>
            <w:tcBorders>
              <w:top w:val="nil"/>
              <w:left w:val="single" w:sz="4" w:space="0" w:color="auto"/>
              <w:bottom w:val="single" w:sz="4" w:space="0" w:color="auto"/>
              <w:right w:val="nil"/>
            </w:tcBorders>
            <w:shd w:val="clear" w:color="auto" w:fill="auto"/>
            <w:vAlign w:val="center"/>
            <w:hideMark/>
          </w:tcPr>
          <w:p w14:paraId="3D83A64C" w14:textId="3A030C3B" w:rsidR="00994E03" w:rsidRPr="0082431E" w:rsidRDefault="00994E03" w:rsidP="00994E03">
            <w:pPr>
              <w:keepNext/>
              <w:rPr>
                <w:rFonts w:ascii="Arial" w:hAnsi="Arial" w:cs="Arial"/>
                <w:b/>
                <w:bCs/>
                <w:color w:val="000000"/>
                <w:sz w:val="20"/>
                <w:szCs w:val="20"/>
              </w:rPr>
            </w:pPr>
            <w:r w:rsidRPr="0082431E">
              <w:rPr>
                <w:rFonts w:ascii="Arial" w:hAnsi="Arial" w:cs="Arial"/>
                <w:b/>
                <w:bCs/>
                <w:color w:val="000000"/>
                <w:sz w:val="20"/>
                <w:szCs w:val="20"/>
              </w:rPr>
              <w:t xml:space="preserve">Per </w:t>
            </w:r>
            <w:r w:rsidR="00DF5A48">
              <w:rPr>
                <w:rFonts w:ascii="Arial" w:hAnsi="Arial" w:cs="Arial"/>
                <w:b/>
                <w:bCs/>
                <w:color w:val="000000"/>
                <w:sz w:val="20"/>
                <w:szCs w:val="20"/>
              </w:rPr>
              <w:t>C</w:t>
            </w:r>
            <w:r w:rsidR="00DF5A48">
              <w:rPr>
                <w:rFonts w:ascii="Arial" w:hAnsi="Arial" w:cs="Arial"/>
                <w:color w:val="000000"/>
                <w:sz w:val="20"/>
                <w:szCs w:val="20"/>
              </w:rPr>
              <w:t>ustomer</w:t>
            </w:r>
          </w:p>
        </w:tc>
        <w:tc>
          <w:tcPr>
            <w:tcW w:w="2224" w:type="dxa"/>
            <w:tcBorders>
              <w:top w:val="nil"/>
              <w:left w:val="single" w:sz="4" w:space="0" w:color="auto"/>
              <w:bottom w:val="nil"/>
              <w:right w:val="single" w:sz="4" w:space="0" w:color="auto"/>
            </w:tcBorders>
            <w:shd w:val="clear" w:color="000000" w:fill="FFFFFF"/>
            <w:vAlign w:val="center"/>
            <w:hideMark/>
          </w:tcPr>
          <w:p w14:paraId="7E8F7438" w14:textId="3EC42DA7" w:rsidR="00994E03" w:rsidRPr="0082431E" w:rsidRDefault="00994E03" w:rsidP="00994E03">
            <w:pPr>
              <w:keepNext/>
              <w:rPr>
                <w:rFonts w:ascii="Arial" w:hAnsi="Arial" w:cs="Arial"/>
                <w:color w:val="000000"/>
                <w:sz w:val="20"/>
                <w:szCs w:val="20"/>
              </w:rPr>
            </w:pPr>
            <w:r w:rsidRPr="0082431E">
              <w:rPr>
                <w:rFonts w:ascii="Arial" w:hAnsi="Arial" w:cs="Arial"/>
                <w:color w:val="000000"/>
                <w:sz w:val="20"/>
                <w:szCs w:val="20"/>
              </w:rPr>
              <w:t>Reference (kW</w:t>
            </w:r>
            <w:r>
              <w:rPr>
                <w:rFonts w:ascii="Arial" w:hAnsi="Arial" w:cs="Arial"/>
                <w:color w:val="000000"/>
                <w:sz w:val="20"/>
                <w:szCs w:val="20"/>
              </w:rPr>
              <w:t>h/h</w:t>
            </w:r>
            <w:r w:rsidRPr="0082431E">
              <w:rPr>
                <w:rFonts w:ascii="Arial" w:hAnsi="Arial" w:cs="Arial"/>
                <w:color w:val="000000"/>
                <w:sz w:val="20"/>
                <w:szCs w:val="20"/>
              </w:rPr>
              <w:t>)</w:t>
            </w:r>
          </w:p>
        </w:tc>
        <w:tc>
          <w:tcPr>
            <w:tcW w:w="1977" w:type="dxa"/>
            <w:tcBorders>
              <w:top w:val="nil"/>
              <w:left w:val="nil"/>
              <w:bottom w:val="nil"/>
              <w:right w:val="single" w:sz="4" w:space="0" w:color="auto"/>
            </w:tcBorders>
            <w:shd w:val="clear" w:color="000000" w:fill="FFFFFF"/>
            <w:vAlign w:val="center"/>
            <w:hideMark/>
          </w:tcPr>
          <w:p w14:paraId="606A748A" w14:textId="77777777" w:rsidR="00994E03" w:rsidRPr="0082431E" w:rsidRDefault="00994E03" w:rsidP="00994E03">
            <w:pPr>
              <w:keepNext/>
              <w:jc w:val="center"/>
              <w:rPr>
                <w:rFonts w:ascii="Arial" w:hAnsi="Arial" w:cs="Arial"/>
                <w:color w:val="000000"/>
                <w:sz w:val="20"/>
                <w:szCs w:val="20"/>
              </w:rPr>
            </w:pPr>
            <w:r w:rsidRPr="0082431E">
              <w:rPr>
                <w:rFonts w:ascii="Arial" w:hAnsi="Arial" w:cs="Arial"/>
                <w:color w:val="000000"/>
                <w:sz w:val="20"/>
                <w:szCs w:val="20"/>
              </w:rPr>
              <w:t>1,361.6</w:t>
            </w:r>
          </w:p>
        </w:tc>
        <w:tc>
          <w:tcPr>
            <w:tcW w:w="2135" w:type="dxa"/>
            <w:tcBorders>
              <w:top w:val="nil"/>
              <w:left w:val="nil"/>
              <w:bottom w:val="nil"/>
              <w:right w:val="single" w:sz="4" w:space="0" w:color="auto"/>
            </w:tcBorders>
            <w:shd w:val="clear" w:color="000000" w:fill="FFFFFF"/>
            <w:vAlign w:val="center"/>
            <w:hideMark/>
          </w:tcPr>
          <w:p w14:paraId="6F05B70F" w14:textId="2A34D4F0" w:rsidR="00994E03" w:rsidRPr="0082431E" w:rsidRDefault="00994E03" w:rsidP="00994E03">
            <w:pPr>
              <w:keepNext/>
              <w:jc w:val="center"/>
              <w:rPr>
                <w:rFonts w:ascii="Arial" w:hAnsi="Arial" w:cs="Arial"/>
                <w:color w:val="000000"/>
                <w:sz w:val="20"/>
                <w:szCs w:val="20"/>
              </w:rPr>
            </w:pPr>
            <w:r>
              <w:rPr>
                <w:rFonts w:ascii="Arial" w:hAnsi="Arial" w:cs="Arial"/>
                <w:color w:val="000000"/>
                <w:sz w:val="20"/>
                <w:szCs w:val="20"/>
              </w:rPr>
              <w:t>1,3</w:t>
            </w:r>
            <w:r w:rsidR="00197BDA">
              <w:rPr>
                <w:rFonts w:ascii="Arial" w:hAnsi="Arial" w:cs="Arial"/>
                <w:color w:val="000000"/>
                <w:sz w:val="20"/>
                <w:szCs w:val="20"/>
              </w:rPr>
              <w:t>82.6</w:t>
            </w:r>
          </w:p>
        </w:tc>
      </w:tr>
      <w:tr w:rsidR="00994E03" w:rsidRPr="0082431E" w14:paraId="18B8E92A" w14:textId="77777777" w:rsidTr="00690888">
        <w:trPr>
          <w:trHeight w:val="259"/>
          <w:jc w:val="center"/>
        </w:trPr>
        <w:tc>
          <w:tcPr>
            <w:tcW w:w="1191" w:type="dxa"/>
            <w:vMerge/>
            <w:tcBorders>
              <w:top w:val="nil"/>
              <w:left w:val="single" w:sz="4" w:space="0" w:color="auto"/>
              <w:bottom w:val="single" w:sz="4" w:space="0" w:color="auto"/>
              <w:right w:val="nil"/>
            </w:tcBorders>
            <w:vAlign w:val="center"/>
            <w:hideMark/>
          </w:tcPr>
          <w:p w14:paraId="1DBBA059" w14:textId="77777777" w:rsidR="00994E03" w:rsidRPr="0082431E" w:rsidRDefault="00994E03" w:rsidP="00994E03">
            <w:pPr>
              <w:keepNext/>
              <w:rPr>
                <w:rFonts w:ascii="Arial" w:hAnsi="Arial" w:cs="Arial"/>
                <w:b/>
                <w:bCs/>
                <w:color w:val="000000"/>
                <w:sz w:val="20"/>
                <w:szCs w:val="20"/>
              </w:rPr>
            </w:pPr>
          </w:p>
        </w:tc>
        <w:tc>
          <w:tcPr>
            <w:tcW w:w="2224" w:type="dxa"/>
            <w:tcBorders>
              <w:top w:val="nil"/>
              <w:left w:val="single" w:sz="4" w:space="0" w:color="auto"/>
              <w:bottom w:val="nil"/>
              <w:right w:val="single" w:sz="4" w:space="0" w:color="auto"/>
            </w:tcBorders>
            <w:shd w:val="clear" w:color="000000" w:fill="FFFFFF"/>
            <w:vAlign w:val="center"/>
            <w:hideMark/>
          </w:tcPr>
          <w:p w14:paraId="42033D37" w14:textId="2E75EAE8" w:rsidR="00994E03" w:rsidRPr="0082431E" w:rsidRDefault="00994E03" w:rsidP="00994E03">
            <w:pPr>
              <w:keepNext/>
              <w:rPr>
                <w:rFonts w:ascii="Arial" w:hAnsi="Arial" w:cs="Arial"/>
                <w:color w:val="000000"/>
                <w:sz w:val="20"/>
                <w:szCs w:val="20"/>
              </w:rPr>
            </w:pPr>
            <w:r w:rsidRPr="0082431E">
              <w:rPr>
                <w:rFonts w:ascii="Arial" w:hAnsi="Arial" w:cs="Arial"/>
                <w:color w:val="000000"/>
                <w:sz w:val="20"/>
                <w:szCs w:val="20"/>
              </w:rPr>
              <w:t>Load Impact (kW</w:t>
            </w:r>
            <w:r>
              <w:rPr>
                <w:rFonts w:ascii="Arial" w:hAnsi="Arial" w:cs="Arial"/>
                <w:color w:val="000000"/>
                <w:sz w:val="20"/>
                <w:szCs w:val="20"/>
              </w:rPr>
              <w:t>h/h</w:t>
            </w:r>
            <w:r w:rsidRPr="0082431E">
              <w:rPr>
                <w:rFonts w:ascii="Arial" w:hAnsi="Arial" w:cs="Arial"/>
                <w:color w:val="000000"/>
                <w:sz w:val="20"/>
                <w:szCs w:val="20"/>
              </w:rPr>
              <w:t>)</w:t>
            </w:r>
          </w:p>
        </w:tc>
        <w:tc>
          <w:tcPr>
            <w:tcW w:w="1977" w:type="dxa"/>
            <w:tcBorders>
              <w:top w:val="nil"/>
              <w:left w:val="nil"/>
              <w:bottom w:val="nil"/>
              <w:right w:val="single" w:sz="4" w:space="0" w:color="auto"/>
            </w:tcBorders>
            <w:shd w:val="clear" w:color="000000" w:fill="FFFFFF"/>
            <w:vAlign w:val="center"/>
            <w:hideMark/>
          </w:tcPr>
          <w:p w14:paraId="11503A61" w14:textId="77777777" w:rsidR="00994E03" w:rsidRPr="0082431E" w:rsidRDefault="00994E03" w:rsidP="00994E03">
            <w:pPr>
              <w:keepNext/>
              <w:jc w:val="center"/>
              <w:rPr>
                <w:rFonts w:ascii="Arial" w:hAnsi="Arial" w:cs="Arial"/>
                <w:color w:val="000000"/>
                <w:sz w:val="20"/>
                <w:szCs w:val="20"/>
              </w:rPr>
            </w:pPr>
            <w:r w:rsidRPr="0082431E">
              <w:rPr>
                <w:rFonts w:ascii="Arial" w:hAnsi="Arial" w:cs="Arial"/>
                <w:color w:val="000000"/>
                <w:sz w:val="20"/>
                <w:szCs w:val="20"/>
              </w:rPr>
              <w:t>1,058.2</w:t>
            </w:r>
          </w:p>
        </w:tc>
        <w:tc>
          <w:tcPr>
            <w:tcW w:w="2135" w:type="dxa"/>
            <w:tcBorders>
              <w:top w:val="nil"/>
              <w:left w:val="nil"/>
              <w:bottom w:val="nil"/>
              <w:right w:val="single" w:sz="4" w:space="0" w:color="auto"/>
            </w:tcBorders>
            <w:shd w:val="clear" w:color="000000" w:fill="FFFFFF"/>
            <w:vAlign w:val="center"/>
            <w:hideMark/>
          </w:tcPr>
          <w:p w14:paraId="4DDC5515" w14:textId="27533280" w:rsidR="00994E03" w:rsidRPr="0082431E" w:rsidRDefault="00197BDA" w:rsidP="00994E03">
            <w:pPr>
              <w:keepNext/>
              <w:jc w:val="center"/>
              <w:rPr>
                <w:rFonts w:ascii="Arial" w:hAnsi="Arial" w:cs="Arial"/>
                <w:color w:val="000000"/>
                <w:sz w:val="20"/>
                <w:szCs w:val="20"/>
              </w:rPr>
            </w:pPr>
            <w:r>
              <w:rPr>
                <w:rFonts w:ascii="Arial" w:hAnsi="Arial" w:cs="Arial"/>
                <w:color w:val="000000"/>
                <w:sz w:val="20"/>
                <w:szCs w:val="20"/>
              </w:rPr>
              <w:t>1,076.5</w:t>
            </w:r>
          </w:p>
        </w:tc>
      </w:tr>
      <w:tr w:rsidR="00994E03" w:rsidRPr="0082431E" w14:paraId="5D42353E" w14:textId="77777777" w:rsidTr="00690888">
        <w:trPr>
          <w:trHeight w:val="259"/>
          <w:jc w:val="center"/>
        </w:trPr>
        <w:tc>
          <w:tcPr>
            <w:tcW w:w="1191" w:type="dxa"/>
            <w:vMerge/>
            <w:tcBorders>
              <w:top w:val="nil"/>
              <w:left w:val="single" w:sz="4" w:space="0" w:color="auto"/>
              <w:bottom w:val="single" w:sz="4" w:space="0" w:color="auto"/>
              <w:right w:val="nil"/>
            </w:tcBorders>
            <w:vAlign w:val="center"/>
            <w:hideMark/>
          </w:tcPr>
          <w:p w14:paraId="08D59E44" w14:textId="77777777" w:rsidR="00994E03" w:rsidRPr="0082431E" w:rsidRDefault="00994E03" w:rsidP="00994E03">
            <w:pPr>
              <w:keepNext/>
              <w:rPr>
                <w:rFonts w:ascii="Arial" w:hAnsi="Arial" w:cs="Arial"/>
                <w:b/>
                <w:bCs/>
                <w:color w:val="000000"/>
                <w:sz w:val="20"/>
                <w:szCs w:val="20"/>
              </w:rPr>
            </w:pPr>
          </w:p>
        </w:tc>
        <w:tc>
          <w:tcPr>
            <w:tcW w:w="2224" w:type="dxa"/>
            <w:tcBorders>
              <w:top w:val="nil"/>
              <w:left w:val="single" w:sz="4" w:space="0" w:color="auto"/>
              <w:bottom w:val="single" w:sz="4" w:space="0" w:color="auto"/>
              <w:right w:val="single" w:sz="4" w:space="0" w:color="auto"/>
            </w:tcBorders>
            <w:shd w:val="clear" w:color="000000" w:fill="FFFFFF"/>
            <w:vAlign w:val="center"/>
            <w:hideMark/>
          </w:tcPr>
          <w:p w14:paraId="06255E6A" w14:textId="77777777" w:rsidR="00994E03" w:rsidRPr="0082431E" w:rsidRDefault="00994E03" w:rsidP="00994E03">
            <w:pPr>
              <w:keepNext/>
              <w:rPr>
                <w:rFonts w:ascii="Arial" w:hAnsi="Arial" w:cs="Arial"/>
                <w:color w:val="000000"/>
                <w:sz w:val="20"/>
                <w:szCs w:val="20"/>
              </w:rPr>
            </w:pPr>
            <w:r w:rsidRPr="0082431E">
              <w:rPr>
                <w:rFonts w:ascii="Arial" w:hAnsi="Arial" w:cs="Arial"/>
                <w:color w:val="000000"/>
                <w:sz w:val="20"/>
                <w:szCs w:val="20"/>
              </w:rPr>
              <w:t>% Load Impact</w:t>
            </w:r>
          </w:p>
        </w:tc>
        <w:tc>
          <w:tcPr>
            <w:tcW w:w="1977" w:type="dxa"/>
            <w:tcBorders>
              <w:top w:val="nil"/>
              <w:left w:val="nil"/>
              <w:bottom w:val="single" w:sz="4" w:space="0" w:color="auto"/>
              <w:right w:val="single" w:sz="4" w:space="0" w:color="auto"/>
            </w:tcBorders>
            <w:shd w:val="clear" w:color="000000" w:fill="FFFFFF"/>
            <w:vAlign w:val="center"/>
            <w:hideMark/>
          </w:tcPr>
          <w:p w14:paraId="62A3B577" w14:textId="64F57681" w:rsidR="00994E03" w:rsidRPr="0082431E" w:rsidRDefault="003F2BC2" w:rsidP="00994E03">
            <w:pPr>
              <w:keepNext/>
              <w:jc w:val="center"/>
              <w:rPr>
                <w:rFonts w:ascii="Arial" w:hAnsi="Arial" w:cs="Arial"/>
                <w:color w:val="000000"/>
                <w:sz w:val="20"/>
                <w:szCs w:val="20"/>
              </w:rPr>
            </w:pPr>
            <w:r>
              <w:rPr>
                <w:rFonts w:ascii="Arial" w:hAnsi="Arial" w:cs="Arial"/>
                <w:color w:val="000000"/>
                <w:sz w:val="20"/>
                <w:szCs w:val="20"/>
              </w:rPr>
              <w:t>77.7</w:t>
            </w:r>
            <w:r w:rsidR="00994E03" w:rsidRPr="0082431E">
              <w:rPr>
                <w:rFonts w:ascii="Arial" w:hAnsi="Arial" w:cs="Arial"/>
                <w:color w:val="000000"/>
                <w:sz w:val="20"/>
                <w:szCs w:val="20"/>
              </w:rPr>
              <w:t>%</w:t>
            </w:r>
          </w:p>
        </w:tc>
        <w:tc>
          <w:tcPr>
            <w:tcW w:w="2135" w:type="dxa"/>
            <w:tcBorders>
              <w:top w:val="nil"/>
              <w:left w:val="nil"/>
              <w:bottom w:val="single" w:sz="4" w:space="0" w:color="auto"/>
              <w:right w:val="single" w:sz="4" w:space="0" w:color="auto"/>
            </w:tcBorders>
            <w:shd w:val="clear" w:color="000000" w:fill="FFFFFF"/>
            <w:vAlign w:val="center"/>
            <w:hideMark/>
          </w:tcPr>
          <w:p w14:paraId="3D756F78" w14:textId="2DD83211" w:rsidR="00994E03" w:rsidRPr="0082431E" w:rsidRDefault="00197BDA" w:rsidP="00994E03">
            <w:pPr>
              <w:keepNext/>
              <w:jc w:val="center"/>
              <w:rPr>
                <w:rFonts w:ascii="Arial" w:hAnsi="Arial" w:cs="Arial"/>
                <w:color w:val="000000"/>
                <w:sz w:val="20"/>
                <w:szCs w:val="20"/>
              </w:rPr>
            </w:pPr>
            <w:r>
              <w:rPr>
                <w:rFonts w:ascii="Arial" w:hAnsi="Arial" w:cs="Arial"/>
                <w:color w:val="000000"/>
                <w:sz w:val="20"/>
                <w:szCs w:val="20"/>
              </w:rPr>
              <w:t>77.9</w:t>
            </w:r>
            <w:r w:rsidR="00994E03">
              <w:rPr>
                <w:rFonts w:ascii="Arial" w:hAnsi="Arial" w:cs="Arial"/>
                <w:color w:val="000000"/>
                <w:sz w:val="20"/>
                <w:szCs w:val="20"/>
              </w:rPr>
              <w:t>%</w:t>
            </w:r>
          </w:p>
        </w:tc>
      </w:tr>
    </w:tbl>
    <w:p w14:paraId="68D0D543" w14:textId="77777777" w:rsidR="0082431E" w:rsidRDefault="0082431E" w:rsidP="0082431E">
      <w:pPr>
        <w:pStyle w:val="TableCaption"/>
        <w:keepNext/>
        <w:keepLines/>
      </w:pPr>
    </w:p>
    <w:p w14:paraId="609A5508" w14:textId="2A1DF3CE" w:rsidR="00DA4753" w:rsidRDefault="00DA4753" w:rsidP="00DA4753">
      <w:pPr>
        <w:pStyle w:val="Heading3"/>
      </w:pPr>
      <w:bookmarkStart w:id="228" w:name="_Toc383597958"/>
      <w:bookmarkStart w:id="229" w:name="_Toc510091137"/>
      <w:r>
        <w:t xml:space="preserve">6.2.2 Previous versus current </w:t>
      </w:r>
      <w:r w:rsidRPr="000F1678">
        <w:rPr>
          <w:i/>
        </w:rPr>
        <w:t>ex</w:t>
      </w:r>
      <w:r w:rsidR="000F1678" w:rsidRPr="000F1678">
        <w:rPr>
          <w:i/>
        </w:rPr>
        <w:t>-</w:t>
      </w:r>
      <w:r w:rsidRPr="000F1678">
        <w:rPr>
          <w:i/>
        </w:rPr>
        <w:t>ante</w:t>
      </w:r>
      <w:bookmarkEnd w:id="228"/>
      <w:bookmarkEnd w:id="229"/>
    </w:p>
    <w:p w14:paraId="1BBCF684" w14:textId="236B90C3" w:rsidR="00DA4753" w:rsidRDefault="00DA4753" w:rsidP="00DA4753">
      <w:r>
        <w:t>In this</w:t>
      </w:r>
      <w:r w:rsidR="00F10A0C">
        <w:t xml:space="preserve"> sub-section, we compare the </w:t>
      </w:r>
      <w:r w:rsidR="00F10A0C" w:rsidRPr="0001399D">
        <w:rPr>
          <w:i/>
        </w:rPr>
        <w:t>ex-</w:t>
      </w:r>
      <w:r w:rsidRPr="0001399D">
        <w:rPr>
          <w:i/>
        </w:rPr>
        <w:t>ante</w:t>
      </w:r>
      <w:r>
        <w:t xml:space="preserve"> forecast prepared following PY201</w:t>
      </w:r>
      <w:r w:rsidR="00090C1B">
        <w:t>6</w:t>
      </w:r>
      <w:r>
        <w:t xml:space="preserve"> (</w:t>
      </w:r>
      <w:r w:rsidR="00F10A0C">
        <w:t xml:space="preserve">the “previous study”) to the </w:t>
      </w:r>
      <w:r w:rsidR="00F10A0C" w:rsidRPr="0001399D">
        <w:rPr>
          <w:i/>
        </w:rPr>
        <w:t>ex-</w:t>
      </w:r>
      <w:r w:rsidRPr="0001399D">
        <w:rPr>
          <w:i/>
        </w:rPr>
        <w:t>ante</w:t>
      </w:r>
      <w:r>
        <w:t xml:space="preserve"> forecast contained in this study (the “current study”). Table 6.</w:t>
      </w:r>
      <w:r w:rsidR="00372CA5">
        <w:t>7</w:t>
      </w:r>
      <w:r>
        <w:t xml:space="preserve"> represents the forecast for the August 201</w:t>
      </w:r>
      <w:r w:rsidR="00090C1B">
        <w:t>8</w:t>
      </w:r>
      <w:r>
        <w:t xml:space="preserve"> utility-</w:t>
      </w:r>
      <w:r w:rsidR="008E25F7">
        <w:t xml:space="preserve">specific 1-in-2 </w:t>
      </w:r>
      <w:r w:rsidR="00AD4367">
        <w:t>typical event day</w:t>
      </w:r>
      <w:r w:rsidR="008E25F7">
        <w:t>.</w:t>
      </w:r>
    </w:p>
    <w:p w14:paraId="3B49DAEE" w14:textId="77777777" w:rsidR="00DA4753" w:rsidRDefault="00DA4753" w:rsidP="00DA4753"/>
    <w:p w14:paraId="544E18B5" w14:textId="0FFBB5F7" w:rsidR="00EB76B2" w:rsidRDefault="00DA4753" w:rsidP="006A6AE3">
      <w:pPr>
        <w:pStyle w:val="TableCaption"/>
        <w:keepNext/>
        <w:keepLines/>
        <w:rPr>
          <w:i/>
        </w:rPr>
      </w:pPr>
      <w:bookmarkStart w:id="230" w:name="_Toc383598021"/>
      <w:bookmarkStart w:id="231" w:name="_Toc508800238"/>
      <w:r w:rsidRPr="00376F46">
        <w:t xml:space="preserve">Table </w:t>
      </w:r>
      <w:r>
        <w:t>6</w:t>
      </w:r>
      <w:r w:rsidRPr="00376F46">
        <w:t>.</w:t>
      </w:r>
      <w:r w:rsidR="00372CA5">
        <w:t>7</w:t>
      </w:r>
      <w:r w:rsidRPr="00376F46">
        <w:t xml:space="preserve">: Comparison of </w:t>
      </w:r>
      <w:r w:rsidR="006B77F5" w:rsidRPr="0001399D">
        <w:rPr>
          <w:i/>
        </w:rPr>
        <w:t>Ex-</w:t>
      </w:r>
      <w:r w:rsidR="0001399D" w:rsidRPr="0001399D">
        <w:rPr>
          <w:i/>
        </w:rPr>
        <w:t>a</w:t>
      </w:r>
      <w:r w:rsidRPr="0001399D">
        <w:rPr>
          <w:i/>
        </w:rPr>
        <w:t>nte</w:t>
      </w:r>
      <w:r>
        <w:t xml:space="preserve"> </w:t>
      </w:r>
      <w:r w:rsidRPr="00376F46">
        <w:t xml:space="preserve">Impacts </w:t>
      </w:r>
      <w:r>
        <w:t xml:space="preserve">from </w:t>
      </w:r>
      <w:r w:rsidRPr="00376F46">
        <w:t>PY201</w:t>
      </w:r>
      <w:r w:rsidR="00994E03">
        <w:t>6</w:t>
      </w:r>
      <w:r>
        <w:t xml:space="preserve"> and</w:t>
      </w:r>
      <w:r w:rsidRPr="00376F46">
        <w:t xml:space="preserve"> PY</w:t>
      </w:r>
      <w:r w:rsidR="00197BDA">
        <w:t>2</w:t>
      </w:r>
      <w:r w:rsidRPr="00376F46">
        <w:t>01</w:t>
      </w:r>
      <w:r w:rsidR="00994E03">
        <w:t>7</w:t>
      </w:r>
      <w:r>
        <w:t xml:space="preserve"> Studies</w:t>
      </w:r>
      <w:r w:rsidRPr="00376F46">
        <w:t xml:space="preserve">, </w:t>
      </w:r>
      <w:r>
        <w:rPr>
          <w:i/>
        </w:rPr>
        <w:t>SC</w:t>
      </w:r>
      <w:r w:rsidRPr="00376F46">
        <w:rPr>
          <w:i/>
        </w:rPr>
        <w:t>E</w:t>
      </w:r>
      <w:bookmarkEnd w:id="230"/>
      <w:bookmarkEnd w:id="231"/>
    </w:p>
    <w:tbl>
      <w:tblPr>
        <w:tblW w:w="7560" w:type="dxa"/>
        <w:jc w:val="center"/>
        <w:tblLook w:val="04A0" w:firstRow="1" w:lastRow="0" w:firstColumn="1" w:lastColumn="0" w:noHBand="0" w:noVBand="1"/>
      </w:tblPr>
      <w:tblGrid>
        <w:gridCol w:w="1196"/>
        <w:gridCol w:w="2219"/>
        <w:gridCol w:w="2001"/>
        <w:gridCol w:w="2144"/>
      </w:tblGrid>
      <w:tr w:rsidR="006A6AE3" w:rsidRPr="006A6AE3" w14:paraId="52B53295" w14:textId="77777777" w:rsidTr="006B55F6">
        <w:trPr>
          <w:trHeight w:val="242"/>
          <w:jc w:val="center"/>
        </w:trPr>
        <w:tc>
          <w:tcPr>
            <w:tcW w:w="1196" w:type="dxa"/>
            <w:vMerge w:val="restart"/>
            <w:tcBorders>
              <w:top w:val="single" w:sz="4" w:space="0" w:color="auto"/>
              <w:left w:val="single" w:sz="4" w:space="0" w:color="auto"/>
              <w:bottom w:val="single" w:sz="4" w:space="0" w:color="auto"/>
              <w:right w:val="nil"/>
            </w:tcBorders>
            <w:shd w:val="clear" w:color="auto" w:fill="0C2577"/>
            <w:vAlign w:val="center"/>
            <w:hideMark/>
          </w:tcPr>
          <w:p w14:paraId="4B72C1EE" w14:textId="77777777" w:rsidR="006A6AE3" w:rsidRPr="006A6AE3" w:rsidRDefault="006A6AE3" w:rsidP="00EB7A51">
            <w:pPr>
              <w:keepNext/>
              <w:jc w:val="center"/>
              <w:rPr>
                <w:rFonts w:ascii="Arial" w:hAnsi="Arial" w:cs="Arial"/>
                <w:b/>
                <w:bCs/>
                <w:color w:val="FFFFFF"/>
                <w:sz w:val="20"/>
                <w:szCs w:val="20"/>
              </w:rPr>
            </w:pPr>
            <w:r w:rsidRPr="006A6AE3">
              <w:rPr>
                <w:rFonts w:ascii="Arial" w:hAnsi="Arial" w:cs="Arial"/>
                <w:b/>
                <w:bCs/>
                <w:color w:val="FFFFFF"/>
                <w:sz w:val="20"/>
                <w:szCs w:val="20"/>
              </w:rPr>
              <w:t>Level</w:t>
            </w:r>
          </w:p>
        </w:tc>
        <w:tc>
          <w:tcPr>
            <w:tcW w:w="2219" w:type="dxa"/>
            <w:vMerge w:val="restart"/>
            <w:tcBorders>
              <w:top w:val="single" w:sz="4" w:space="0" w:color="auto"/>
              <w:left w:val="single" w:sz="4" w:space="0" w:color="FFFFFF"/>
              <w:bottom w:val="single" w:sz="4" w:space="0" w:color="auto"/>
              <w:right w:val="nil"/>
            </w:tcBorders>
            <w:shd w:val="clear" w:color="auto" w:fill="0C2577"/>
            <w:vAlign w:val="center"/>
            <w:hideMark/>
          </w:tcPr>
          <w:p w14:paraId="0C86989D" w14:textId="77777777" w:rsidR="006A6AE3" w:rsidRPr="006A6AE3" w:rsidRDefault="006A6AE3" w:rsidP="00EB7A51">
            <w:pPr>
              <w:keepNext/>
              <w:jc w:val="center"/>
              <w:rPr>
                <w:rFonts w:ascii="Arial" w:hAnsi="Arial" w:cs="Arial"/>
                <w:b/>
                <w:bCs/>
                <w:color w:val="FFFFFF"/>
                <w:sz w:val="20"/>
                <w:szCs w:val="20"/>
              </w:rPr>
            </w:pPr>
            <w:r w:rsidRPr="006A6AE3">
              <w:rPr>
                <w:rFonts w:ascii="Arial" w:hAnsi="Arial" w:cs="Arial"/>
                <w:b/>
                <w:bCs/>
                <w:color w:val="FFFFFF"/>
                <w:sz w:val="20"/>
                <w:szCs w:val="20"/>
              </w:rPr>
              <w:t>Outcome</w:t>
            </w:r>
          </w:p>
        </w:tc>
        <w:tc>
          <w:tcPr>
            <w:tcW w:w="2001" w:type="dxa"/>
            <w:vMerge w:val="restart"/>
            <w:tcBorders>
              <w:top w:val="single" w:sz="4" w:space="0" w:color="auto"/>
              <w:left w:val="single" w:sz="4" w:space="0" w:color="FFFFFF"/>
              <w:bottom w:val="single" w:sz="4" w:space="0" w:color="auto"/>
              <w:right w:val="single" w:sz="4" w:space="0" w:color="FFFFFF"/>
            </w:tcBorders>
            <w:shd w:val="clear" w:color="auto" w:fill="0C2577"/>
            <w:vAlign w:val="center"/>
            <w:hideMark/>
          </w:tcPr>
          <w:p w14:paraId="229967A6" w14:textId="77777777" w:rsidR="006A6AE3" w:rsidRPr="006A6AE3" w:rsidRDefault="006A6AE3" w:rsidP="00EB7A51">
            <w:pPr>
              <w:keepNext/>
              <w:jc w:val="center"/>
              <w:rPr>
                <w:rFonts w:ascii="Arial" w:hAnsi="Arial" w:cs="Arial"/>
                <w:b/>
                <w:bCs/>
                <w:color w:val="FFFFFF"/>
                <w:sz w:val="20"/>
                <w:szCs w:val="20"/>
              </w:rPr>
            </w:pPr>
            <w:r w:rsidRPr="00197BDA">
              <w:rPr>
                <w:rFonts w:ascii="Arial" w:hAnsi="Arial" w:cs="Arial"/>
                <w:b/>
                <w:bCs/>
                <w:i/>
                <w:color w:val="FFFFFF"/>
                <w:sz w:val="20"/>
                <w:szCs w:val="20"/>
              </w:rPr>
              <w:t>Ex-ante</w:t>
            </w:r>
            <w:r w:rsidRPr="006A6AE3">
              <w:rPr>
                <w:rFonts w:ascii="Arial" w:hAnsi="Arial" w:cs="Arial"/>
                <w:b/>
                <w:bCs/>
                <w:color w:val="FFFFFF"/>
                <w:sz w:val="20"/>
                <w:szCs w:val="20"/>
              </w:rPr>
              <w:t xml:space="preserve"> 2018 Typical Event Day, </w:t>
            </w:r>
            <w:r w:rsidRPr="006A6AE3">
              <w:rPr>
                <w:rFonts w:ascii="Arial" w:hAnsi="Arial" w:cs="Arial"/>
                <w:b/>
                <w:bCs/>
                <w:i/>
                <w:iCs/>
                <w:color w:val="FFFFFF"/>
                <w:sz w:val="20"/>
                <w:szCs w:val="20"/>
              </w:rPr>
              <w:t>Previous Study</w:t>
            </w:r>
            <w:r w:rsidRPr="006A6AE3">
              <w:rPr>
                <w:rFonts w:ascii="Arial" w:hAnsi="Arial" w:cs="Arial"/>
                <w:b/>
                <w:bCs/>
                <w:color w:val="FFFFFF"/>
                <w:sz w:val="20"/>
                <w:szCs w:val="20"/>
              </w:rPr>
              <w:t xml:space="preserve"> </w:t>
            </w:r>
          </w:p>
        </w:tc>
        <w:tc>
          <w:tcPr>
            <w:tcW w:w="2144" w:type="dxa"/>
            <w:vMerge w:val="restart"/>
            <w:tcBorders>
              <w:top w:val="single" w:sz="4" w:space="0" w:color="auto"/>
              <w:left w:val="nil"/>
              <w:bottom w:val="single" w:sz="4" w:space="0" w:color="auto"/>
              <w:right w:val="single" w:sz="4" w:space="0" w:color="auto"/>
            </w:tcBorders>
            <w:shd w:val="clear" w:color="auto" w:fill="0C2577"/>
            <w:vAlign w:val="center"/>
            <w:hideMark/>
          </w:tcPr>
          <w:p w14:paraId="722A1003" w14:textId="77777777" w:rsidR="006A6AE3" w:rsidRPr="006A6AE3" w:rsidRDefault="006A6AE3" w:rsidP="00EB7A51">
            <w:pPr>
              <w:keepNext/>
              <w:jc w:val="center"/>
              <w:rPr>
                <w:rFonts w:ascii="Arial" w:hAnsi="Arial" w:cs="Arial"/>
                <w:b/>
                <w:bCs/>
                <w:color w:val="FFFFFF"/>
                <w:sz w:val="20"/>
                <w:szCs w:val="20"/>
              </w:rPr>
            </w:pPr>
            <w:r w:rsidRPr="00197BDA">
              <w:rPr>
                <w:rFonts w:ascii="Arial" w:hAnsi="Arial" w:cs="Arial"/>
                <w:b/>
                <w:bCs/>
                <w:i/>
                <w:color w:val="FFFFFF"/>
                <w:sz w:val="20"/>
                <w:szCs w:val="20"/>
              </w:rPr>
              <w:t>Ex-ante</w:t>
            </w:r>
            <w:r w:rsidRPr="006A6AE3">
              <w:rPr>
                <w:rFonts w:ascii="Arial" w:hAnsi="Arial" w:cs="Arial"/>
                <w:b/>
                <w:bCs/>
                <w:color w:val="FFFFFF"/>
                <w:sz w:val="20"/>
                <w:szCs w:val="20"/>
              </w:rPr>
              <w:t xml:space="preserve"> 2018 Typical Event Day, </w:t>
            </w:r>
            <w:r w:rsidRPr="006A6AE3">
              <w:rPr>
                <w:rFonts w:ascii="Arial" w:hAnsi="Arial" w:cs="Arial"/>
                <w:b/>
                <w:bCs/>
                <w:i/>
                <w:iCs/>
                <w:color w:val="FFFFFF"/>
                <w:sz w:val="20"/>
                <w:szCs w:val="20"/>
              </w:rPr>
              <w:t>Current Study</w:t>
            </w:r>
          </w:p>
        </w:tc>
      </w:tr>
      <w:tr w:rsidR="006A6AE3" w:rsidRPr="006A6AE3" w14:paraId="437C0D4D" w14:textId="77777777" w:rsidTr="006B55F6">
        <w:trPr>
          <w:trHeight w:val="293"/>
          <w:jc w:val="center"/>
        </w:trPr>
        <w:tc>
          <w:tcPr>
            <w:tcW w:w="1196" w:type="dxa"/>
            <w:vMerge/>
            <w:tcBorders>
              <w:top w:val="single" w:sz="4" w:space="0" w:color="auto"/>
              <w:left w:val="single" w:sz="4" w:space="0" w:color="auto"/>
              <w:bottom w:val="single" w:sz="4" w:space="0" w:color="auto"/>
              <w:right w:val="nil"/>
            </w:tcBorders>
            <w:shd w:val="clear" w:color="auto" w:fill="0C2577"/>
            <w:vAlign w:val="center"/>
            <w:hideMark/>
          </w:tcPr>
          <w:p w14:paraId="0C6262C3" w14:textId="77777777" w:rsidR="006A6AE3" w:rsidRPr="006A6AE3" w:rsidRDefault="006A6AE3" w:rsidP="00EB7A51">
            <w:pPr>
              <w:keepNext/>
              <w:rPr>
                <w:rFonts w:ascii="Arial" w:hAnsi="Arial" w:cs="Arial"/>
                <w:b/>
                <w:bCs/>
                <w:color w:val="FFFFFF"/>
                <w:sz w:val="20"/>
                <w:szCs w:val="20"/>
              </w:rPr>
            </w:pPr>
          </w:p>
        </w:tc>
        <w:tc>
          <w:tcPr>
            <w:tcW w:w="2219" w:type="dxa"/>
            <w:vMerge/>
            <w:tcBorders>
              <w:top w:val="single" w:sz="4" w:space="0" w:color="auto"/>
              <w:left w:val="single" w:sz="4" w:space="0" w:color="FFFFFF"/>
              <w:bottom w:val="single" w:sz="4" w:space="0" w:color="auto"/>
              <w:right w:val="nil"/>
            </w:tcBorders>
            <w:shd w:val="clear" w:color="auto" w:fill="0C2577"/>
            <w:vAlign w:val="center"/>
            <w:hideMark/>
          </w:tcPr>
          <w:p w14:paraId="35738425" w14:textId="77777777" w:rsidR="006A6AE3" w:rsidRPr="006A6AE3" w:rsidRDefault="006A6AE3" w:rsidP="00EB7A51">
            <w:pPr>
              <w:keepNext/>
              <w:rPr>
                <w:rFonts w:ascii="Arial" w:hAnsi="Arial" w:cs="Arial"/>
                <w:b/>
                <w:bCs/>
                <w:color w:val="FFFFFF"/>
                <w:sz w:val="20"/>
                <w:szCs w:val="20"/>
              </w:rPr>
            </w:pPr>
          </w:p>
        </w:tc>
        <w:tc>
          <w:tcPr>
            <w:tcW w:w="2001" w:type="dxa"/>
            <w:vMerge/>
            <w:tcBorders>
              <w:top w:val="single" w:sz="4" w:space="0" w:color="auto"/>
              <w:left w:val="single" w:sz="4" w:space="0" w:color="FFFFFF"/>
              <w:bottom w:val="single" w:sz="4" w:space="0" w:color="auto"/>
              <w:right w:val="single" w:sz="4" w:space="0" w:color="FFFFFF"/>
            </w:tcBorders>
            <w:shd w:val="clear" w:color="auto" w:fill="0C2577"/>
            <w:vAlign w:val="center"/>
            <w:hideMark/>
          </w:tcPr>
          <w:p w14:paraId="2BA146DA" w14:textId="77777777" w:rsidR="006A6AE3" w:rsidRPr="006A6AE3" w:rsidRDefault="006A6AE3" w:rsidP="00EB7A51">
            <w:pPr>
              <w:keepNext/>
              <w:rPr>
                <w:rFonts w:ascii="Arial" w:hAnsi="Arial" w:cs="Arial"/>
                <w:b/>
                <w:bCs/>
                <w:color w:val="FFFFFF"/>
                <w:sz w:val="20"/>
                <w:szCs w:val="20"/>
              </w:rPr>
            </w:pPr>
          </w:p>
        </w:tc>
        <w:tc>
          <w:tcPr>
            <w:tcW w:w="2144" w:type="dxa"/>
            <w:vMerge/>
            <w:tcBorders>
              <w:top w:val="single" w:sz="4" w:space="0" w:color="auto"/>
              <w:left w:val="nil"/>
              <w:bottom w:val="single" w:sz="4" w:space="0" w:color="auto"/>
              <w:right w:val="single" w:sz="4" w:space="0" w:color="auto"/>
            </w:tcBorders>
            <w:shd w:val="clear" w:color="auto" w:fill="0C2577"/>
            <w:vAlign w:val="center"/>
            <w:hideMark/>
          </w:tcPr>
          <w:p w14:paraId="6527D0A4" w14:textId="77777777" w:rsidR="006A6AE3" w:rsidRPr="006A6AE3" w:rsidRDefault="006A6AE3" w:rsidP="00EB7A51">
            <w:pPr>
              <w:keepNext/>
              <w:rPr>
                <w:rFonts w:ascii="Arial" w:hAnsi="Arial" w:cs="Arial"/>
                <w:b/>
                <w:bCs/>
                <w:color w:val="FFFFFF"/>
                <w:sz w:val="20"/>
                <w:szCs w:val="20"/>
              </w:rPr>
            </w:pPr>
          </w:p>
        </w:tc>
      </w:tr>
      <w:tr w:rsidR="006A6AE3" w:rsidRPr="006A6AE3" w14:paraId="43A98D3B" w14:textId="77777777" w:rsidTr="006B55F6">
        <w:trPr>
          <w:trHeight w:val="293"/>
          <w:jc w:val="center"/>
        </w:trPr>
        <w:tc>
          <w:tcPr>
            <w:tcW w:w="1196" w:type="dxa"/>
            <w:vMerge/>
            <w:tcBorders>
              <w:top w:val="single" w:sz="4" w:space="0" w:color="auto"/>
              <w:left w:val="single" w:sz="4" w:space="0" w:color="auto"/>
              <w:bottom w:val="single" w:sz="4" w:space="0" w:color="auto"/>
              <w:right w:val="nil"/>
            </w:tcBorders>
            <w:shd w:val="clear" w:color="auto" w:fill="0C2577"/>
            <w:vAlign w:val="center"/>
            <w:hideMark/>
          </w:tcPr>
          <w:p w14:paraId="09172821" w14:textId="77777777" w:rsidR="006A6AE3" w:rsidRPr="006A6AE3" w:rsidRDefault="006A6AE3" w:rsidP="00EB7A51">
            <w:pPr>
              <w:keepNext/>
              <w:rPr>
                <w:rFonts w:ascii="Arial" w:hAnsi="Arial" w:cs="Arial"/>
                <w:b/>
                <w:bCs/>
                <w:color w:val="FFFFFF"/>
                <w:sz w:val="20"/>
                <w:szCs w:val="20"/>
              </w:rPr>
            </w:pPr>
          </w:p>
        </w:tc>
        <w:tc>
          <w:tcPr>
            <w:tcW w:w="2219" w:type="dxa"/>
            <w:vMerge/>
            <w:tcBorders>
              <w:top w:val="single" w:sz="4" w:space="0" w:color="auto"/>
              <w:left w:val="single" w:sz="4" w:space="0" w:color="FFFFFF"/>
              <w:bottom w:val="single" w:sz="4" w:space="0" w:color="auto"/>
              <w:right w:val="nil"/>
            </w:tcBorders>
            <w:shd w:val="clear" w:color="auto" w:fill="0C2577"/>
            <w:vAlign w:val="center"/>
            <w:hideMark/>
          </w:tcPr>
          <w:p w14:paraId="586B35B4" w14:textId="77777777" w:rsidR="006A6AE3" w:rsidRPr="006A6AE3" w:rsidRDefault="006A6AE3" w:rsidP="00EB7A51">
            <w:pPr>
              <w:keepNext/>
              <w:rPr>
                <w:rFonts w:ascii="Arial" w:hAnsi="Arial" w:cs="Arial"/>
                <w:b/>
                <w:bCs/>
                <w:color w:val="FFFFFF"/>
                <w:sz w:val="20"/>
                <w:szCs w:val="20"/>
              </w:rPr>
            </w:pPr>
          </w:p>
        </w:tc>
        <w:tc>
          <w:tcPr>
            <w:tcW w:w="2001" w:type="dxa"/>
            <w:vMerge/>
            <w:tcBorders>
              <w:top w:val="single" w:sz="4" w:space="0" w:color="auto"/>
              <w:left w:val="single" w:sz="4" w:space="0" w:color="FFFFFF"/>
              <w:bottom w:val="single" w:sz="4" w:space="0" w:color="auto"/>
              <w:right w:val="single" w:sz="4" w:space="0" w:color="FFFFFF"/>
            </w:tcBorders>
            <w:shd w:val="clear" w:color="auto" w:fill="0C2577"/>
            <w:vAlign w:val="center"/>
            <w:hideMark/>
          </w:tcPr>
          <w:p w14:paraId="23F831AE" w14:textId="77777777" w:rsidR="006A6AE3" w:rsidRPr="006A6AE3" w:rsidRDefault="006A6AE3" w:rsidP="00EB7A51">
            <w:pPr>
              <w:keepNext/>
              <w:rPr>
                <w:rFonts w:ascii="Arial" w:hAnsi="Arial" w:cs="Arial"/>
                <w:b/>
                <w:bCs/>
                <w:color w:val="FFFFFF"/>
                <w:sz w:val="20"/>
                <w:szCs w:val="20"/>
              </w:rPr>
            </w:pPr>
          </w:p>
        </w:tc>
        <w:tc>
          <w:tcPr>
            <w:tcW w:w="2144" w:type="dxa"/>
            <w:vMerge/>
            <w:tcBorders>
              <w:top w:val="single" w:sz="4" w:space="0" w:color="auto"/>
              <w:left w:val="nil"/>
              <w:bottom w:val="single" w:sz="4" w:space="0" w:color="auto"/>
              <w:right w:val="single" w:sz="4" w:space="0" w:color="auto"/>
            </w:tcBorders>
            <w:shd w:val="clear" w:color="auto" w:fill="0C2577"/>
            <w:vAlign w:val="center"/>
            <w:hideMark/>
          </w:tcPr>
          <w:p w14:paraId="03969A49" w14:textId="77777777" w:rsidR="006A6AE3" w:rsidRPr="006A6AE3" w:rsidRDefault="006A6AE3" w:rsidP="00EB7A51">
            <w:pPr>
              <w:keepNext/>
              <w:rPr>
                <w:rFonts w:ascii="Arial" w:hAnsi="Arial" w:cs="Arial"/>
                <w:b/>
                <w:bCs/>
                <w:color w:val="FFFFFF"/>
                <w:sz w:val="20"/>
                <w:szCs w:val="20"/>
              </w:rPr>
            </w:pPr>
          </w:p>
        </w:tc>
      </w:tr>
      <w:tr w:rsidR="006A6AE3" w:rsidRPr="006A6AE3" w14:paraId="27188207" w14:textId="77777777" w:rsidTr="006B55F6">
        <w:trPr>
          <w:trHeight w:val="293"/>
          <w:jc w:val="center"/>
        </w:trPr>
        <w:tc>
          <w:tcPr>
            <w:tcW w:w="1196" w:type="dxa"/>
            <w:vMerge/>
            <w:tcBorders>
              <w:top w:val="single" w:sz="4" w:space="0" w:color="auto"/>
              <w:left w:val="single" w:sz="4" w:space="0" w:color="auto"/>
              <w:bottom w:val="single" w:sz="4" w:space="0" w:color="auto"/>
              <w:right w:val="nil"/>
            </w:tcBorders>
            <w:shd w:val="clear" w:color="auto" w:fill="0C2577"/>
            <w:vAlign w:val="center"/>
            <w:hideMark/>
          </w:tcPr>
          <w:p w14:paraId="5A9BD870" w14:textId="77777777" w:rsidR="006A6AE3" w:rsidRPr="006A6AE3" w:rsidRDefault="006A6AE3" w:rsidP="00EB7A51">
            <w:pPr>
              <w:keepNext/>
              <w:rPr>
                <w:rFonts w:ascii="Arial" w:hAnsi="Arial" w:cs="Arial"/>
                <w:b/>
                <w:bCs/>
                <w:color w:val="FFFFFF"/>
                <w:sz w:val="20"/>
                <w:szCs w:val="20"/>
              </w:rPr>
            </w:pPr>
          </w:p>
        </w:tc>
        <w:tc>
          <w:tcPr>
            <w:tcW w:w="2219" w:type="dxa"/>
            <w:vMerge/>
            <w:tcBorders>
              <w:top w:val="single" w:sz="4" w:space="0" w:color="auto"/>
              <w:left w:val="single" w:sz="4" w:space="0" w:color="FFFFFF"/>
              <w:bottom w:val="single" w:sz="4" w:space="0" w:color="auto"/>
              <w:right w:val="nil"/>
            </w:tcBorders>
            <w:shd w:val="clear" w:color="auto" w:fill="0C2577"/>
            <w:vAlign w:val="center"/>
            <w:hideMark/>
          </w:tcPr>
          <w:p w14:paraId="27CB2FE2" w14:textId="77777777" w:rsidR="006A6AE3" w:rsidRPr="006A6AE3" w:rsidRDefault="006A6AE3" w:rsidP="00EB7A51">
            <w:pPr>
              <w:keepNext/>
              <w:rPr>
                <w:rFonts w:ascii="Arial" w:hAnsi="Arial" w:cs="Arial"/>
                <w:b/>
                <w:bCs/>
                <w:color w:val="FFFFFF"/>
                <w:sz w:val="20"/>
                <w:szCs w:val="20"/>
              </w:rPr>
            </w:pPr>
          </w:p>
        </w:tc>
        <w:tc>
          <w:tcPr>
            <w:tcW w:w="2001" w:type="dxa"/>
            <w:vMerge/>
            <w:tcBorders>
              <w:top w:val="single" w:sz="4" w:space="0" w:color="auto"/>
              <w:left w:val="single" w:sz="4" w:space="0" w:color="FFFFFF"/>
              <w:bottom w:val="single" w:sz="4" w:space="0" w:color="auto"/>
              <w:right w:val="single" w:sz="4" w:space="0" w:color="FFFFFF"/>
            </w:tcBorders>
            <w:shd w:val="clear" w:color="auto" w:fill="0C2577"/>
            <w:vAlign w:val="center"/>
            <w:hideMark/>
          </w:tcPr>
          <w:p w14:paraId="38F8B9DC" w14:textId="77777777" w:rsidR="006A6AE3" w:rsidRPr="006A6AE3" w:rsidRDefault="006A6AE3" w:rsidP="00EB7A51">
            <w:pPr>
              <w:keepNext/>
              <w:rPr>
                <w:rFonts w:ascii="Arial" w:hAnsi="Arial" w:cs="Arial"/>
                <w:b/>
                <w:bCs/>
                <w:color w:val="FFFFFF"/>
                <w:sz w:val="20"/>
                <w:szCs w:val="20"/>
              </w:rPr>
            </w:pPr>
          </w:p>
        </w:tc>
        <w:tc>
          <w:tcPr>
            <w:tcW w:w="2144" w:type="dxa"/>
            <w:vMerge/>
            <w:tcBorders>
              <w:top w:val="single" w:sz="4" w:space="0" w:color="auto"/>
              <w:left w:val="nil"/>
              <w:bottom w:val="single" w:sz="4" w:space="0" w:color="auto"/>
              <w:right w:val="single" w:sz="4" w:space="0" w:color="auto"/>
            </w:tcBorders>
            <w:shd w:val="clear" w:color="auto" w:fill="0C2577"/>
            <w:vAlign w:val="center"/>
            <w:hideMark/>
          </w:tcPr>
          <w:p w14:paraId="38FEEEB6" w14:textId="77777777" w:rsidR="006A6AE3" w:rsidRPr="006A6AE3" w:rsidRDefault="006A6AE3" w:rsidP="00EB7A51">
            <w:pPr>
              <w:keepNext/>
              <w:rPr>
                <w:rFonts w:ascii="Arial" w:hAnsi="Arial" w:cs="Arial"/>
                <w:b/>
                <w:bCs/>
                <w:color w:val="FFFFFF"/>
                <w:sz w:val="20"/>
                <w:szCs w:val="20"/>
              </w:rPr>
            </w:pPr>
          </w:p>
        </w:tc>
      </w:tr>
      <w:tr w:rsidR="006A6AE3" w:rsidRPr="006A6AE3" w14:paraId="72C999BF" w14:textId="77777777" w:rsidTr="00690888">
        <w:trPr>
          <w:trHeight w:val="242"/>
          <w:jc w:val="center"/>
        </w:trPr>
        <w:tc>
          <w:tcPr>
            <w:tcW w:w="1196" w:type="dxa"/>
            <w:vMerge w:val="restart"/>
            <w:tcBorders>
              <w:top w:val="nil"/>
              <w:left w:val="single" w:sz="4" w:space="0" w:color="auto"/>
              <w:bottom w:val="single" w:sz="4" w:space="0" w:color="auto"/>
              <w:right w:val="nil"/>
            </w:tcBorders>
            <w:shd w:val="clear" w:color="auto" w:fill="auto"/>
            <w:vAlign w:val="center"/>
            <w:hideMark/>
          </w:tcPr>
          <w:p w14:paraId="72410C13" w14:textId="77777777" w:rsidR="006A6AE3" w:rsidRPr="006A6AE3" w:rsidRDefault="006A6AE3" w:rsidP="00EB7A51">
            <w:pPr>
              <w:keepNext/>
              <w:rPr>
                <w:rFonts w:ascii="Arial" w:hAnsi="Arial" w:cs="Arial"/>
                <w:b/>
                <w:bCs/>
                <w:color w:val="000000"/>
                <w:sz w:val="20"/>
                <w:szCs w:val="20"/>
              </w:rPr>
            </w:pPr>
            <w:r w:rsidRPr="006A6AE3">
              <w:rPr>
                <w:rFonts w:ascii="Arial" w:hAnsi="Arial" w:cs="Arial"/>
                <w:b/>
                <w:bCs/>
                <w:color w:val="000000"/>
                <w:sz w:val="20"/>
                <w:szCs w:val="20"/>
              </w:rPr>
              <w:t>Total</w:t>
            </w:r>
          </w:p>
        </w:tc>
        <w:tc>
          <w:tcPr>
            <w:tcW w:w="2219" w:type="dxa"/>
            <w:tcBorders>
              <w:top w:val="nil"/>
              <w:left w:val="single" w:sz="4" w:space="0" w:color="auto"/>
              <w:bottom w:val="nil"/>
              <w:right w:val="single" w:sz="4" w:space="0" w:color="auto"/>
            </w:tcBorders>
            <w:shd w:val="clear" w:color="000000" w:fill="FFFFFF"/>
            <w:vAlign w:val="center"/>
            <w:hideMark/>
          </w:tcPr>
          <w:p w14:paraId="44792452" w14:textId="465C348C" w:rsidR="006A6AE3" w:rsidRPr="006A6AE3" w:rsidRDefault="006A6AE3" w:rsidP="00EB7A51">
            <w:pPr>
              <w:keepNext/>
              <w:rPr>
                <w:rFonts w:ascii="Arial" w:hAnsi="Arial" w:cs="Arial"/>
                <w:color w:val="000000"/>
                <w:sz w:val="20"/>
                <w:szCs w:val="20"/>
              </w:rPr>
            </w:pPr>
            <w:r w:rsidRPr="006A6AE3">
              <w:rPr>
                <w:rFonts w:ascii="Arial" w:hAnsi="Arial" w:cs="Arial"/>
                <w:color w:val="000000"/>
                <w:sz w:val="20"/>
                <w:szCs w:val="20"/>
              </w:rPr>
              <w:t xml:space="preserve"># </w:t>
            </w:r>
            <w:r w:rsidR="00DF5A48">
              <w:rPr>
                <w:rFonts w:ascii="Arial" w:hAnsi="Arial" w:cs="Arial"/>
                <w:b/>
                <w:bCs/>
                <w:color w:val="000000"/>
                <w:sz w:val="20"/>
                <w:szCs w:val="20"/>
              </w:rPr>
              <w:t>C</w:t>
            </w:r>
            <w:r w:rsidR="00DF5A48">
              <w:rPr>
                <w:rFonts w:ascii="Arial" w:hAnsi="Arial" w:cs="Arial"/>
                <w:color w:val="000000"/>
                <w:sz w:val="20"/>
                <w:szCs w:val="20"/>
              </w:rPr>
              <w:t>ustomers</w:t>
            </w:r>
          </w:p>
        </w:tc>
        <w:tc>
          <w:tcPr>
            <w:tcW w:w="2001" w:type="dxa"/>
            <w:tcBorders>
              <w:top w:val="nil"/>
              <w:left w:val="nil"/>
              <w:bottom w:val="nil"/>
              <w:right w:val="single" w:sz="4" w:space="0" w:color="auto"/>
            </w:tcBorders>
            <w:shd w:val="clear" w:color="000000" w:fill="FFFFFF"/>
            <w:vAlign w:val="center"/>
            <w:hideMark/>
          </w:tcPr>
          <w:p w14:paraId="76733B85" w14:textId="77777777" w:rsidR="006A6AE3" w:rsidRPr="006A6AE3" w:rsidRDefault="006A6AE3" w:rsidP="00EB7A51">
            <w:pPr>
              <w:keepNext/>
              <w:jc w:val="center"/>
              <w:rPr>
                <w:rFonts w:ascii="Arial" w:hAnsi="Arial" w:cs="Arial"/>
                <w:color w:val="000000"/>
                <w:sz w:val="20"/>
                <w:szCs w:val="20"/>
              </w:rPr>
            </w:pPr>
            <w:r w:rsidRPr="006A6AE3">
              <w:rPr>
                <w:rFonts w:ascii="Arial" w:hAnsi="Arial" w:cs="Arial"/>
                <w:color w:val="000000"/>
                <w:sz w:val="20"/>
                <w:szCs w:val="20"/>
              </w:rPr>
              <w:t>619</w:t>
            </w:r>
          </w:p>
        </w:tc>
        <w:tc>
          <w:tcPr>
            <w:tcW w:w="2144" w:type="dxa"/>
            <w:tcBorders>
              <w:top w:val="single" w:sz="4" w:space="0" w:color="auto"/>
              <w:left w:val="nil"/>
              <w:bottom w:val="nil"/>
              <w:right w:val="single" w:sz="4" w:space="0" w:color="auto"/>
            </w:tcBorders>
            <w:shd w:val="clear" w:color="000000" w:fill="FFFFFF"/>
            <w:vAlign w:val="center"/>
            <w:hideMark/>
          </w:tcPr>
          <w:p w14:paraId="3DBF6670" w14:textId="77777777" w:rsidR="006A6AE3" w:rsidRPr="006A6AE3" w:rsidRDefault="006A6AE3" w:rsidP="00EB7A51">
            <w:pPr>
              <w:keepNext/>
              <w:jc w:val="center"/>
              <w:rPr>
                <w:rFonts w:ascii="Arial" w:hAnsi="Arial" w:cs="Arial"/>
                <w:color w:val="000000"/>
                <w:sz w:val="20"/>
                <w:szCs w:val="20"/>
              </w:rPr>
            </w:pPr>
            <w:r w:rsidRPr="006A6AE3">
              <w:rPr>
                <w:rFonts w:ascii="Arial" w:hAnsi="Arial" w:cs="Arial"/>
                <w:color w:val="000000"/>
                <w:sz w:val="20"/>
                <w:szCs w:val="20"/>
              </w:rPr>
              <w:t>560</w:t>
            </w:r>
          </w:p>
        </w:tc>
      </w:tr>
      <w:tr w:rsidR="006A6AE3" w:rsidRPr="006A6AE3" w14:paraId="0FA2B2D6" w14:textId="77777777" w:rsidTr="00690888">
        <w:trPr>
          <w:trHeight w:val="242"/>
          <w:jc w:val="center"/>
        </w:trPr>
        <w:tc>
          <w:tcPr>
            <w:tcW w:w="1196" w:type="dxa"/>
            <w:vMerge/>
            <w:tcBorders>
              <w:top w:val="nil"/>
              <w:left w:val="single" w:sz="4" w:space="0" w:color="auto"/>
              <w:bottom w:val="single" w:sz="4" w:space="0" w:color="auto"/>
              <w:right w:val="nil"/>
            </w:tcBorders>
            <w:vAlign w:val="center"/>
            <w:hideMark/>
          </w:tcPr>
          <w:p w14:paraId="3B1C2408" w14:textId="77777777" w:rsidR="006A6AE3" w:rsidRPr="006A6AE3" w:rsidRDefault="006A6AE3" w:rsidP="00EB7A51">
            <w:pPr>
              <w:keepNext/>
              <w:rPr>
                <w:rFonts w:ascii="Arial" w:hAnsi="Arial" w:cs="Arial"/>
                <w:b/>
                <w:bCs/>
                <w:color w:val="000000"/>
                <w:sz w:val="20"/>
                <w:szCs w:val="20"/>
              </w:rPr>
            </w:pPr>
          </w:p>
        </w:tc>
        <w:tc>
          <w:tcPr>
            <w:tcW w:w="2219" w:type="dxa"/>
            <w:tcBorders>
              <w:top w:val="nil"/>
              <w:left w:val="single" w:sz="4" w:space="0" w:color="auto"/>
              <w:bottom w:val="nil"/>
              <w:right w:val="single" w:sz="4" w:space="0" w:color="auto"/>
            </w:tcBorders>
            <w:shd w:val="clear" w:color="000000" w:fill="FFFFFF"/>
            <w:vAlign w:val="center"/>
            <w:hideMark/>
          </w:tcPr>
          <w:p w14:paraId="419F1342" w14:textId="5899E0C2" w:rsidR="006A6AE3" w:rsidRPr="006A6AE3" w:rsidRDefault="006A6AE3" w:rsidP="00EB7A51">
            <w:pPr>
              <w:keepNext/>
              <w:rPr>
                <w:rFonts w:ascii="Arial" w:hAnsi="Arial" w:cs="Arial"/>
                <w:color w:val="000000"/>
                <w:sz w:val="20"/>
                <w:szCs w:val="20"/>
              </w:rPr>
            </w:pPr>
            <w:r w:rsidRPr="006A6AE3">
              <w:rPr>
                <w:rFonts w:ascii="Arial" w:hAnsi="Arial" w:cs="Arial"/>
                <w:color w:val="000000"/>
                <w:sz w:val="20"/>
                <w:szCs w:val="20"/>
              </w:rPr>
              <w:t>Reference (MW</w:t>
            </w:r>
            <w:r w:rsidR="00690888">
              <w:rPr>
                <w:rFonts w:ascii="Arial" w:hAnsi="Arial" w:cs="Arial"/>
                <w:color w:val="000000"/>
                <w:sz w:val="20"/>
                <w:szCs w:val="20"/>
              </w:rPr>
              <w:t>h/h</w:t>
            </w:r>
            <w:r w:rsidRPr="006A6AE3">
              <w:rPr>
                <w:rFonts w:ascii="Arial" w:hAnsi="Arial" w:cs="Arial"/>
                <w:color w:val="000000"/>
                <w:sz w:val="20"/>
                <w:szCs w:val="20"/>
              </w:rPr>
              <w:t>)</w:t>
            </w:r>
          </w:p>
        </w:tc>
        <w:tc>
          <w:tcPr>
            <w:tcW w:w="2001" w:type="dxa"/>
            <w:tcBorders>
              <w:top w:val="nil"/>
              <w:left w:val="nil"/>
              <w:bottom w:val="nil"/>
              <w:right w:val="single" w:sz="4" w:space="0" w:color="auto"/>
            </w:tcBorders>
            <w:shd w:val="clear" w:color="000000" w:fill="FFFFFF"/>
            <w:vAlign w:val="center"/>
            <w:hideMark/>
          </w:tcPr>
          <w:p w14:paraId="0EB2A857" w14:textId="77777777" w:rsidR="006A6AE3" w:rsidRPr="006A6AE3" w:rsidRDefault="006A6AE3" w:rsidP="00EB7A51">
            <w:pPr>
              <w:keepNext/>
              <w:jc w:val="center"/>
              <w:rPr>
                <w:rFonts w:ascii="Arial" w:hAnsi="Arial" w:cs="Arial"/>
                <w:color w:val="000000"/>
                <w:sz w:val="20"/>
                <w:szCs w:val="20"/>
              </w:rPr>
            </w:pPr>
            <w:r w:rsidRPr="006A6AE3">
              <w:rPr>
                <w:rFonts w:ascii="Arial" w:hAnsi="Arial" w:cs="Arial"/>
                <w:color w:val="000000"/>
                <w:sz w:val="20"/>
                <w:szCs w:val="20"/>
              </w:rPr>
              <w:t>838.2</w:t>
            </w:r>
          </w:p>
        </w:tc>
        <w:tc>
          <w:tcPr>
            <w:tcW w:w="2144" w:type="dxa"/>
            <w:tcBorders>
              <w:top w:val="nil"/>
              <w:left w:val="nil"/>
              <w:bottom w:val="nil"/>
              <w:right w:val="single" w:sz="4" w:space="0" w:color="auto"/>
            </w:tcBorders>
            <w:shd w:val="clear" w:color="000000" w:fill="FFFFFF"/>
            <w:vAlign w:val="center"/>
            <w:hideMark/>
          </w:tcPr>
          <w:p w14:paraId="76F0D184" w14:textId="77777777" w:rsidR="006A6AE3" w:rsidRPr="006A6AE3" w:rsidRDefault="006A6AE3" w:rsidP="00EB7A51">
            <w:pPr>
              <w:keepNext/>
              <w:jc w:val="center"/>
              <w:rPr>
                <w:rFonts w:ascii="Arial" w:hAnsi="Arial" w:cs="Arial"/>
                <w:color w:val="000000"/>
                <w:sz w:val="20"/>
                <w:szCs w:val="20"/>
              </w:rPr>
            </w:pPr>
            <w:r w:rsidRPr="006A6AE3">
              <w:rPr>
                <w:rFonts w:ascii="Arial" w:hAnsi="Arial" w:cs="Arial"/>
                <w:color w:val="000000"/>
                <w:sz w:val="20"/>
                <w:szCs w:val="20"/>
              </w:rPr>
              <w:t>809.1</w:t>
            </w:r>
          </w:p>
        </w:tc>
      </w:tr>
      <w:tr w:rsidR="006A6AE3" w:rsidRPr="006A6AE3" w14:paraId="3561C4B8" w14:textId="77777777" w:rsidTr="00690888">
        <w:trPr>
          <w:trHeight w:val="242"/>
          <w:jc w:val="center"/>
        </w:trPr>
        <w:tc>
          <w:tcPr>
            <w:tcW w:w="1196" w:type="dxa"/>
            <w:vMerge/>
            <w:tcBorders>
              <w:top w:val="nil"/>
              <w:left w:val="single" w:sz="4" w:space="0" w:color="auto"/>
              <w:bottom w:val="single" w:sz="4" w:space="0" w:color="auto"/>
              <w:right w:val="nil"/>
            </w:tcBorders>
            <w:vAlign w:val="center"/>
            <w:hideMark/>
          </w:tcPr>
          <w:p w14:paraId="6FB37536" w14:textId="77777777" w:rsidR="006A6AE3" w:rsidRPr="006A6AE3" w:rsidRDefault="006A6AE3" w:rsidP="00EB7A51">
            <w:pPr>
              <w:keepNext/>
              <w:rPr>
                <w:rFonts w:ascii="Arial" w:hAnsi="Arial" w:cs="Arial"/>
                <w:b/>
                <w:bCs/>
                <w:color w:val="000000"/>
                <w:sz w:val="20"/>
                <w:szCs w:val="20"/>
              </w:rPr>
            </w:pPr>
          </w:p>
        </w:tc>
        <w:tc>
          <w:tcPr>
            <w:tcW w:w="2219" w:type="dxa"/>
            <w:tcBorders>
              <w:top w:val="nil"/>
              <w:left w:val="single" w:sz="4" w:space="0" w:color="auto"/>
              <w:bottom w:val="nil"/>
              <w:right w:val="single" w:sz="4" w:space="0" w:color="auto"/>
            </w:tcBorders>
            <w:shd w:val="clear" w:color="000000" w:fill="FFFFFF"/>
            <w:vAlign w:val="center"/>
            <w:hideMark/>
          </w:tcPr>
          <w:p w14:paraId="52A47EAB" w14:textId="047701FD" w:rsidR="006A6AE3" w:rsidRPr="006A6AE3" w:rsidRDefault="006A6AE3" w:rsidP="00EB7A51">
            <w:pPr>
              <w:keepNext/>
              <w:rPr>
                <w:rFonts w:ascii="Arial" w:hAnsi="Arial" w:cs="Arial"/>
                <w:color w:val="000000"/>
                <w:sz w:val="20"/>
                <w:szCs w:val="20"/>
              </w:rPr>
            </w:pPr>
            <w:r w:rsidRPr="006A6AE3">
              <w:rPr>
                <w:rFonts w:ascii="Arial" w:hAnsi="Arial" w:cs="Arial"/>
                <w:color w:val="000000"/>
                <w:sz w:val="20"/>
                <w:szCs w:val="20"/>
              </w:rPr>
              <w:t>Load Impact (MW</w:t>
            </w:r>
            <w:r w:rsidR="00690888">
              <w:rPr>
                <w:rFonts w:ascii="Arial" w:hAnsi="Arial" w:cs="Arial"/>
                <w:color w:val="000000"/>
                <w:sz w:val="20"/>
                <w:szCs w:val="20"/>
              </w:rPr>
              <w:t>h/h</w:t>
            </w:r>
            <w:r w:rsidRPr="006A6AE3">
              <w:rPr>
                <w:rFonts w:ascii="Arial" w:hAnsi="Arial" w:cs="Arial"/>
                <w:color w:val="000000"/>
                <w:sz w:val="20"/>
                <w:szCs w:val="20"/>
              </w:rPr>
              <w:t>)</w:t>
            </w:r>
          </w:p>
        </w:tc>
        <w:tc>
          <w:tcPr>
            <w:tcW w:w="2001" w:type="dxa"/>
            <w:tcBorders>
              <w:top w:val="nil"/>
              <w:left w:val="nil"/>
              <w:bottom w:val="nil"/>
              <w:right w:val="single" w:sz="4" w:space="0" w:color="auto"/>
            </w:tcBorders>
            <w:shd w:val="clear" w:color="000000" w:fill="FFFFFF"/>
            <w:vAlign w:val="center"/>
            <w:hideMark/>
          </w:tcPr>
          <w:p w14:paraId="0B9C4F40" w14:textId="77777777" w:rsidR="006A6AE3" w:rsidRPr="006A6AE3" w:rsidRDefault="006A6AE3" w:rsidP="00EB7A51">
            <w:pPr>
              <w:keepNext/>
              <w:jc w:val="center"/>
              <w:rPr>
                <w:rFonts w:ascii="Arial" w:hAnsi="Arial" w:cs="Arial"/>
                <w:color w:val="000000"/>
                <w:sz w:val="20"/>
                <w:szCs w:val="20"/>
              </w:rPr>
            </w:pPr>
            <w:r w:rsidRPr="006A6AE3">
              <w:rPr>
                <w:rFonts w:ascii="Arial" w:hAnsi="Arial" w:cs="Arial"/>
                <w:color w:val="000000"/>
                <w:sz w:val="20"/>
                <w:szCs w:val="20"/>
              </w:rPr>
              <w:t>658.1</w:t>
            </w:r>
          </w:p>
        </w:tc>
        <w:tc>
          <w:tcPr>
            <w:tcW w:w="2144" w:type="dxa"/>
            <w:tcBorders>
              <w:top w:val="nil"/>
              <w:left w:val="nil"/>
              <w:bottom w:val="nil"/>
              <w:right w:val="single" w:sz="4" w:space="0" w:color="auto"/>
            </w:tcBorders>
            <w:shd w:val="clear" w:color="000000" w:fill="FFFFFF"/>
            <w:vAlign w:val="center"/>
            <w:hideMark/>
          </w:tcPr>
          <w:p w14:paraId="0698F7A9" w14:textId="77777777" w:rsidR="006A6AE3" w:rsidRPr="006A6AE3" w:rsidRDefault="006A6AE3" w:rsidP="00EB7A51">
            <w:pPr>
              <w:keepNext/>
              <w:jc w:val="center"/>
              <w:rPr>
                <w:rFonts w:ascii="Arial" w:hAnsi="Arial" w:cs="Arial"/>
                <w:color w:val="000000"/>
                <w:sz w:val="20"/>
                <w:szCs w:val="20"/>
              </w:rPr>
            </w:pPr>
            <w:r w:rsidRPr="006A6AE3">
              <w:rPr>
                <w:rFonts w:ascii="Arial" w:hAnsi="Arial" w:cs="Arial"/>
                <w:color w:val="000000"/>
                <w:sz w:val="20"/>
                <w:szCs w:val="20"/>
              </w:rPr>
              <w:t>619.0</w:t>
            </w:r>
          </w:p>
        </w:tc>
      </w:tr>
      <w:tr w:rsidR="006A6AE3" w:rsidRPr="006A6AE3" w14:paraId="3A6E9B32" w14:textId="77777777" w:rsidTr="00690888">
        <w:trPr>
          <w:trHeight w:val="242"/>
          <w:jc w:val="center"/>
        </w:trPr>
        <w:tc>
          <w:tcPr>
            <w:tcW w:w="1196" w:type="dxa"/>
            <w:vMerge/>
            <w:tcBorders>
              <w:top w:val="nil"/>
              <w:left w:val="single" w:sz="4" w:space="0" w:color="auto"/>
              <w:bottom w:val="single" w:sz="4" w:space="0" w:color="auto"/>
              <w:right w:val="nil"/>
            </w:tcBorders>
            <w:vAlign w:val="center"/>
            <w:hideMark/>
          </w:tcPr>
          <w:p w14:paraId="02C494C6" w14:textId="77777777" w:rsidR="006A6AE3" w:rsidRPr="006A6AE3" w:rsidRDefault="006A6AE3" w:rsidP="00EB7A51">
            <w:pPr>
              <w:keepNext/>
              <w:rPr>
                <w:rFonts w:ascii="Arial" w:hAnsi="Arial" w:cs="Arial"/>
                <w:b/>
                <w:bCs/>
                <w:color w:val="000000"/>
                <w:sz w:val="20"/>
                <w:szCs w:val="20"/>
              </w:rPr>
            </w:pPr>
          </w:p>
        </w:tc>
        <w:tc>
          <w:tcPr>
            <w:tcW w:w="2219" w:type="dxa"/>
            <w:tcBorders>
              <w:top w:val="nil"/>
              <w:left w:val="single" w:sz="4" w:space="0" w:color="auto"/>
              <w:bottom w:val="single" w:sz="4" w:space="0" w:color="auto"/>
              <w:right w:val="single" w:sz="4" w:space="0" w:color="auto"/>
            </w:tcBorders>
            <w:shd w:val="clear" w:color="000000" w:fill="FFFFFF"/>
            <w:vAlign w:val="center"/>
            <w:hideMark/>
          </w:tcPr>
          <w:p w14:paraId="4A8C1FCF" w14:textId="7956AC99" w:rsidR="006A6AE3" w:rsidRPr="006A6AE3" w:rsidRDefault="006A6AE3" w:rsidP="00EB7A51">
            <w:pPr>
              <w:keepNext/>
              <w:rPr>
                <w:rFonts w:ascii="Arial" w:hAnsi="Arial" w:cs="Arial"/>
                <w:color w:val="000000"/>
                <w:sz w:val="20"/>
                <w:szCs w:val="20"/>
              </w:rPr>
            </w:pPr>
            <w:r w:rsidRPr="006A6AE3">
              <w:rPr>
                <w:rFonts w:ascii="Arial" w:hAnsi="Arial" w:cs="Arial"/>
                <w:color w:val="000000"/>
                <w:sz w:val="20"/>
                <w:szCs w:val="20"/>
              </w:rPr>
              <w:t>FSL (MW</w:t>
            </w:r>
            <w:r w:rsidR="00690888">
              <w:rPr>
                <w:rFonts w:ascii="Arial" w:hAnsi="Arial" w:cs="Arial"/>
                <w:color w:val="000000"/>
                <w:sz w:val="20"/>
                <w:szCs w:val="20"/>
              </w:rPr>
              <w:t>h/h</w:t>
            </w:r>
            <w:r w:rsidRPr="006A6AE3">
              <w:rPr>
                <w:rFonts w:ascii="Arial" w:hAnsi="Arial" w:cs="Arial"/>
                <w:color w:val="000000"/>
                <w:sz w:val="20"/>
                <w:szCs w:val="20"/>
              </w:rPr>
              <w:t>)</w:t>
            </w:r>
          </w:p>
        </w:tc>
        <w:tc>
          <w:tcPr>
            <w:tcW w:w="2001" w:type="dxa"/>
            <w:tcBorders>
              <w:top w:val="nil"/>
              <w:left w:val="nil"/>
              <w:bottom w:val="single" w:sz="4" w:space="0" w:color="auto"/>
              <w:right w:val="single" w:sz="4" w:space="0" w:color="auto"/>
            </w:tcBorders>
            <w:shd w:val="clear" w:color="000000" w:fill="FFFFFF"/>
            <w:vAlign w:val="center"/>
            <w:hideMark/>
          </w:tcPr>
          <w:p w14:paraId="7CAD24A9" w14:textId="77777777" w:rsidR="006A6AE3" w:rsidRPr="006A6AE3" w:rsidRDefault="006A6AE3" w:rsidP="00EB7A51">
            <w:pPr>
              <w:keepNext/>
              <w:jc w:val="center"/>
              <w:rPr>
                <w:rFonts w:ascii="Arial" w:hAnsi="Arial" w:cs="Arial"/>
                <w:color w:val="000000"/>
                <w:sz w:val="20"/>
                <w:szCs w:val="20"/>
              </w:rPr>
            </w:pPr>
            <w:r w:rsidRPr="006A6AE3">
              <w:rPr>
                <w:rFonts w:ascii="Arial" w:hAnsi="Arial" w:cs="Arial"/>
                <w:color w:val="000000"/>
                <w:sz w:val="20"/>
                <w:szCs w:val="20"/>
              </w:rPr>
              <w:t>104.1</w:t>
            </w:r>
          </w:p>
        </w:tc>
        <w:tc>
          <w:tcPr>
            <w:tcW w:w="2144" w:type="dxa"/>
            <w:tcBorders>
              <w:top w:val="nil"/>
              <w:left w:val="nil"/>
              <w:bottom w:val="single" w:sz="4" w:space="0" w:color="auto"/>
              <w:right w:val="single" w:sz="4" w:space="0" w:color="auto"/>
            </w:tcBorders>
            <w:shd w:val="clear" w:color="000000" w:fill="FFFFFF"/>
            <w:vAlign w:val="center"/>
            <w:hideMark/>
          </w:tcPr>
          <w:p w14:paraId="19645DC9" w14:textId="77777777" w:rsidR="006A6AE3" w:rsidRPr="006A6AE3" w:rsidRDefault="006A6AE3" w:rsidP="00EB7A51">
            <w:pPr>
              <w:keepNext/>
              <w:jc w:val="center"/>
              <w:rPr>
                <w:rFonts w:ascii="Arial" w:hAnsi="Arial" w:cs="Arial"/>
                <w:color w:val="000000"/>
                <w:sz w:val="20"/>
                <w:szCs w:val="20"/>
              </w:rPr>
            </w:pPr>
            <w:r w:rsidRPr="006A6AE3">
              <w:rPr>
                <w:rFonts w:ascii="Arial" w:hAnsi="Arial" w:cs="Arial"/>
                <w:color w:val="000000"/>
                <w:sz w:val="20"/>
                <w:szCs w:val="20"/>
              </w:rPr>
              <w:t>106.4</w:t>
            </w:r>
          </w:p>
        </w:tc>
      </w:tr>
      <w:tr w:rsidR="006A6AE3" w:rsidRPr="006A6AE3" w14:paraId="7DAC2206" w14:textId="77777777" w:rsidTr="00690888">
        <w:trPr>
          <w:trHeight w:val="242"/>
          <w:jc w:val="center"/>
        </w:trPr>
        <w:tc>
          <w:tcPr>
            <w:tcW w:w="1196" w:type="dxa"/>
            <w:vMerge w:val="restart"/>
            <w:tcBorders>
              <w:top w:val="nil"/>
              <w:left w:val="single" w:sz="4" w:space="0" w:color="auto"/>
              <w:bottom w:val="single" w:sz="4" w:space="0" w:color="auto"/>
              <w:right w:val="nil"/>
            </w:tcBorders>
            <w:shd w:val="clear" w:color="auto" w:fill="auto"/>
            <w:vAlign w:val="center"/>
            <w:hideMark/>
          </w:tcPr>
          <w:p w14:paraId="4044A953" w14:textId="25180D76" w:rsidR="006A6AE3" w:rsidRPr="006A6AE3" w:rsidRDefault="006A6AE3" w:rsidP="00EB7A51">
            <w:pPr>
              <w:keepNext/>
              <w:rPr>
                <w:rFonts w:ascii="Arial" w:hAnsi="Arial" w:cs="Arial"/>
                <w:b/>
                <w:bCs/>
                <w:color w:val="000000"/>
                <w:sz w:val="20"/>
                <w:szCs w:val="20"/>
              </w:rPr>
            </w:pPr>
            <w:r w:rsidRPr="006A6AE3">
              <w:rPr>
                <w:rFonts w:ascii="Arial" w:hAnsi="Arial" w:cs="Arial"/>
                <w:b/>
                <w:bCs/>
                <w:color w:val="000000"/>
                <w:sz w:val="20"/>
                <w:szCs w:val="20"/>
              </w:rPr>
              <w:t xml:space="preserve">Per </w:t>
            </w:r>
            <w:r w:rsidR="00DF5A48">
              <w:rPr>
                <w:rFonts w:ascii="Arial" w:hAnsi="Arial" w:cs="Arial"/>
                <w:b/>
                <w:bCs/>
                <w:color w:val="000000"/>
                <w:sz w:val="20"/>
                <w:szCs w:val="20"/>
              </w:rPr>
              <w:t>C</w:t>
            </w:r>
            <w:r w:rsidR="00DF5A48">
              <w:rPr>
                <w:rFonts w:ascii="Arial" w:hAnsi="Arial" w:cs="Arial"/>
                <w:color w:val="000000"/>
                <w:sz w:val="20"/>
                <w:szCs w:val="20"/>
              </w:rPr>
              <w:t>ustomer</w:t>
            </w:r>
          </w:p>
        </w:tc>
        <w:tc>
          <w:tcPr>
            <w:tcW w:w="2219" w:type="dxa"/>
            <w:tcBorders>
              <w:top w:val="nil"/>
              <w:left w:val="single" w:sz="4" w:space="0" w:color="auto"/>
              <w:bottom w:val="nil"/>
              <w:right w:val="single" w:sz="4" w:space="0" w:color="auto"/>
            </w:tcBorders>
            <w:shd w:val="clear" w:color="000000" w:fill="FFFFFF"/>
            <w:vAlign w:val="center"/>
            <w:hideMark/>
          </w:tcPr>
          <w:p w14:paraId="2520BF07" w14:textId="34FDBF48" w:rsidR="006A6AE3" w:rsidRPr="006A6AE3" w:rsidRDefault="006A6AE3" w:rsidP="00EB7A51">
            <w:pPr>
              <w:keepNext/>
              <w:rPr>
                <w:rFonts w:ascii="Arial" w:hAnsi="Arial" w:cs="Arial"/>
                <w:color w:val="000000"/>
                <w:sz w:val="20"/>
                <w:szCs w:val="20"/>
              </w:rPr>
            </w:pPr>
            <w:r w:rsidRPr="006A6AE3">
              <w:rPr>
                <w:rFonts w:ascii="Arial" w:hAnsi="Arial" w:cs="Arial"/>
                <w:color w:val="000000"/>
                <w:sz w:val="20"/>
                <w:szCs w:val="20"/>
              </w:rPr>
              <w:t>Reference (kW</w:t>
            </w:r>
            <w:r w:rsidR="00690888">
              <w:rPr>
                <w:rFonts w:ascii="Arial" w:hAnsi="Arial" w:cs="Arial"/>
                <w:color w:val="000000"/>
                <w:sz w:val="20"/>
                <w:szCs w:val="20"/>
              </w:rPr>
              <w:t>h/h</w:t>
            </w:r>
            <w:r w:rsidRPr="006A6AE3">
              <w:rPr>
                <w:rFonts w:ascii="Arial" w:hAnsi="Arial" w:cs="Arial"/>
                <w:color w:val="000000"/>
                <w:sz w:val="20"/>
                <w:szCs w:val="20"/>
              </w:rPr>
              <w:t>)</w:t>
            </w:r>
          </w:p>
        </w:tc>
        <w:tc>
          <w:tcPr>
            <w:tcW w:w="2001" w:type="dxa"/>
            <w:tcBorders>
              <w:top w:val="nil"/>
              <w:left w:val="nil"/>
              <w:bottom w:val="nil"/>
              <w:right w:val="single" w:sz="4" w:space="0" w:color="auto"/>
            </w:tcBorders>
            <w:shd w:val="clear" w:color="000000" w:fill="FFFFFF"/>
            <w:vAlign w:val="center"/>
            <w:hideMark/>
          </w:tcPr>
          <w:p w14:paraId="744D3C44" w14:textId="77777777" w:rsidR="006A6AE3" w:rsidRPr="006A6AE3" w:rsidRDefault="006A6AE3" w:rsidP="00EB7A51">
            <w:pPr>
              <w:keepNext/>
              <w:jc w:val="center"/>
              <w:rPr>
                <w:rFonts w:ascii="Arial" w:hAnsi="Arial" w:cs="Arial"/>
                <w:color w:val="000000"/>
                <w:sz w:val="20"/>
                <w:szCs w:val="20"/>
              </w:rPr>
            </w:pPr>
            <w:r w:rsidRPr="006A6AE3">
              <w:rPr>
                <w:rFonts w:ascii="Arial" w:hAnsi="Arial" w:cs="Arial"/>
                <w:color w:val="000000"/>
                <w:sz w:val="20"/>
                <w:szCs w:val="20"/>
              </w:rPr>
              <w:t>1,354.1</w:t>
            </w:r>
          </w:p>
        </w:tc>
        <w:tc>
          <w:tcPr>
            <w:tcW w:w="2144" w:type="dxa"/>
            <w:tcBorders>
              <w:top w:val="nil"/>
              <w:left w:val="nil"/>
              <w:bottom w:val="nil"/>
              <w:right w:val="single" w:sz="4" w:space="0" w:color="auto"/>
            </w:tcBorders>
            <w:shd w:val="clear" w:color="000000" w:fill="FFFFFF"/>
            <w:vAlign w:val="center"/>
            <w:hideMark/>
          </w:tcPr>
          <w:p w14:paraId="520DFCE8" w14:textId="77777777" w:rsidR="006A6AE3" w:rsidRPr="006A6AE3" w:rsidRDefault="006A6AE3" w:rsidP="00EB7A51">
            <w:pPr>
              <w:keepNext/>
              <w:jc w:val="center"/>
              <w:rPr>
                <w:rFonts w:ascii="Arial" w:hAnsi="Arial" w:cs="Arial"/>
                <w:color w:val="000000"/>
                <w:sz w:val="20"/>
                <w:szCs w:val="20"/>
              </w:rPr>
            </w:pPr>
            <w:r w:rsidRPr="006A6AE3">
              <w:rPr>
                <w:rFonts w:ascii="Arial" w:hAnsi="Arial" w:cs="Arial"/>
                <w:color w:val="000000"/>
                <w:sz w:val="20"/>
                <w:szCs w:val="20"/>
              </w:rPr>
              <w:t>1,445</w:t>
            </w:r>
          </w:p>
        </w:tc>
      </w:tr>
      <w:tr w:rsidR="006A6AE3" w:rsidRPr="006A6AE3" w14:paraId="20341E37" w14:textId="77777777" w:rsidTr="00690888">
        <w:trPr>
          <w:trHeight w:val="242"/>
          <w:jc w:val="center"/>
        </w:trPr>
        <w:tc>
          <w:tcPr>
            <w:tcW w:w="1196" w:type="dxa"/>
            <w:vMerge/>
            <w:tcBorders>
              <w:top w:val="nil"/>
              <w:left w:val="single" w:sz="4" w:space="0" w:color="auto"/>
              <w:bottom w:val="single" w:sz="4" w:space="0" w:color="auto"/>
              <w:right w:val="nil"/>
            </w:tcBorders>
            <w:vAlign w:val="center"/>
            <w:hideMark/>
          </w:tcPr>
          <w:p w14:paraId="4FA246E6" w14:textId="77777777" w:rsidR="006A6AE3" w:rsidRPr="006A6AE3" w:rsidRDefault="006A6AE3" w:rsidP="00EB7A51">
            <w:pPr>
              <w:keepNext/>
              <w:rPr>
                <w:rFonts w:ascii="Arial" w:hAnsi="Arial" w:cs="Arial"/>
                <w:b/>
                <w:bCs/>
                <w:color w:val="000000"/>
                <w:sz w:val="20"/>
                <w:szCs w:val="20"/>
              </w:rPr>
            </w:pPr>
          </w:p>
        </w:tc>
        <w:tc>
          <w:tcPr>
            <w:tcW w:w="2219" w:type="dxa"/>
            <w:tcBorders>
              <w:top w:val="nil"/>
              <w:left w:val="single" w:sz="4" w:space="0" w:color="auto"/>
              <w:bottom w:val="nil"/>
              <w:right w:val="single" w:sz="4" w:space="0" w:color="auto"/>
            </w:tcBorders>
            <w:shd w:val="clear" w:color="000000" w:fill="FFFFFF"/>
            <w:vAlign w:val="center"/>
            <w:hideMark/>
          </w:tcPr>
          <w:p w14:paraId="1F86D62D" w14:textId="20BFDBDB" w:rsidR="006A6AE3" w:rsidRPr="006A6AE3" w:rsidRDefault="006A6AE3" w:rsidP="00EB7A51">
            <w:pPr>
              <w:keepNext/>
              <w:rPr>
                <w:rFonts w:ascii="Arial" w:hAnsi="Arial" w:cs="Arial"/>
                <w:color w:val="000000"/>
                <w:sz w:val="20"/>
                <w:szCs w:val="20"/>
              </w:rPr>
            </w:pPr>
            <w:r w:rsidRPr="006A6AE3">
              <w:rPr>
                <w:rFonts w:ascii="Arial" w:hAnsi="Arial" w:cs="Arial"/>
                <w:color w:val="000000"/>
                <w:sz w:val="20"/>
                <w:szCs w:val="20"/>
              </w:rPr>
              <w:t>Load Impact (kW</w:t>
            </w:r>
            <w:r w:rsidR="00690888">
              <w:rPr>
                <w:rFonts w:ascii="Arial" w:hAnsi="Arial" w:cs="Arial"/>
                <w:color w:val="000000"/>
                <w:sz w:val="20"/>
                <w:szCs w:val="20"/>
              </w:rPr>
              <w:t>h/h</w:t>
            </w:r>
            <w:r w:rsidRPr="006A6AE3">
              <w:rPr>
                <w:rFonts w:ascii="Arial" w:hAnsi="Arial" w:cs="Arial"/>
                <w:color w:val="000000"/>
                <w:sz w:val="20"/>
                <w:szCs w:val="20"/>
              </w:rPr>
              <w:t>)</w:t>
            </w:r>
          </w:p>
        </w:tc>
        <w:tc>
          <w:tcPr>
            <w:tcW w:w="2001" w:type="dxa"/>
            <w:tcBorders>
              <w:top w:val="nil"/>
              <w:left w:val="nil"/>
              <w:bottom w:val="nil"/>
              <w:right w:val="single" w:sz="4" w:space="0" w:color="auto"/>
            </w:tcBorders>
            <w:shd w:val="clear" w:color="000000" w:fill="FFFFFF"/>
            <w:vAlign w:val="center"/>
            <w:hideMark/>
          </w:tcPr>
          <w:p w14:paraId="12D3300D" w14:textId="77777777" w:rsidR="006A6AE3" w:rsidRPr="006A6AE3" w:rsidRDefault="006A6AE3" w:rsidP="00EB7A51">
            <w:pPr>
              <w:keepNext/>
              <w:jc w:val="center"/>
              <w:rPr>
                <w:rFonts w:ascii="Arial" w:hAnsi="Arial" w:cs="Arial"/>
                <w:color w:val="000000"/>
                <w:sz w:val="20"/>
                <w:szCs w:val="20"/>
              </w:rPr>
            </w:pPr>
            <w:r w:rsidRPr="006A6AE3">
              <w:rPr>
                <w:rFonts w:ascii="Arial" w:hAnsi="Arial" w:cs="Arial"/>
                <w:color w:val="000000"/>
                <w:sz w:val="20"/>
                <w:szCs w:val="20"/>
              </w:rPr>
              <w:t>1,063.2</w:t>
            </w:r>
          </w:p>
        </w:tc>
        <w:tc>
          <w:tcPr>
            <w:tcW w:w="2144" w:type="dxa"/>
            <w:tcBorders>
              <w:top w:val="nil"/>
              <w:left w:val="nil"/>
              <w:bottom w:val="nil"/>
              <w:right w:val="single" w:sz="4" w:space="0" w:color="auto"/>
            </w:tcBorders>
            <w:shd w:val="clear" w:color="000000" w:fill="FFFFFF"/>
            <w:vAlign w:val="center"/>
            <w:hideMark/>
          </w:tcPr>
          <w:p w14:paraId="4AE722F0" w14:textId="77777777" w:rsidR="006A6AE3" w:rsidRPr="006A6AE3" w:rsidRDefault="006A6AE3" w:rsidP="00EB7A51">
            <w:pPr>
              <w:keepNext/>
              <w:jc w:val="center"/>
              <w:rPr>
                <w:rFonts w:ascii="Arial" w:hAnsi="Arial" w:cs="Arial"/>
                <w:color w:val="000000"/>
                <w:sz w:val="20"/>
                <w:szCs w:val="20"/>
              </w:rPr>
            </w:pPr>
            <w:r w:rsidRPr="006A6AE3">
              <w:rPr>
                <w:rFonts w:ascii="Arial" w:hAnsi="Arial" w:cs="Arial"/>
                <w:color w:val="000000"/>
                <w:sz w:val="20"/>
                <w:szCs w:val="20"/>
              </w:rPr>
              <w:t>1,105</w:t>
            </w:r>
          </w:p>
        </w:tc>
      </w:tr>
      <w:tr w:rsidR="006A6AE3" w:rsidRPr="006A6AE3" w14:paraId="26B43D7C" w14:textId="77777777" w:rsidTr="00690888">
        <w:trPr>
          <w:trHeight w:val="242"/>
          <w:jc w:val="center"/>
        </w:trPr>
        <w:tc>
          <w:tcPr>
            <w:tcW w:w="1196" w:type="dxa"/>
            <w:vMerge/>
            <w:tcBorders>
              <w:top w:val="nil"/>
              <w:left w:val="single" w:sz="4" w:space="0" w:color="auto"/>
              <w:bottom w:val="single" w:sz="4" w:space="0" w:color="auto"/>
              <w:right w:val="nil"/>
            </w:tcBorders>
            <w:vAlign w:val="center"/>
            <w:hideMark/>
          </w:tcPr>
          <w:p w14:paraId="0A77F355" w14:textId="77777777" w:rsidR="006A6AE3" w:rsidRPr="006A6AE3" w:rsidRDefault="006A6AE3" w:rsidP="00EB7A51">
            <w:pPr>
              <w:keepNext/>
              <w:rPr>
                <w:rFonts w:ascii="Arial" w:hAnsi="Arial" w:cs="Arial"/>
                <w:b/>
                <w:bCs/>
                <w:color w:val="000000"/>
                <w:sz w:val="20"/>
                <w:szCs w:val="20"/>
              </w:rPr>
            </w:pPr>
          </w:p>
        </w:tc>
        <w:tc>
          <w:tcPr>
            <w:tcW w:w="2219" w:type="dxa"/>
            <w:tcBorders>
              <w:top w:val="nil"/>
              <w:left w:val="single" w:sz="4" w:space="0" w:color="auto"/>
              <w:bottom w:val="single" w:sz="4" w:space="0" w:color="auto"/>
              <w:right w:val="single" w:sz="4" w:space="0" w:color="auto"/>
            </w:tcBorders>
            <w:shd w:val="clear" w:color="000000" w:fill="FFFFFF"/>
            <w:vAlign w:val="center"/>
            <w:hideMark/>
          </w:tcPr>
          <w:p w14:paraId="36BEC511" w14:textId="77777777" w:rsidR="006A6AE3" w:rsidRPr="006A6AE3" w:rsidRDefault="006A6AE3" w:rsidP="00EB7A51">
            <w:pPr>
              <w:keepNext/>
              <w:rPr>
                <w:rFonts w:ascii="Arial" w:hAnsi="Arial" w:cs="Arial"/>
                <w:color w:val="000000"/>
                <w:sz w:val="20"/>
                <w:szCs w:val="20"/>
              </w:rPr>
            </w:pPr>
            <w:r w:rsidRPr="006A6AE3">
              <w:rPr>
                <w:rFonts w:ascii="Arial" w:hAnsi="Arial" w:cs="Arial"/>
                <w:color w:val="000000"/>
                <w:sz w:val="20"/>
                <w:szCs w:val="20"/>
              </w:rPr>
              <w:t>% Load Impact</w:t>
            </w:r>
          </w:p>
        </w:tc>
        <w:tc>
          <w:tcPr>
            <w:tcW w:w="2001" w:type="dxa"/>
            <w:tcBorders>
              <w:top w:val="nil"/>
              <w:left w:val="nil"/>
              <w:bottom w:val="single" w:sz="4" w:space="0" w:color="auto"/>
              <w:right w:val="single" w:sz="4" w:space="0" w:color="auto"/>
            </w:tcBorders>
            <w:shd w:val="clear" w:color="000000" w:fill="FFFFFF"/>
            <w:vAlign w:val="center"/>
            <w:hideMark/>
          </w:tcPr>
          <w:p w14:paraId="4F9AF810" w14:textId="6303634C" w:rsidR="006A6AE3" w:rsidRPr="006A6AE3" w:rsidRDefault="006A6AE3" w:rsidP="00EB7A51">
            <w:pPr>
              <w:keepNext/>
              <w:jc w:val="center"/>
              <w:rPr>
                <w:rFonts w:ascii="Arial" w:hAnsi="Arial" w:cs="Arial"/>
                <w:color w:val="000000"/>
                <w:sz w:val="20"/>
                <w:szCs w:val="20"/>
              </w:rPr>
            </w:pPr>
            <w:r w:rsidRPr="006A6AE3">
              <w:rPr>
                <w:rFonts w:ascii="Arial" w:hAnsi="Arial" w:cs="Arial"/>
                <w:color w:val="000000"/>
                <w:sz w:val="20"/>
                <w:szCs w:val="20"/>
              </w:rPr>
              <w:t>78.5%</w:t>
            </w:r>
          </w:p>
        </w:tc>
        <w:tc>
          <w:tcPr>
            <w:tcW w:w="2144" w:type="dxa"/>
            <w:tcBorders>
              <w:top w:val="nil"/>
              <w:left w:val="nil"/>
              <w:bottom w:val="single" w:sz="4" w:space="0" w:color="auto"/>
              <w:right w:val="single" w:sz="4" w:space="0" w:color="auto"/>
            </w:tcBorders>
            <w:shd w:val="clear" w:color="000000" w:fill="FFFFFF"/>
            <w:vAlign w:val="center"/>
            <w:hideMark/>
          </w:tcPr>
          <w:p w14:paraId="072B6451" w14:textId="54B80526" w:rsidR="006A6AE3" w:rsidRPr="006A6AE3" w:rsidRDefault="006A6AE3" w:rsidP="00EB7A51">
            <w:pPr>
              <w:keepNext/>
              <w:jc w:val="center"/>
              <w:rPr>
                <w:rFonts w:ascii="Arial" w:hAnsi="Arial" w:cs="Arial"/>
                <w:color w:val="000000"/>
                <w:sz w:val="20"/>
                <w:szCs w:val="20"/>
              </w:rPr>
            </w:pPr>
            <w:r w:rsidRPr="006A6AE3">
              <w:rPr>
                <w:rFonts w:ascii="Arial" w:hAnsi="Arial" w:cs="Arial"/>
                <w:color w:val="000000"/>
                <w:sz w:val="20"/>
                <w:szCs w:val="20"/>
              </w:rPr>
              <w:t>76.5%</w:t>
            </w:r>
          </w:p>
        </w:tc>
      </w:tr>
    </w:tbl>
    <w:p w14:paraId="0B9D933A" w14:textId="77777777" w:rsidR="006A6AE3" w:rsidRDefault="006A6AE3" w:rsidP="006A6AE3">
      <w:pPr>
        <w:pStyle w:val="TableCaption"/>
        <w:keepNext/>
        <w:keepLines/>
      </w:pPr>
    </w:p>
    <w:p w14:paraId="51C00E02" w14:textId="327CFEFD" w:rsidR="00DA4753" w:rsidRDefault="008E25F7" w:rsidP="00DA4753">
      <w:r>
        <w:t xml:space="preserve">The forecasts </w:t>
      </w:r>
      <w:r w:rsidR="00197BDA">
        <w:t xml:space="preserve">of </w:t>
      </w:r>
      <w:r>
        <w:t>per</w:t>
      </w:r>
      <w:r w:rsidR="00093A20">
        <w:t>-customer refere</w:t>
      </w:r>
      <w:r>
        <w:t>nce loads and load impact</w:t>
      </w:r>
      <w:r w:rsidR="00AB6A48">
        <w:t xml:space="preserve">s are </w:t>
      </w:r>
      <w:r w:rsidR="00B84232">
        <w:t xml:space="preserve">slightly </w:t>
      </w:r>
      <w:r w:rsidR="00197BDA">
        <w:t>higher</w:t>
      </w:r>
      <w:r w:rsidR="00B84232">
        <w:t xml:space="preserve"> in the current study</w:t>
      </w:r>
      <w:r w:rsidR="00AB6A48">
        <w:t xml:space="preserve"> despite a decrease </w:t>
      </w:r>
      <w:r w:rsidR="00197BDA">
        <w:t>in e</w:t>
      </w:r>
      <w:r w:rsidR="00AB6A48">
        <w:t>nrollment</w:t>
      </w:r>
      <w:r w:rsidR="00093A20">
        <w:t xml:space="preserve">. </w:t>
      </w:r>
      <w:r w:rsidR="00197BDA">
        <w:t>That decrease in enrollment causes a reduction in the total reference load and load impact.</w:t>
      </w:r>
    </w:p>
    <w:p w14:paraId="4FE64EB3" w14:textId="30C2E2EC" w:rsidR="00DA4753" w:rsidRDefault="00DA4753" w:rsidP="00DA4753">
      <w:pPr>
        <w:pStyle w:val="Heading3"/>
      </w:pPr>
      <w:bookmarkStart w:id="232" w:name="_Toc383597959"/>
      <w:bookmarkStart w:id="233" w:name="_Toc510091138"/>
      <w:r>
        <w:t xml:space="preserve">6.2.3 Previous </w:t>
      </w:r>
      <w:r w:rsidRPr="000F1678">
        <w:rPr>
          <w:i/>
        </w:rPr>
        <w:t>ex</w:t>
      </w:r>
      <w:r w:rsidR="000F1678" w:rsidRPr="000F1678">
        <w:rPr>
          <w:i/>
        </w:rPr>
        <w:t>-</w:t>
      </w:r>
      <w:r w:rsidRPr="000F1678">
        <w:rPr>
          <w:i/>
        </w:rPr>
        <w:t>ante</w:t>
      </w:r>
      <w:r>
        <w:t xml:space="preserve"> versus current </w:t>
      </w:r>
      <w:r w:rsidRPr="000F1678">
        <w:rPr>
          <w:i/>
        </w:rPr>
        <w:t>ex</w:t>
      </w:r>
      <w:r w:rsidR="000F1678" w:rsidRPr="000F1678">
        <w:rPr>
          <w:i/>
        </w:rPr>
        <w:t>-</w:t>
      </w:r>
      <w:r w:rsidRPr="000F1678">
        <w:rPr>
          <w:i/>
        </w:rPr>
        <w:t>post</w:t>
      </w:r>
      <w:bookmarkEnd w:id="232"/>
      <w:bookmarkEnd w:id="233"/>
    </w:p>
    <w:p w14:paraId="5165F90D" w14:textId="7160662E" w:rsidR="00DA4753" w:rsidRDefault="00DA4753" w:rsidP="00DA4753">
      <w:r>
        <w:t>Table 6.</w:t>
      </w:r>
      <w:r w:rsidR="00372CA5">
        <w:t>8</w:t>
      </w:r>
      <w:r>
        <w:t xml:space="preserve"> provides a comparison</w:t>
      </w:r>
      <w:r w:rsidR="00087F32">
        <w:t xml:space="preserve"> of the </w:t>
      </w:r>
      <w:r w:rsidR="00087F32" w:rsidRPr="000432C5">
        <w:rPr>
          <w:i/>
        </w:rPr>
        <w:t>ex-</w:t>
      </w:r>
      <w:r w:rsidR="003A3CA6" w:rsidRPr="000432C5">
        <w:rPr>
          <w:i/>
        </w:rPr>
        <w:t>ante</w:t>
      </w:r>
      <w:r w:rsidR="003A3CA6">
        <w:t xml:space="preserve"> forecast of 201</w:t>
      </w:r>
      <w:r w:rsidR="00090C1B">
        <w:t>7</w:t>
      </w:r>
      <w:r>
        <w:t xml:space="preserve"> load i</w:t>
      </w:r>
      <w:r w:rsidR="003A3CA6">
        <w:t xml:space="preserve">mpacts prepared following </w:t>
      </w:r>
      <w:r w:rsidR="00022101">
        <w:t xml:space="preserve">PY2016 </w:t>
      </w:r>
      <w:r>
        <w:t>and the PY201</w:t>
      </w:r>
      <w:r w:rsidR="00022101">
        <w:t>7</w:t>
      </w:r>
      <w:r>
        <w:t xml:space="preserve"> load impacts estimated as part of this study. The </w:t>
      </w:r>
      <w:r w:rsidRPr="000432C5">
        <w:rPr>
          <w:i/>
        </w:rPr>
        <w:t>ex</w:t>
      </w:r>
      <w:r w:rsidR="00087F32" w:rsidRPr="000432C5">
        <w:rPr>
          <w:i/>
        </w:rPr>
        <w:t>-</w:t>
      </w:r>
      <w:r w:rsidRPr="000432C5">
        <w:rPr>
          <w:i/>
        </w:rPr>
        <w:t>ante</w:t>
      </w:r>
      <w:r>
        <w:t xml:space="preserve"> forecast shown in the table represents the typical event day during a </w:t>
      </w:r>
      <w:r w:rsidR="00E97693">
        <w:t xml:space="preserve">utility-specific </w:t>
      </w:r>
      <w:r>
        <w:t xml:space="preserve">1-in-2 weather year. The </w:t>
      </w:r>
      <w:r w:rsidRPr="000432C5">
        <w:rPr>
          <w:i/>
        </w:rPr>
        <w:t>ex</w:t>
      </w:r>
      <w:r w:rsidR="00087F32" w:rsidRPr="000432C5">
        <w:rPr>
          <w:i/>
        </w:rPr>
        <w:t>-</w:t>
      </w:r>
      <w:r w:rsidRPr="000432C5">
        <w:rPr>
          <w:i/>
        </w:rPr>
        <w:t>post</w:t>
      </w:r>
      <w:r>
        <w:t xml:space="preserve"> load impacts are </w:t>
      </w:r>
      <w:r w:rsidR="003A3CA6">
        <w:t xml:space="preserve">based on the </w:t>
      </w:r>
      <w:r w:rsidR="00022101">
        <w:t>May 3</w:t>
      </w:r>
      <w:r w:rsidR="00E97693">
        <w:t>, 201</w:t>
      </w:r>
      <w:r w:rsidR="00022101">
        <w:t>7</w:t>
      </w:r>
      <w:r w:rsidR="00E97693">
        <w:t xml:space="preserve"> event day</w:t>
      </w:r>
      <w:r>
        <w:t>.</w:t>
      </w:r>
    </w:p>
    <w:p w14:paraId="50104143" w14:textId="77777777" w:rsidR="00DA4753" w:rsidRDefault="00DA4753" w:rsidP="00DA4753"/>
    <w:p w14:paraId="1AA48381" w14:textId="37D424B4" w:rsidR="00DA4753" w:rsidRDefault="00AE4E7E" w:rsidP="00DA4753">
      <w:r>
        <w:t>The forecast p</w:t>
      </w:r>
      <w:r w:rsidR="00087F32" w:rsidRPr="00945D1B">
        <w:t>e</w:t>
      </w:r>
      <w:r w:rsidR="000432C5" w:rsidRPr="00945D1B">
        <w:t>r-</w:t>
      </w:r>
      <w:r w:rsidR="00087F32" w:rsidRPr="00945D1B">
        <w:t>customer reference loads</w:t>
      </w:r>
      <w:r>
        <w:t xml:space="preserve">, per-customer load impacts, and percentage load impacts were quite close to the </w:t>
      </w:r>
      <w:r w:rsidRPr="00AE4E7E">
        <w:rPr>
          <w:i/>
        </w:rPr>
        <w:t>ex-post</w:t>
      </w:r>
      <w:r>
        <w:t xml:space="preserve"> estimates. </w:t>
      </w:r>
      <w:r w:rsidR="00994E03">
        <w:t xml:space="preserve"> </w:t>
      </w:r>
      <w:r>
        <w:t xml:space="preserve">However, forecast enrollment was significantly higher than ex-post enrollment, leading to lower-than-forecast </w:t>
      </w:r>
      <w:r w:rsidRPr="00AE4E7E">
        <w:rPr>
          <w:i/>
        </w:rPr>
        <w:t>ex-post</w:t>
      </w:r>
      <w:r>
        <w:t xml:space="preserve"> load impacts. </w:t>
      </w:r>
    </w:p>
    <w:p w14:paraId="3455AF60" w14:textId="77777777" w:rsidR="00DA4753" w:rsidRDefault="00DA4753" w:rsidP="00DA4753"/>
    <w:p w14:paraId="6504BF88" w14:textId="7AAC814D" w:rsidR="00FC3979" w:rsidRDefault="00DA4753" w:rsidP="00D6174D">
      <w:pPr>
        <w:pStyle w:val="TableCaption"/>
        <w:keepNext/>
        <w:keepLines/>
        <w:rPr>
          <w:i/>
        </w:rPr>
      </w:pPr>
      <w:bookmarkStart w:id="234" w:name="_Toc383598022"/>
      <w:bookmarkStart w:id="235" w:name="_Toc508800239"/>
      <w:r w:rsidRPr="00376F46">
        <w:lastRenderedPageBreak/>
        <w:t xml:space="preserve">Table </w:t>
      </w:r>
      <w:r>
        <w:t>6</w:t>
      </w:r>
      <w:r w:rsidRPr="00376F46">
        <w:t>.</w:t>
      </w:r>
      <w:r w:rsidR="00372CA5">
        <w:t>8</w:t>
      </w:r>
      <w:r w:rsidR="007030CD">
        <w:t>:</w:t>
      </w:r>
      <w:r w:rsidRPr="00376F46">
        <w:t xml:space="preserve"> Comparison of </w:t>
      </w:r>
      <w:r>
        <w:t xml:space="preserve">Previous </w:t>
      </w:r>
      <w:r w:rsidRPr="000432C5">
        <w:rPr>
          <w:i/>
        </w:rPr>
        <w:t>Ex</w:t>
      </w:r>
      <w:r w:rsidR="003A3CA6" w:rsidRPr="000432C5">
        <w:rPr>
          <w:i/>
        </w:rPr>
        <w:t>-</w:t>
      </w:r>
      <w:r w:rsidR="000432C5" w:rsidRPr="000432C5">
        <w:rPr>
          <w:i/>
        </w:rPr>
        <w:t>a</w:t>
      </w:r>
      <w:r w:rsidRPr="000432C5">
        <w:rPr>
          <w:i/>
        </w:rPr>
        <w:t>nte</w:t>
      </w:r>
      <w:r>
        <w:t xml:space="preserve"> and Current </w:t>
      </w:r>
      <w:r w:rsidRPr="000432C5">
        <w:rPr>
          <w:i/>
        </w:rPr>
        <w:t>Ex</w:t>
      </w:r>
      <w:r w:rsidR="003A3CA6" w:rsidRPr="000432C5">
        <w:rPr>
          <w:i/>
        </w:rPr>
        <w:t>-</w:t>
      </w:r>
      <w:r w:rsidR="000432C5" w:rsidRPr="000432C5">
        <w:rPr>
          <w:i/>
        </w:rPr>
        <w:t>p</w:t>
      </w:r>
      <w:r w:rsidRPr="000432C5">
        <w:rPr>
          <w:i/>
        </w:rPr>
        <w:t>ost</w:t>
      </w:r>
      <w:r>
        <w:t xml:space="preserve"> </w:t>
      </w:r>
      <w:r w:rsidRPr="00376F46">
        <w:t>Impacts</w:t>
      </w:r>
      <w:r>
        <w:t>,</w:t>
      </w:r>
      <w:r w:rsidRPr="00376F46">
        <w:t xml:space="preserve"> </w:t>
      </w:r>
      <w:r>
        <w:rPr>
          <w:i/>
        </w:rPr>
        <w:t>SC</w:t>
      </w:r>
      <w:r w:rsidRPr="00376F46">
        <w:rPr>
          <w:i/>
        </w:rPr>
        <w:t>E</w:t>
      </w:r>
      <w:bookmarkEnd w:id="234"/>
      <w:bookmarkEnd w:id="235"/>
    </w:p>
    <w:tbl>
      <w:tblPr>
        <w:tblW w:w="7085" w:type="dxa"/>
        <w:jc w:val="center"/>
        <w:tblLook w:val="04A0" w:firstRow="1" w:lastRow="0" w:firstColumn="1" w:lastColumn="0" w:noHBand="0" w:noVBand="1"/>
      </w:tblPr>
      <w:tblGrid>
        <w:gridCol w:w="1165"/>
        <w:gridCol w:w="2165"/>
        <w:gridCol w:w="1855"/>
        <w:gridCol w:w="1900"/>
      </w:tblGrid>
      <w:tr w:rsidR="00D6174D" w:rsidRPr="00D6174D" w14:paraId="60E8AD1B" w14:textId="77777777" w:rsidTr="00AE4E7E">
        <w:trPr>
          <w:trHeight w:val="20"/>
          <w:jc w:val="center"/>
        </w:trPr>
        <w:tc>
          <w:tcPr>
            <w:tcW w:w="1165" w:type="dxa"/>
            <w:vMerge w:val="restart"/>
            <w:tcBorders>
              <w:top w:val="single" w:sz="4" w:space="0" w:color="auto"/>
              <w:left w:val="single" w:sz="4" w:space="0" w:color="auto"/>
              <w:bottom w:val="single" w:sz="4" w:space="0" w:color="auto"/>
              <w:right w:val="single" w:sz="4" w:space="0" w:color="FFFFFF"/>
            </w:tcBorders>
            <w:shd w:val="clear" w:color="auto" w:fill="0C2577"/>
            <w:vAlign w:val="center"/>
            <w:hideMark/>
          </w:tcPr>
          <w:p w14:paraId="32936681" w14:textId="77777777" w:rsidR="00D6174D" w:rsidRPr="00D6174D" w:rsidRDefault="00D6174D" w:rsidP="00EB7A51">
            <w:pPr>
              <w:keepNext/>
              <w:jc w:val="center"/>
              <w:rPr>
                <w:rFonts w:ascii="Arial" w:hAnsi="Arial" w:cs="Arial"/>
                <w:b/>
                <w:bCs/>
                <w:color w:val="FFFFFF"/>
                <w:sz w:val="20"/>
                <w:szCs w:val="20"/>
              </w:rPr>
            </w:pPr>
            <w:r w:rsidRPr="00D6174D">
              <w:rPr>
                <w:rFonts w:ascii="Arial" w:hAnsi="Arial" w:cs="Arial"/>
                <w:b/>
                <w:bCs/>
                <w:color w:val="FFFFFF"/>
                <w:sz w:val="20"/>
                <w:szCs w:val="20"/>
              </w:rPr>
              <w:t>Level</w:t>
            </w:r>
          </w:p>
        </w:tc>
        <w:tc>
          <w:tcPr>
            <w:tcW w:w="2165" w:type="dxa"/>
            <w:vMerge w:val="restart"/>
            <w:tcBorders>
              <w:top w:val="single" w:sz="4" w:space="0" w:color="auto"/>
              <w:left w:val="nil"/>
              <w:bottom w:val="single" w:sz="4" w:space="0" w:color="auto"/>
              <w:right w:val="nil"/>
            </w:tcBorders>
            <w:shd w:val="clear" w:color="auto" w:fill="0C2577"/>
            <w:vAlign w:val="center"/>
            <w:hideMark/>
          </w:tcPr>
          <w:p w14:paraId="5BD0319D" w14:textId="77777777" w:rsidR="00D6174D" w:rsidRPr="00D6174D" w:rsidRDefault="00D6174D" w:rsidP="00EB7A51">
            <w:pPr>
              <w:keepNext/>
              <w:jc w:val="center"/>
              <w:rPr>
                <w:rFonts w:ascii="Arial" w:hAnsi="Arial" w:cs="Arial"/>
                <w:b/>
                <w:bCs/>
                <w:color w:val="FFFFFF"/>
                <w:sz w:val="20"/>
                <w:szCs w:val="20"/>
              </w:rPr>
            </w:pPr>
            <w:r w:rsidRPr="00D6174D">
              <w:rPr>
                <w:rFonts w:ascii="Arial" w:hAnsi="Arial" w:cs="Arial"/>
                <w:b/>
                <w:bCs/>
                <w:color w:val="FFFFFF"/>
                <w:sz w:val="20"/>
                <w:szCs w:val="20"/>
              </w:rPr>
              <w:t>Outcome</w:t>
            </w:r>
          </w:p>
        </w:tc>
        <w:tc>
          <w:tcPr>
            <w:tcW w:w="1855" w:type="dxa"/>
            <w:vMerge w:val="restart"/>
            <w:tcBorders>
              <w:top w:val="single" w:sz="4" w:space="0" w:color="auto"/>
              <w:left w:val="single" w:sz="4" w:space="0" w:color="FFFFFF"/>
              <w:bottom w:val="single" w:sz="4" w:space="0" w:color="auto"/>
              <w:right w:val="single" w:sz="4" w:space="0" w:color="FFFFFF"/>
            </w:tcBorders>
            <w:shd w:val="clear" w:color="auto" w:fill="0C2577"/>
            <w:vAlign w:val="center"/>
            <w:hideMark/>
          </w:tcPr>
          <w:p w14:paraId="5D0C2A34" w14:textId="77777777" w:rsidR="00D6174D" w:rsidRPr="00D6174D" w:rsidRDefault="00D6174D" w:rsidP="00EB7A51">
            <w:pPr>
              <w:keepNext/>
              <w:jc w:val="center"/>
              <w:rPr>
                <w:rFonts w:ascii="Arial" w:hAnsi="Arial" w:cs="Arial"/>
                <w:b/>
                <w:bCs/>
                <w:color w:val="FFFFFF"/>
                <w:sz w:val="20"/>
                <w:szCs w:val="20"/>
              </w:rPr>
            </w:pPr>
            <w:r w:rsidRPr="00D6174D">
              <w:rPr>
                <w:rFonts w:ascii="Arial" w:hAnsi="Arial" w:cs="Arial"/>
                <w:b/>
                <w:bCs/>
                <w:i/>
                <w:iCs/>
                <w:color w:val="FFFFFF"/>
                <w:sz w:val="20"/>
                <w:szCs w:val="20"/>
              </w:rPr>
              <w:t xml:space="preserve">Ex-ante </w:t>
            </w:r>
            <w:r w:rsidRPr="00D6174D">
              <w:rPr>
                <w:rFonts w:ascii="Arial" w:hAnsi="Arial" w:cs="Arial"/>
                <w:b/>
                <w:bCs/>
                <w:color w:val="FFFFFF"/>
                <w:sz w:val="20"/>
                <w:szCs w:val="20"/>
              </w:rPr>
              <w:t xml:space="preserve">2017 Typical Event Day, Previous Study </w:t>
            </w:r>
          </w:p>
        </w:tc>
        <w:tc>
          <w:tcPr>
            <w:tcW w:w="1900" w:type="dxa"/>
            <w:tcBorders>
              <w:top w:val="single" w:sz="4" w:space="0" w:color="auto"/>
              <w:left w:val="nil"/>
              <w:bottom w:val="nil"/>
              <w:right w:val="single" w:sz="4" w:space="0" w:color="auto"/>
            </w:tcBorders>
            <w:shd w:val="clear" w:color="auto" w:fill="0C2577"/>
            <w:vAlign w:val="bottom"/>
            <w:hideMark/>
          </w:tcPr>
          <w:p w14:paraId="36BBE262" w14:textId="77777777" w:rsidR="00D6174D" w:rsidRPr="00D6174D" w:rsidRDefault="00D6174D" w:rsidP="00EB7A51">
            <w:pPr>
              <w:keepNext/>
              <w:jc w:val="center"/>
              <w:rPr>
                <w:rFonts w:ascii="Arial" w:hAnsi="Arial" w:cs="Arial"/>
                <w:b/>
                <w:bCs/>
                <w:i/>
                <w:iCs/>
                <w:color w:val="FFFFFF"/>
                <w:sz w:val="20"/>
                <w:szCs w:val="20"/>
              </w:rPr>
            </w:pPr>
            <w:r w:rsidRPr="00D6174D">
              <w:rPr>
                <w:rFonts w:ascii="Arial" w:hAnsi="Arial" w:cs="Arial"/>
                <w:b/>
                <w:bCs/>
                <w:i/>
                <w:iCs/>
                <w:color w:val="FFFFFF"/>
                <w:sz w:val="20"/>
                <w:szCs w:val="20"/>
              </w:rPr>
              <w:t xml:space="preserve">Ex-post </w:t>
            </w:r>
          </w:p>
        </w:tc>
      </w:tr>
      <w:tr w:rsidR="00D6174D" w:rsidRPr="00D6174D" w14:paraId="3017F78D" w14:textId="77777777" w:rsidTr="00AE4E7E">
        <w:trPr>
          <w:trHeight w:val="293"/>
          <w:jc w:val="center"/>
        </w:trPr>
        <w:tc>
          <w:tcPr>
            <w:tcW w:w="1165" w:type="dxa"/>
            <w:vMerge/>
            <w:tcBorders>
              <w:top w:val="single" w:sz="4" w:space="0" w:color="auto"/>
              <w:left w:val="single" w:sz="4" w:space="0" w:color="auto"/>
              <w:bottom w:val="single" w:sz="4" w:space="0" w:color="auto"/>
              <w:right w:val="single" w:sz="4" w:space="0" w:color="FFFFFF"/>
            </w:tcBorders>
            <w:shd w:val="clear" w:color="auto" w:fill="0C2577"/>
            <w:vAlign w:val="center"/>
            <w:hideMark/>
          </w:tcPr>
          <w:p w14:paraId="5945C70A" w14:textId="77777777" w:rsidR="00D6174D" w:rsidRPr="00D6174D" w:rsidRDefault="00D6174D" w:rsidP="00EB7A51">
            <w:pPr>
              <w:keepNext/>
              <w:rPr>
                <w:rFonts w:ascii="Arial" w:hAnsi="Arial" w:cs="Arial"/>
                <w:b/>
                <w:bCs/>
                <w:color w:val="FFFFFF"/>
                <w:sz w:val="20"/>
                <w:szCs w:val="20"/>
              </w:rPr>
            </w:pPr>
          </w:p>
        </w:tc>
        <w:tc>
          <w:tcPr>
            <w:tcW w:w="2165" w:type="dxa"/>
            <w:vMerge/>
            <w:tcBorders>
              <w:top w:val="single" w:sz="4" w:space="0" w:color="auto"/>
              <w:left w:val="nil"/>
              <w:bottom w:val="single" w:sz="4" w:space="0" w:color="auto"/>
              <w:right w:val="nil"/>
            </w:tcBorders>
            <w:shd w:val="clear" w:color="auto" w:fill="0C2577"/>
            <w:vAlign w:val="center"/>
            <w:hideMark/>
          </w:tcPr>
          <w:p w14:paraId="64F1A97D" w14:textId="77777777" w:rsidR="00D6174D" w:rsidRPr="00D6174D" w:rsidRDefault="00D6174D" w:rsidP="00EB7A51">
            <w:pPr>
              <w:keepNext/>
              <w:rPr>
                <w:rFonts w:ascii="Arial" w:hAnsi="Arial" w:cs="Arial"/>
                <w:b/>
                <w:bCs/>
                <w:color w:val="FFFFFF"/>
                <w:sz w:val="20"/>
                <w:szCs w:val="20"/>
              </w:rPr>
            </w:pPr>
          </w:p>
        </w:tc>
        <w:tc>
          <w:tcPr>
            <w:tcW w:w="1855" w:type="dxa"/>
            <w:vMerge/>
            <w:tcBorders>
              <w:top w:val="single" w:sz="4" w:space="0" w:color="auto"/>
              <w:left w:val="single" w:sz="4" w:space="0" w:color="FFFFFF"/>
              <w:bottom w:val="single" w:sz="4" w:space="0" w:color="auto"/>
              <w:right w:val="single" w:sz="4" w:space="0" w:color="FFFFFF"/>
            </w:tcBorders>
            <w:shd w:val="clear" w:color="auto" w:fill="0C2577"/>
            <w:vAlign w:val="center"/>
            <w:hideMark/>
          </w:tcPr>
          <w:p w14:paraId="26001EF7" w14:textId="77777777" w:rsidR="00D6174D" w:rsidRPr="00D6174D" w:rsidRDefault="00D6174D" w:rsidP="00EB7A51">
            <w:pPr>
              <w:keepNext/>
              <w:rPr>
                <w:rFonts w:ascii="Arial" w:hAnsi="Arial" w:cs="Arial"/>
                <w:b/>
                <w:bCs/>
                <w:color w:val="FFFFFF"/>
                <w:sz w:val="20"/>
                <w:szCs w:val="20"/>
              </w:rPr>
            </w:pPr>
          </w:p>
        </w:tc>
        <w:tc>
          <w:tcPr>
            <w:tcW w:w="1900" w:type="dxa"/>
            <w:vMerge w:val="restart"/>
            <w:tcBorders>
              <w:top w:val="nil"/>
              <w:left w:val="nil"/>
              <w:bottom w:val="single" w:sz="4" w:space="0" w:color="auto"/>
              <w:right w:val="single" w:sz="4" w:space="0" w:color="auto"/>
            </w:tcBorders>
            <w:shd w:val="clear" w:color="auto" w:fill="0C2577"/>
            <w:hideMark/>
          </w:tcPr>
          <w:p w14:paraId="6DB0BB8D" w14:textId="77777777" w:rsidR="00D6174D" w:rsidRPr="00D6174D" w:rsidRDefault="00D6174D" w:rsidP="00EB7A51">
            <w:pPr>
              <w:keepNext/>
              <w:jc w:val="center"/>
              <w:rPr>
                <w:rFonts w:ascii="Arial" w:hAnsi="Arial" w:cs="Arial"/>
                <w:b/>
                <w:bCs/>
                <w:i/>
                <w:iCs/>
                <w:color w:val="FFFFFF"/>
                <w:sz w:val="20"/>
                <w:szCs w:val="20"/>
              </w:rPr>
            </w:pPr>
            <w:r w:rsidRPr="00D6174D">
              <w:rPr>
                <w:rFonts w:ascii="Arial" w:hAnsi="Arial" w:cs="Arial"/>
                <w:b/>
                <w:bCs/>
                <w:i/>
                <w:iCs/>
                <w:color w:val="FFFFFF"/>
                <w:sz w:val="20"/>
                <w:szCs w:val="20"/>
              </w:rPr>
              <w:t>PY2017</w:t>
            </w:r>
          </w:p>
        </w:tc>
      </w:tr>
      <w:tr w:rsidR="00D6174D" w:rsidRPr="00D6174D" w14:paraId="08CB4859" w14:textId="77777777" w:rsidTr="00AE4E7E">
        <w:trPr>
          <w:trHeight w:val="293"/>
          <w:jc w:val="center"/>
        </w:trPr>
        <w:tc>
          <w:tcPr>
            <w:tcW w:w="1165" w:type="dxa"/>
            <w:vMerge/>
            <w:tcBorders>
              <w:top w:val="single" w:sz="4" w:space="0" w:color="auto"/>
              <w:left w:val="single" w:sz="4" w:space="0" w:color="auto"/>
              <w:bottom w:val="single" w:sz="4" w:space="0" w:color="auto"/>
              <w:right w:val="single" w:sz="4" w:space="0" w:color="FFFFFF"/>
            </w:tcBorders>
            <w:shd w:val="clear" w:color="auto" w:fill="0C2577"/>
            <w:vAlign w:val="center"/>
            <w:hideMark/>
          </w:tcPr>
          <w:p w14:paraId="2280A248" w14:textId="77777777" w:rsidR="00D6174D" w:rsidRPr="00D6174D" w:rsidRDefault="00D6174D" w:rsidP="00EB7A51">
            <w:pPr>
              <w:keepNext/>
              <w:rPr>
                <w:rFonts w:ascii="Arial" w:hAnsi="Arial" w:cs="Arial"/>
                <w:b/>
                <w:bCs/>
                <w:color w:val="FFFFFF"/>
                <w:sz w:val="20"/>
                <w:szCs w:val="20"/>
              </w:rPr>
            </w:pPr>
          </w:p>
        </w:tc>
        <w:tc>
          <w:tcPr>
            <w:tcW w:w="2165" w:type="dxa"/>
            <w:vMerge/>
            <w:tcBorders>
              <w:top w:val="single" w:sz="4" w:space="0" w:color="auto"/>
              <w:left w:val="nil"/>
              <w:bottom w:val="single" w:sz="4" w:space="0" w:color="auto"/>
              <w:right w:val="nil"/>
            </w:tcBorders>
            <w:shd w:val="clear" w:color="auto" w:fill="0C2577"/>
            <w:vAlign w:val="center"/>
            <w:hideMark/>
          </w:tcPr>
          <w:p w14:paraId="3BDE77A0" w14:textId="77777777" w:rsidR="00D6174D" w:rsidRPr="00D6174D" w:rsidRDefault="00D6174D" w:rsidP="00EB7A51">
            <w:pPr>
              <w:keepNext/>
              <w:rPr>
                <w:rFonts w:ascii="Arial" w:hAnsi="Arial" w:cs="Arial"/>
                <w:b/>
                <w:bCs/>
                <w:color w:val="FFFFFF"/>
                <w:sz w:val="20"/>
                <w:szCs w:val="20"/>
              </w:rPr>
            </w:pPr>
          </w:p>
        </w:tc>
        <w:tc>
          <w:tcPr>
            <w:tcW w:w="1855" w:type="dxa"/>
            <w:vMerge/>
            <w:tcBorders>
              <w:top w:val="single" w:sz="4" w:space="0" w:color="auto"/>
              <w:left w:val="single" w:sz="4" w:space="0" w:color="FFFFFF"/>
              <w:bottom w:val="single" w:sz="4" w:space="0" w:color="auto"/>
              <w:right w:val="single" w:sz="4" w:space="0" w:color="FFFFFF"/>
            </w:tcBorders>
            <w:shd w:val="clear" w:color="auto" w:fill="0C2577"/>
            <w:vAlign w:val="center"/>
            <w:hideMark/>
          </w:tcPr>
          <w:p w14:paraId="60A01C4D" w14:textId="77777777" w:rsidR="00D6174D" w:rsidRPr="00D6174D" w:rsidRDefault="00D6174D" w:rsidP="00EB7A51">
            <w:pPr>
              <w:keepNext/>
              <w:rPr>
                <w:rFonts w:ascii="Arial" w:hAnsi="Arial" w:cs="Arial"/>
                <w:b/>
                <w:bCs/>
                <w:color w:val="FFFFFF"/>
                <w:sz w:val="20"/>
                <w:szCs w:val="20"/>
              </w:rPr>
            </w:pPr>
          </w:p>
        </w:tc>
        <w:tc>
          <w:tcPr>
            <w:tcW w:w="1900" w:type="dxa"/>
            <w:vMerge/>
            <w:tcBorders>
              <w:top w:val="nil"/>
              <w:left w:val="nil"/>
              <w:bottom w:val="single" w:sz="4" w:space="0" w:color="auto"/>
              <w:right w:val="single" w:sz="4" w:space="0" w:color="auto"/>
            </w:tcBorders>
            <w:shd w:val="clear" w:color="auto" w:fill="0C2577"/>
            <w:vAlign w:val="center"/>
            <w:hideMark/>
          </w:tcPr>
          <w:p w14:paraId="796A9461" w14:textId="77777777" w:rsidR="00D6174D" w:rsidRPr="00D6174D" w:rsidRDefault="00D6174D" w:rsidP="00EB7A51">
            <w:pPr>
              <w:keepNext/>
              <w:rPr>
                <w:rFonts w:ascii="Arial" w:hAnsi="Arial" w:cs="Arial"/>
                <w:b/>
                <w:bCs/>
                <w:i/>
                <w:iCs/>
                <w:color w:val="FFFFFF"/>
                <w:sz w:val="20"/>
                <w:szCs w:val="20"/>
              </w:rPr>
            </w:pPr>
          </w:p>
        </w:tc>
      </w:tr>
      <w:tr w:rsidR="00AE4E7E" w:rsidRPr="00D6174D" w14:paraId="4A438821" w14:textId="77777777" w:rsidTr="00AE4E7E">
        <w:trPr>
          <w:trHeight w:val="20"/>
          <w:jc w:val="center"/>
        </w:trPr>
        <w:tc>
          <w:tcPr>
            <w:tcW w:w="1165" w:type="dxa"/>
            <w:vMerge w:val="restart"/>
            <w:tcBorders>
              <w:top w:val="nil"/>
              <w:left w:val="single" w:sz="4" w:space="0" w:color="auto"/>
              <w:bottom w:val="single" w:sz="4" w:space="0" w:color="auto"/>
              <w:right w:val="nil"/>
            </w:tcBorders>
            <w:shd w:val="clear" w:color="auto" w:fill="auto"/>
            <w:vAlign w:val="center"/>
            <w:hideMark/>
          </w:tcPr>
          <w:p w14:paraId="79A34297" w14:textId="77777777" w:rsidR="00AE4E7E" w:rsidRPr="00D6174D" w:rsidRDefault="00AE4E7E" w:rsidP="00AE4E7E">
            <w:pPr>
              <w:keepNext/>
              <w:rPr>
                <w:rFonts w:ascii="Arial" w:hAnsi="Arial" w:cs="Arial"/>
                <w:b/>
                <w:bCs/>
                <w:color w:val="000000"/>
                <w:sz w:val="20"/>
                <w:szCs w:val="20"/>
              </w:rPr>
            </w:pPr>
            <w:r w:rsidRPr="00D6174D">
              <w:rPr>
                <w:rFonts w:ascii="Arial" w:hAnsi="Arial" w:cs="Arial"/>
                <w:b/>
                <w:bCs/>
                <w:color w:val="000000"/>
                <w:sz w:val="20"/>
                <w:szCs w:val="20"/>
              </w:rPr>
              <w:t>Total</w:t>
            </w:r>
          </w:p>
        </w:tc>
        <w:tc>
          <w:tcPr>
            <w:tcW w:w="2165" w:type="dxa"/>
            <w:tcBorders>
              <w:top w:val="single" w:sz="4" w:space="0" w:color="auto"/>
              <w:left w:val="single" w:sz="4" w:space="0" w:color="auto"/>
              <w:bottom w:val="nil"/>
              <w:right w:val="single" w:sz="4" w:space="0" w:color="auto"/>
            </w:tcBorders>
            <w:shd w:val="clear" w:color="000000" w:fill="FFFFFF"/>
            <w:vAlign w:val="center"/>
            <w:hideMark/>
          </w:tcPr>
          <w:p w14:paraId="073E86E8" w14:textId="0915422B" w:rsidR="00AE4E7E" w:rsidRPr="00D6174D" w:rsidRDefault="00AE4E7E" w:rsidP="00AE4E7E">
            <w:pPr>
              <w:keepNext/>
              <w:rPr>
                <w:rFonts w:ascii="Arial" w:hAnsi="Arial" w:cs="Arial"/>
                <w:color w:val="000000"/>
                <w:sz w:val="20"/>
                <w:szCs w:val="20"/>
              </w:rPr>
            </w:pPr>
            <w:r w:rsidRPr="00D6174D">
              <w:rPr>
                <w:rFonts w:ascii="Arial" w:hAnsi="Arial" w:cs="Arial"/>
                <w:color w:val="000000"/>
                <w:sz w:val="20"/>
                <w:szCs w:val="20"/>
              </w:rPr>
              <w:t xml:space="preserve"># </w:t>
            </w:r>
            <w:r w:rsidR="00DF5A48">
              <w:rPr>
                <w:rFonts w:ascii="Arial" w:hAnsi="Arial" w:cs="Arial"/>
                <w:b/>
                <w:bCs/>
                <w:color w:val="000000"/>
                <w:sz w:val="20"/>
                <w:szCs w:val="20"/>
              </w:rPr>
              <w:t>C</w:t>
            </w:r>
            <w:r w:rsidR="00DF5A48">
              <w:rPr>
                <w:rFonts w:ascii="Arial" w:hAnsi="Arial" w:cs="Arial"/>
                <w:color w:val="000000"/>
                <w:sz w:val="20"/>
                <w:szCs w:val="20"/>
              </w:rPr>
              <w:t>ustomers</w:t>
            </w:r>
          </w:p>
        </w:tc>
        <w:tc>
          <w:tcPr>
            <w:tcW w:w="1855" w:type="dxa"/>
            <w:tcBorders>
              <w:top w:val="nil"/>
              <w:left w:val="nil"/>
              <w:bottom w:val="nil"/>
              <w:right w:val="single" w:sz="4" w:space="0" w:color="auto"/>
            </w:tcBorders>
            <w:shd w:val="clear" w:color="000000" w:fill="FFFFFF"/>
            <w:vAlign w:val="center"/>
            <w:hideMark/>
          </w:tcPr>
          <w:p w14:paraId="04CA2310" w14:textId="77777777" w:rsidR="00AE4E7E" w:rsidRPr="00D6174D" w:rsidRDefault="00AE4E7E" w:rsidP="00AE4E7E">
            <w:pPr>
              <w:keepNext/>
              <w:jc w:val="center"/>
              <w:rPr>
                <w:rFonts w:ascii="Arial" w:hAnsi="Arial" w:cs="Arial"/>
                <w:color w:val="000000"/>
                <w:sz w:val="20"/>
                <w:szCs w:val="20"/>
              </w:rPr>
            </w:pPr>
            <w:r w:rsidRPr="00D6174D">
              <w:rPr>
                <w:rFonts w:ascii="Arial" w:hAnsi="Arial" w:cs="Arial"/>
                <w:color w:val="000000"/>
                <w:sz w:val="20"/>
                <w:szCs w:val="20"/>
              </w:rPr>
              <w:t>630</w:t>
            </w:r>
          </w:p>
        </w:tc>
        <w:tc>
          <w:tcPr>
            <w:tcW w:w="1900" w:type="dxa"/>
            <w:tcBorders>
              <w:top w:val="nil"/>
              <w:left w:val="nil"/>
              <w:bottom w:val="nil"/>
              <w:right w:val="single" w:sz="4" w:space="0" w:color="auto"/>
            </w:tcBorders>
            <w:shd w:val="clear" w:color="000000" w:fill="FFFFFF"/>
            <w:vAlign w:val="center"/>
            <w:hideMark/>
          </w:tcPr>
          <w:p w14:paraId="59AFD9CE" w14:textId="24F4AD91" w:rsidR="00AE4E7E" w:rsidRPr="00D6174D" w:rsidRDefault="00AE4E7E" w:rsidP="00AE4E7E">
            <w:pPr>
              <w:keepNext/>
              <w:jc w:val="center"/>
              <w:rPr>
                <w:rFonts w:ascii="Arial" w:hAnsi="Arial" w:cs="Arial"/>
                <w:color w:val="000000"/>
                <w:sz w:val="20"/>
                <w:szCs w:val="20"/>
              </w:rPr>
            </w:pPr>
            <w:r>
              <w:rPr>
                <w:rFonts w:ascii="Arial" w:hAnsi="Arial" w:cs="Arial"/>
                <w:color w:val="000000"/>
                <w:sz w:val="20"/>
                <w:szCs w:val="20"/>
              </w:rPr>
              <w:t>571</w:t>
            </w:r>
          </w:p>
        </w:tc>
      </w:tr>
      <w:tr w:rsidR="00AE4E7E" w:rsidRPr="00D6174D" w14:paraId="04F7D32B" w14:textId="77777777" w:rsidTr="00AE4E7E">
        <w:trPr>
          <w:trHeight w:val="20"/>
          <w:jc w:val="center"/>
        </w:trPr>
        <w:tc>
          <w:tcPr>
            <w:tcW w:w="1165" w:type="dxa"/>
            <w:vMerge/>
            <w:tcBorders>
              <w:top w:val="nil"/>
              <w:left w:val="single" w:sz="4" w:space="0" w:color="auto"/>
              <w:bottom w:val="single" w:sz="4" w:space="0" w:color="auto"/>
              <w:right w:val="nil"/>
            </w:tcBorders>
            <w:vAlign w:val="center"/>
            <w:hideMark/>
          </w:tcPr>
          <w:p w14:paraId="1BCA4118" w14:textId="77777777" w:rsidR="00AE4E7E" w:rsidRPr="00D6174D" w:rsidRDefault="00AE4E7E" w:rsidP="00AE4E7E">
            <w:pPr>
              <w:keepNext/>
              <w:rPr>
                <w:rFonts w:ascii="Arial" w:hAnsi="Arial" w:cs="Arial"/>
                <w:b/>
                <w:bCs/>
                <w:color w:val="000000"/>
                <w:sz w:val="20"/>
                <w:szCs w:val="20"/>
              </w:rPr>
            </w:pPr>
          </w:p>
        </w:tc>
        <w:tc>
          <w:tcPr>
            <w:tcW w:w="2165" w:type="dxa"/>
            <w:tcBorders>
              <w:top w:val="nil"/>
              <w:left w:val="single" w:sz="4" w:space="0" w:color="auto"/>
              <w:bottom w:val="nil"/>
              <w:right w:val="single" w:sz="4" w:space="0" w:color="auto"/>
            </w:tcBorders>
            <w:shd w:val="clear" w:color="000000" w:fill="FFFFFF"/>
            <w:vAlign w:val="center"/>
            <w:hideMark/>
          </w:tcPr>
          <w:p w14:paraId="392FE6CC" w14:textId="6F17CB25" w:rsidR="00AE4E7E" w:rsidRPr="00D6174D" w:rsidRDefault="00AE4E7E" w:rsidP="00AE4E7E">
            <w:pPr>
              <w:keepNext/>
              <w:rPr>
                <w:rFonts w:ascii="Arial" w:hAnsi="Arial" w:cs="Arial"/>
                <w:color w:val="000000"/>
                <w:sz w:val="20"/>
                <w:szCs w:val="20"/>
              </w:rPr>
            </w:pPr>
            <w:r w:rsidRPr="00D6174D">
              <w:rPr>
                <w:rFonts w:ascii="Arial" w:hAnsi="Arial" w:cs="Arial"/>
                <w:color w:val="000000"/>
                <w:sz w:val="20"/>
                <w:szCs w:val="20"/>
              </w:rPr>
              <w:t>Reference (MW</w:t>
            </w:r>
            <w:r>
              <w:rPr>
                <w:rFonts w:ascii="Arial" w:hAnsi="Arial" w:cs="Arial"/>
                <w:color w:val="000000"/>
                <w:sz w:val="20"/>
                <w:szCs w:val="20"/>
              </w:rPr>
              <w:t>h/h</w:t>
            </w:r>
            <w:r w:rsidRPr="00D6174D">
              <w:rPr>
                <w:rFonts w:ascii="Arial" w:hAnsi="Arial" w:cs="Arial"/>
                <w:color w:val="000000"/>
                <w:sz w:val="20"/>
                <w:szCs w:val="20"/>
              </w:rPr>
              <w:t>)</w:t>
            </w:r>
          </w:p>
        </w:tc>
        <w:tc>
          <w:tcPr>
            <w:tcW w:w="1855" w:type="dxa"/>
            <w:tcBorders>
              <w:top w:val="nil"/>
              <w:left w:val="nil"/>
              <w:bottom w:val="nil"/>
              <w:right w:val="single" w:sz="4" w:space="0" w:color="auto"/>
            </w:tcBorders>
            <w:shd w:val="clear" w:color="000000" w:fill="FFFFFF"/>
            <w:vAlign w:val="center"/>
            <w:hideMark/>
          </w:tcPr>
          <w:p w14:paraId="7DB5F8F9" w14:textId="77777777" w:rsidR="00AE4E7E" w:rsidRPr="00D6174D" w:rsidRDefault="00AE4E7E" w:rsidP="00AE4E7E">
            <w:pPr>
              <w:keepNext/>
              <w:jc w:val="center"/>
              <w:rPr>
                <w:rFonts w:ascii="Arial" w:hAnsi="Arial" w:cs="Arial"/>
                <w:color w:val="000000"/>
                <w:sz w:val="20"/>
                <w:szCs w:val="20"/>
              </w:rPr>
            </w:pPr>
            <w:r w:rsidRPr="00D6174D">
              <w:rPr>
                <w:rFonts w:ascii="Arial" w:hAnsi="Arial" w:cs="Arial"/>
                <w:color w:val="000000"/>
                <w:sz w:val="20"/>
                <w:szCs w:val="20"/>
              </w:rPr>
              <w:t>852.5</w:t>
            </w:r>
          </w:p>
        </w:tc>
        <w:tc>
          <w:tcPr>
            <w:tcW w:w="1900" w:type="dxa"/>
            <w:tcBorders>
              <w:top w:val="nil"/>
              <w:left w:val="nil"/>
              <w:bottom w:val="nil"/>
              <w:right w:val="single" w:sz="4" w:space="0" w:color="auto"/>
            </w:tcBorders>
            <w:shd w:val="clear" w:color="000000" w:fill="FFFFFF"/>
            <w:vAlign w:val="center"/>
            <w:hideMark/>
          </w:tcPr>
          <w:p w14:paraId="491D52A1" w14:textId="52803E01" w:rsidR="00AE4E7E" w:rsidRPr="00D6174D" w:rsidRDefault="00AE4E7E" w:rsidP="00AE4E7E">
            <w:pPr>
              <w:keepNext/>
              <w:jc w:val="center"/>
              <w:rPr>
                <w:rFonts w:ascii="Arial" w:hAnsi="Arial" w:cs="Arial"/>
                <w:color w:val="000000"/>
                <w:sz w:val="20"/>
                <w:szCs w:val="20"/>
              </w:rPr>
            </w:pPr>
            <w:r>
              <w:rPr>
                <w:rFonts w:ascii="Arial" w:hAnsi="Arial" w:cs="Arial"/>
                <w:color w:val="000000"/>
                <w:sz w:val="20"/>
                <w:szCs w:val="20"/>
              </w:rPr>
              <w:t>789.5</w:t>
            </w:r>
          </w:p>
        </w:tc>
      </w:tr>
      <w:tr w:rsidR="00AE4E7E" w:rsidRPr="00D6174D" w14:paraId="2F1A263F" w14:textId="77777777" w:rsidTr="00AE4E7E">
        <w:trPr>
          <w:trHeight w:val="20"/>
          <w:jc w:val="center"/>
        </w:trPr>
        <w:tc>
          <w:tcPr>
            <w:tcW w:w="1165" w:type="dxa"/>
            <w:vMerge/>
            <w:tcBorders>
              <w:top w:val="nil"/>
              <w:left w:val="single" w:sz="4" w:space="0" w:color="auto"/>
              <w:bottom w:val="single" w:sz="4" w:space="0" w:color="auto"/>
              <w:right w:val="nil"/>
            </w:tcBorders>
            <w:vAlign w:val="center"/>
            <w:hideMark/>
          </w:tcPr>
          <w:p w14:paraId="326CC295" w14:textId="77777777" w:rsidR="00AE4E7E" w:rsidRPr="00D6174D" w:rsidRDefault="00AE4E7E" w:rsidP="00AE4E7E">
            <w:pPr>
              <w:keepNext/>
              <w:rPr>
                <w:rFonts w:ascii="Arial" w:hAnsi="Arial" w:cs="Arial"/>
                <w:b/>
                <w:bCs/>
                <w:color w:val="000000"/>
                <w:sz w:val="20"/>
                <w:szCs w:val="20"/>
              </w:rPr>
            </w:pPr>
          </w:p>
        </w:tc>
        <w:tc>
          <w:tcPr>
            <w:tcW w:w="2165" w:type="dxa"/>
            <w:tcBorders>
              <w:top w:val="nil"/>
              <w:left w:val="single" w:sz="4" w:space="0" w:color="auto"/>
              <w:bottom w:val="single" w:sz="4" w:space="0" w:color="auto"/>
              <w:right w:val="single" w:sz="4" w:space="0" w:color="auto"/>
            </w:tcBorders>
            <w:shd w:val="clear" w:color="000000" w:fill="FFFFFF"/>
            <w:vAlign w:val="center"/>
            <w:hideMark/>
          </w:tcPr>
          <w:p w14:paraId="11719D2E" w14:textId="2983CC36" w:rsidR="00AE4E7E" w:rsidRPr="00D6174D" w:rsidRDefault="00AE4E7E" w:rsidP="00AE4E7E">
            <w:pPr>
              <w:keepNext/>
              <w:rPr>
                <w:rFonts w:ascii="Arial" w:hAnsi="Arial" w:cs="Arial"/>
                <w:color w:val="000000"/>
                <w:sz w:val="20"/>
                <w:szCs w:val="20"/>
              </w:rPr>
            </w:pPr>
            <w:r w:rsidRPr="00D6174D">
              <w:rPr>
                <w:rFonts w:ascii="Arial" w:hAnsi="Arial" w:cs="Arial"/>
                <w:color w:val="000000"/>
                <w:sz w:val="20"/>
                <w:szCs w:val="20"/>
              </w:rPr>
              <w:t>Load Impact (MW</w:t>
            </w:r>
            <w:r>
              <w:rPr>
                <w:rFonts w:ascii="Arial" w:hAnsi="Arial" w:cs="Arial"/>
                <w:color w:val="000000"/>
                <w:sz w:val="20"/>
                <w:szCs w:val="20"/>
              </w:rPr>
              <w:t>h/h</w:t>
            </w:r>
            <w:r w:rsidRPr="00D6174D">
              <w:rPr>
                <w:rFonts w:ascii="Arial" w:hAnsi="Arial" w:cs="Arial"/>
                <w:color w:val="000000"/>
                <w:sz w:val="20"/>
                <w:szCs w:val="20"/>
              </w:rPr>
              <w:t>)</w:t>
            </w:r>
          </w:p>
        </w:tc>
        <w:tc>
          <w:tcPr>
            <w:tcW w:w="1855" w:type="dxa"/>
            <w:tcBorders>
              <w:top w:val="nil"/>
              <w:left w:val="nil"/>
              <w:bottom w:val="single" w:sz="4" w:space="0" w:color="auto"/>
              <w:right w:val="single" w:sz="4" w:space="0" w:color="auto"/>
            </w:tcBorders>
            <w:shd w:val="clear" w:color="000000" w:fill="FFFFFF"/>
            <w:vAlign w:val="center"/>
            <w:hideMark/>
          </w:tcPr>
          <w:p w14:paraId="4EA7B963" w14:textId="77777777" w:rsidR="00AE4E7E" w:rsidRPr="00D6174D" w:rsidRDefault="00AE4E7E" w:rsidP="00AE4E7E">
            <w:pPr>
              <w:keepNext/>
              <w:jc w:val="center"/>
              <w:rPr>
                <w:rFonts w:ascii="Arial" w:hAnsi="Arial" w:cs="Arial"/>
                <w:color w:val="000000"/>
                <w:sz w:val="20"/>
                <w:szCs w:val="20"/>
              </w:rPr>
            </w:pPr>
            <w:r w:rsidRPr="00D6174D">
              <w:rPr>
                <w:rFonts w:ascii="Arial" w:hAnsi="Arial" w:cs="Arial"/>
                <w:color w:val="000000"/>
                <w:sz w:val="20"/>
                <w:szCs w:val="20"/>
              </w:rPr>
              <w:t>669.5</w:t>
            </w:r>
          </w:p>
        </w:tc>
        <w:tc>
          <w:tcPr>
            <w:tcW w:w="1900" w:type="dxa"/>
            <w:tcBorders>
              <w:top w:val="nil"/>
              <w:left w:val="nil"/>
              <w:bottom w:val="single" w:sz="4" w:space="0" w:color="auto"/>
              <w:right w:val="single" w:sz="4" w:space="0" w:color="auto"/>
            </w:tcBorders>
            <w:shd w:val="clear" w:color="000000" w:fill="FFFFFF"/>
            <w:vAlign w:val="center"/>
            <w:hideMark/>
          </w:tcPr>
          <w:p w14:paraId="137FF657" w14:textId="15CDED56" w:rsidR="00AE4E7E" w:rsidRPr="00D6174D" w:rsidRDefault="00AE4E7E" w:rsidP="00AE4E7E">
            <w:pPr>
              <w:keepNext/>
              <w:jc w:val="center"/>
              <w:rPr>
                <w:rFonts w:ascii="Arial" w:hAnsi="Arial" w:cs="Arial"/>
                <w:color w:val="000000"/>
                <w:sz w:val="20"/>
                <w:szCs w:val="20"/>
              </w:rPr>
            </w:pPr>
            <w:r>
              <w:rPr>
                <w:rFonts w:ascii="Arial" w:hAnsi="Arial" w:cs="Arial"/>
                <w:color w:val="000000"/>
                <w:sz w:val="20"/>
                <w:szCs w:val="20"/>
              </w:rPr>
              <w:t>614.7</w:t>
            </w:r>
          </w:p>
        </w:tc>
      </w:tr>
      <w:tr w:rsidR="00AE4E7E" w:rsidRPr="00D6174D" w14:paraId="05356482" w14:textId="77777777" w:rsidTr="00AE4E7E">
        <w:trPr>
          <w:trHeight w:val="20"/>
          <w:jc w:val="center"/>
        </w:trPr>
        <w:tc>
          <w:tcPr>
            <w:tcW w:w="1165" w:type="dxa"/>
            <w:vMerge w:val="restart"/>
            <w:tcBorders>
              <w:top w:val="nil"/>
              <w:left w:val="single" w:sz="4" w:space="0" w:color="auto"/>
              <w:bottom w:val="single" w:sz="4" w:space="0" w:color="auto"/>
              <w:right w:val="nil"/>
            </w:tcBorders>
            <w:shd w:val="clear" w:color="auto" w:fill="auto"/>
            <w:vAlign w:val="center"/>
            <w:hideMark/>
          </w:tcPr>
          <w:p w14:paraId="193A1309" w14:textId="002DC529" w:rsidR="00AE4E7E" w:rsidRPr="00D6174D" w:rsidRDefault="00AE4E7E" w:rsidP="00AE4E7E">
            <w:pPr>
              <w:keepNext/>
              <w:rPr>
                <w:rFonts w:ascii="Arial" w:hAnsi="Arial" w:cs="Arial"/>
                <w:b/>
                <w:bCs/>
                <w:color w:val="000000"/>
                <w:sz w:val="20"/>
                <w:szCs w:val="20"/>
              </w:rPr>
            </w:pPr>
            <w:r w:rsidRPr="00D6174D">
              <w:rPr>
                <w:rFonts w:ascii="Arial" w:hAnsi="Arial" w:cs="Arial"/>
                <w:b/>
                <w:bCs/>
                <w:color w:val="000000"/>
                <w:sz w:val="20"/>
                <w:szCs w:val="20"/>
              </w:rPr>
              <w:t xml:space="preserve">Per </w:t>
            </w:r>
            <w:r w:rsidR="00DF5A48">
              <w:rPr>
                <w:rFonts w:ascii="Arial" w:hAnsi="Arial" w:cs="Arial"/>
                <w:b/>
                <w:bCs/>
                <w:color w:val="000000"/>
                <w:sz w:val="20"/>
                <w:szCs w:val="20"/>
              </w:rPr>
              <w:t>C</w:t>
            </w:r>
            <w:r w:rsidR="00DF5A48">
              <w:rPr>
                <w:rFonts w:ascii="Arial" w:hAnsi="Arial" w:cs="Arial"/>
                <w:color w:val="000000"/>
                <w:sz w:val="20"/>
                <w:szCs w:val="20"/>
              </w:rPr>
              <w:t>ustomer</w:t>
            </w:r>
          </w:p>
        </w:tc>
        <w:tc>
          <w:tcPr>
            <w:tcW w:w="2165" w:type="dxa"/>
            <w:tcBorders>
              <w:top w:val="nil"/>
              <w:left w:val="single" w:sz="4" w:space="0" w:color="auto"/>
              <w:bottom w:val="nil"/>
              <w:right w:val="single" w:sz="4" w:space="0" w:color="auto"/>
            </w:tcBorders>
            <w:shd w:val="clear" w:color="000000" w:fill="FFFFFF"/>
            <w:vAlign w:val="center"/>
            <w:hideMark/>
          </w:tcPr>
          <w:p w14:paraId="63F8F312" w14:textId="57134147" w:rsidR="00AE4E7E" w:rsidRPr="00D6174D" w:rsidRDefault="00AE4E7E" w:rsidP="00AE4E7E">
            <w:pPr>
              <w:keepNext/>
              <w:rPr>
                <w:rFonts w:ascii="Arial" w:hAnsi="Arial" w:cs="Arial"/>
                <w:color w:val="000000"/>
                <w:sz w:val="20"/>
                <w:szCs w:val="20"/>
              </w:rPr>
            </w:pPr>
            <w:r w:rsidRPr="00D6174D">
              <w:rPr>
                <w:rFonts w:ascii="Arial" w:hAnsi="Arial" w:cs="Arial"/>
                <w:color w:val="000000"/>
                <w:sz w:val="20"/>
                <w:szCs w:val="20"/>
              </w:rPr>
              <w:t>Reference (kW</w:t>
            </w:r>
            <w:r>
              <w:rPr>
                <w:rFonts w:ascii="Arial" w:hAnsi="Arial" w:cs="Arial"/>
                <w:color w:val="000000"/>
                <w:sz w:val="20"/>
                <w:szCs w:val="20"/>
              </w:rPr>
              <w:t>h/h</w:t>
            </w:r>
            <w:r w:rsidRPr="00D6174D">
              <w:rPr>
                <w:rFonts w:ascii="Arial" w:hAnsi="Arial" w:cs="Arial"/>
                <w:color w:val="000000"/>
                <w:sz w:val="20"/>
                <w:szCs w:val="20"/>
              </w:rPr>
              <w:t>)</w:t>
            </w:r>
          </w:p>
        </w:tc>
        <w:tc>
          <w:tcPr>
            <w:tcW w:w="1855" w:type="dxa"/>
            <w:tcBorders>
              <w:top w:val="nil"/>
              <w:left w:val="nil"/>
              <w:bottom w:val="nil"/>
              <w:right w:val="single" w:sz="4" w:space="0" w:color="auto"/>
            </w:tcBorders>
            <w:shd w:val="clear" w:color="000000" w:fill="FFFFFF"/>
            <w:vAlign w:val="center"/>
            <w:hideMark/>
          </w:tcPr>
          <w:p w14:paraId="6091D939" w14:textId="77777777" w:rsidR="00AE4E7E" w:rsidRPr="00D6174D" w:rsidRDefault="00AE4E7E" w:rsidP="00AE4E7E">
            <w:pPr>
              <w:keepNext/>
              <w:jc w:val="center"/>
              <w:rPr>
                <w:rFonts w:ascii="Arial" w:hAnsi="Arial" w:cs="Arial"/>
                <w:color w:val="000000"/>
                <w:sz w:val="20"/>
                <w:szCs w:val="20"/>
              </w:rPr>
            </w:pPr>
            <w:r w:rsidRPr="00D6174D">
              <w:rPr>
                <w:rFonts w:ascii="Arial" w:hAnsi="Arial" w:cs="Arial"/>
                <w:color w:val="000000"/>
                <w:sz w:val="20"/>
                <w:szCs w:val="20"/>
              </w:rPr>
              <w:t>1,353.2</w:t>
            </w:r>
          </w:p>
        </w:tc>
        <w:tc>
          <w:tcPr>
            <w:tcW w:w="1900" w:type="dxa"/>
            <w:tcBorders>
              <w:top w:val="nil"/>
              <w:left w:val="nil"/>
              <w:bottom w:val="nil"/>
              <w:right w:val="single" w:sz="4" w:space="0" w:color="auto"/>
            </w:tcBorders>
            <w:shd w:val="clear" w:color="000000" w:fill="FFFFFF"/>
            <w:vAlign w:val="center"/>
            <w:hideMark/>
          </w:tcPr>
          <w:p w14:paraId="564737D2" w14:textId="3D764871" w:rsidR="00AE4E7E" w:rsidRPr="00D6174D" w:rsidRDefault="00AE4E7E" w:rsidP="00AE4E7E">
            <w:pPr>
              <w:keepNext/>
              <w:jc w:val="center"/>
              <w:rPr>
                <w:rFonts w:ascii="Arial" w:hAnsi="Arial" w:cs="Arial"/>
                <w:color w:val="000000"/>
                <w:sz w:val="20"/>
                <w:szCs w:val="20"/>
              </w:rPr>
            </w:pPr>
            <w:r>
              <w:rPr>
                <w:rFonts w:ascii="Arial" w:hAnsi="Arial" w:cs="Arial"/>
                <w:color w:val="000000"/>
                <w:sz w:val="20"/>
                <w:szCs w:val="20"/>
              </w:rPr>
              <w:t>1,382.6</w:t>
            </w:r>
          </w:p>
        </w:tc>
      </w:tr>
      <w:tr w:rsidR="00AE4E7E" w:rsidRPr="00D6174D" w14:paraId="4CAE8D41" w14:textId="77777777" w:rsidTr="00AE4E7E">
        <w:trPr>
          <w:trHeight w:val="20"/>
          <w:jc w:val="center"/>
        </w:trPr>
        <w:tc>
          <w:tcPr>
            <w:tcW w:w="1165" w:type="dxa"/>
            <w:vMerge/>
            <w:tcBorders>
              <w:top w:val="nil"/>
              <w:left w:val="single" w:sz="4" w:space="0" w:color="auto"/>
              <w:bottom w:val="single" w:sz="4" w:space="0" w:color="auto"/>
              <w:right w:val="nil"/>
            </w:tcBorders>
            <w:vAlign w:val="center"/>
            <w:hideMark/>
          </w:tcPr>
          <w:p w14:paraId="6C5D944F" w14:textId="77777777" w:rsidR="00AE4E7E" w:rsidRPr="00D6174D" w:rsidRDefault="00AE4E7E" w:rsidP="00AE4E7E">
            <w:pPr>
              <w:keepNext/>
              <w:rPr>
                <w:rFonts w:ascii="Arial" w:hAnsi="Arial" w:cs="Arial"/>
                <w:b/>
                <w:bCs/>
                <w:color w:val="000000"/>
                <w:sz w:val="20"/>
                <w:szCs w:val="20"/>
              </w:rPr>
            </w:pPr>
          </w:p>
        </w:tc>
        <w:tc>
          <w:tcPr>
            <w:tcW w:w="2165" w:type="dxa"/>
            <w:tcBorders>
              <w:top w:val="nil"/>
              <w:left w:val="single" w:sz="4" w:space="0" w:color="auto"/>
              <w:bottom w:val="nil"/>
              <w:right w:val="single" w:sz="4" w:space="0" w:color="auto"/>
            </w:tcBorders>
            <w:shd w:val="clear" w:color="000000" w:fill="FFFFFF"/>
            <w:vAlign w:val="center"/>
            <w:hideMark/>
          </w:tcPr>
          <w:p w14:paraId="5D0F86AB" w14:textId="3EFD5AEC" w:rsidR="00AE4E7E" w:rsidRPr="00D6174D" w:rsidRDefault="00AE4E7E" w:rsidP="00AE4E7E">
            <w:pPr>
              <w:keepNext/>
              <w:rPr>
                <w:rFonts w:ascii="Arial" w:hAnsi="Arial" w:cs="Arial"/>
                <w:color w:val="000000"/>
                <w:sz w:val="20"/>
                <w:szCs w:val="20"/>
              </w:rPr>
            </w:pPr>
            <w:r w:rsidRPr="00D6174D">
              <w:rPr>
                <w:rFonts w:ascii="Arial" w:hAnsi="Arial" w:cs="Arial"/>
                <w:color w:val="000000"/>
                <w:sz w:val="20"/>
                <w:szCs w:val="20"/>
              </w:rPr>
              <w:t>Load Impact (kW</w:t>
            </w:r>
            <w:r>
              <w:rPr>
                <w:rFonts w:ascii="Arial" w:hAnsi="Arial" w:cs="Arial"/>
                <w:color w:val="000000"/>
                <w:sz w:val="20"/>
                <w:szCs w:val="20"/>
              </w:rPr>
              <w:t>h/h</w:t>
            </w:r>
            <w:r w:rsidRPr="00D6174D">
              <w:rPr>
                <w:rFonts w:ascii="Arial" w:hAnsi="Arial" w:cs="Arial"/>
                <w:color w:val="000000"/>
                <w:sz w:val="20"/>
                <w:szCs w:val="20"/>
              </w:rPr>
              <w:t>)</w:t>
            </w:r>
          </w:p>
        </w:tc>
        <w:tc>
          <w:tcPr>
            <w:tcW w:w="1855" w:type="dxa"/>
            <w:tcBorders>
              <w:top w:val="nil"/>
              <w:left w:val="nil"/>
              <w:bottom w:val="nil"/>
              <w:right w:val="single" w:sz="4" w:space="0" w:color="auto"/>
            </w:tcBorders>
            <w:shd w:val="clear" w:color="000000" w:fill="FFFFFF"/>
            <w:vAlign w:val="center"/>
            <w:hideMark/>
          </w:tcPr>
          <w:p w14:paraId="37AE4495" w14:textId="77777777" w:rsidR="00AE4E7E" w:rsidRPr="00D6174D" w:rsidRDefault="00AE4E7E" w:rsidP="00AE4E7E">
            <w:pPr>
              <w:keepNext/>
              <w:jc w:val="center"/>
              <w:rPr>
                <w:rFonts w:ascii="Arial" w:hAnsi="Arial" w:cs="Arial"/>
                <w:color w:val="000000"/>
                <w:sz w:val="20"/>
                <w:szCs w:val="20"/>
              </w:rPr>
            </w:pPr>
            <w:r w:rsidRPr="00D6174D">
              <w:rPr>
                <w:rFonts w:ascii="Arial" w:hAnsi="Arial" w:cs="Arial"/>
                <w:color w:val="000000"/>
                <w:sz w:val="20"/>
                <w:szCs w:val="20"/>
              </w:rPr>
              <w:t>1,062.7</w:t>
            </w:r>
          </w:p>
        </w:tc>
        <w:tc>
          <w:tcPr>
            <w:tcW w:w="1900" w:type="dxa"/>
            <w:tcBorders>
              <w:top w:val="nil"/>
              <w:left w:val="nil"/>
              <w:bottom w:val="nil"/>
              <w:right w:val="single" w:sz="4" w:space="0" w:color="auto"/>
            </w:tcBorders>
            <w:shd w:val="clear" w:color="000000" w:fill="FFFFFF"/>
            <w:vAlign w:val="center"/>
            <w:hideMark/>
          </w:tcPr>
          <w:p w14:paraId="3389E8A3" w14:textId="2D107401" w:rsidR="00AE4E7E" w:rsidRPr="00D6174D" w:rsidRDefault="00AE4E7E" w:rsidP="00AE4E7E">
            <w:pPr>
              <w:keepNext/>
              <w:jc w:val="center"/>
              <w:rPr>
                <w:rFonts w:ascii="Arial" w:hAnsi="Arial" w:cs="Arial"/>
                <w:color w:val="000000"/>
                <w:sz w:val="20"/>
                <w:szCs w:val="20"/>
              </w:rPr>
            </w:pPr>
            <w:r>
              <w:rPr>
                <w:rFonts w:ascii="Arial" w:hAnsi="Arial" w:cs="Arial"/>
                <w:color w:val="000000"/>
                <w:sz w:val="20"/>
                <w:szCs w:val="20"/>
              </w:rPr>
              <w:t>1,076.5</w:t>
            </w:r>
          </w:p>
        </w:tc>
      </w:tr>
      <w:tr w:rsidR="00AE4E7E" w:rsidRPr="00D6174D" w14:paraId="0BF2674A" w14:textId="77777777" w:rsidTr="00AE4E7E">
        <w:trPr>
          <w:trHeight w:val="20"/>
          <w:jc w:val="center"/>
        </w:trPr>
        <w:tc>
          <w:tcPr>
            <w:tcW w:w="1165" w:type="dxa"/>
            <w:vMerge/>
            <w:tcBorders>
              <w:top w:val="nil"/>
              <w:left w:val="single" w:sz="4" w:space="0" w:color="auto"/>
              <w:bottom w:val="single" w:sz="4" w:space="0" w:color="auto"/>
              <w:right w:val="nil"/>
            </w:tcBorders>
            <w:vAlign w:val="center"/>
            <w:hideMark/>
          </w:tcPr>
          <w:p w14:paraId="5F6DE0DC" w14:textId="77777777" w:rsidR="00AE4E7E" w:rsidRPr="00D6174D" w:rsidRDefault="00AE4E7E" w:rsidP="00AE4E7E">
            <w:pPr>
              <w:keepNext/>
              <w:rPr>
                <w:rFonts w:ascii="Arial" w:hAnsi="Arial" w:cs="Arial"/>
                <w:b/>
                <w:bCs/>
                <w:color w:val="000000"/>
                <w:sz w:val="20"/>
                <w:szCs w:val="20"/>
              </w:rPr>
            </w:pPr>
          </w:p>
        </w:tc>
        <w:tc>
          <w:tcPr>
            <w:tcW w:w="2165" w:type="dxa"/>
            <w:tcBorders>
              <w:top w:val="nil"/>
              <w:left w:val="single" w:sz="4" w:space="0" w:color="auto"/>
              <w:bottom w:val="single" w:sz="4" w:space="0" w:color="auto"/>
              <w:right w:val="single" w:sz="4" w:space="0" w:color="auto"/>
            </w:tcBorders>
            <w:shd w:val="clear" w:color="000000" w:fill="FFFFFF"/>
            <w:vAlign w:val="center"/>
            <w:hideMark/>
          </w:tcPr>
          <w:p w14:paraId="1558477E" w14:textId="77777777" w:rsidR="00AE4E7E" w:rsidRPr="00D6174D" w:rsidRDefault="00AE4E7E" w:rsidP="00AE4E7E">
            <w:pPr>
              <w:keepNext/>
              <w:rPr>
                <w:rFonts w:ascii="Arial" w:hAnsi="Arial" w:cs="Arial"/>
                <w:color w:val="000000"/>
                <w:sz w:val="20"/>
                <w:szCs w:val="20"/>
              </w:rPr>
            </w:pPr>
            <w:r w:rsidRPr="00D6174D">
              <w:rPr>
                <w:rFonts w:ascii="Arial" w:hAnsi="Arial" w:cs="Arial"/>
                <w:color w:val="000000"/>
                <w:sz w:val="20"/>
                <w:szCs w:val="20"/>
              </w:rPr>
              <w:t>% Load Impact</w:t>
            </w:r>
          </w:p>
        </w:tc>
        <w:tc>
          <w:tcPr>
            <w:tcW w:w="1855" w:type="dxa"/>
            <w:tcBorders>
              <w:top w:val="nil"/>
              <w:left w:val="nil"/>
              <w:bottom w:val="single" w:sz="4" w:space="0" w:color="auto"/>
              <w:right w:val="single" w:sz="4" w:space="0" w:color="auto"/>
            </w:tcBorders>
            <w:shd w:val="clear" w:color="000000" w:fill="FFFFFF"/>
            <w:vAlign w:val="center"/>
            <w:hideMark/>
          </w:tcPr>
          <w:p w14:paraId="76BB7201" w14:textId="56B40FFF" w:rsidR="00AE4E7E" w:rsidRPr="00D6174D" w:rsidRDefault="00AE4E7E" w:rsidP="00AE4E7E">
            <w:pPr>
              <w:keepNext/>
              <w:jc w:val="center"/>
              <w:rPr>
                <w:rFonts w:ascii="Arial" w:hAnsi="Arial" w:cs="Arial"/>
                <w:color w:val="000000"/>
                <w:sz w:val="20"/>
                <w:szCs w:val="20"/>
              </w:rPr>
            </w:pPr>
            <w:r w:rsidRPr="00D6174D">
              <w:rPr>
                <w:rFonts w:ascii="Arial" w:hAnsi="Arial" w:cs="Arial"/>
                <w:color w:val="000000"/>
                <w:sz w:val="20"/>
                <w:szCs w:val="20"/>
              </w:rPr>
              <w:t>78.5%</w:t>
            </w:r>
          </w:p>
        </w:tc>
        <w:tc>
          <w:tcPr>
            <w:tcW w:w="1900" w:type="dxa"/>
            <w:tcBorders>
              <w:top w:val="nil"/>
              <w:left w:val="nil"/>
              <w:bottom w:val="single" w:sz="4" w:space="0" w:color="auto"/>
              <w:right w:val="single" w:sz="4" w:space="0" w:color="auto"/>
            </w:tcBorders>
            <w:shd w:val="clear" w:color="000000" w:fill="FFFFFF"/>
            <w:vAlign w:val="center"/>
            <w:hideMark/>
          </w:tcPr>
          <w:p w14:paraId="10118A46" w14:textId="6BDEE44A" w:rsidR="00AE4E7E" w:rsidRPr="00D6174D" w:rsidRDefault="00AE4E7E" w:rsidP="00AE4E7E">
            <w:pPr>
              <w:keepNext/>
              <w:jc w:val="center"/>
              <w:rPr>
                <w:rFonts w:ascii="Arial" w:hAnsi="Arial" w:cs="Arial"/>
                <w:color w:val="000000"/>
                <w:sz w:val="20"/>
                <w:szCs w:val="20"/>
              </w:rPr>
            </w:pPr>
            <w:r>
              <w:rPr>
                <w:rFonts w:ascii="Arial" w:hAnsi="Arial" w:cs="Arial"/>
                <w:color w:val="000000"/>
                <w:sz w:val="20"/>
                <w:szCs w:val="20"/>
              </w:rPr>
              <w:t>77.9%</w:t>
            </w:r>
          </w:p>
        </w:tc>
      </w:tr>
    </w:tbl>
    <w:p w14:paraId="6646D569" w14:textId="77777777" w:rsidR="00D6174D" w:rsidRDefault="00D6174D" w:rsidP="00D6174D">
      <w:pPr>
        <w:pStyle w:val="TableCaption"/>
        <w:keepNext/>
        <w:keepLines/>
      </w:pPr>
    </w:p>
    <w:p w14:paraId="194AE264" w14:textId="6A8B8F1A" w:rsidR="00DA4753" w:rsidRDefault="00DA4753" w:rsidP="00DA4753">
      <w:pPr>
        <w:pStyle w:val="Heading3"/>
      </w:pPr>
      <w:bookmarkStart w:id="236" w:name="_Toc383597960"/>
      <w:bookmarkStart w:id="237" w:name="_Toc510091139"/>
      <w:r>
        <w:t xml:space="preserve">6.2.4 Current </w:t>
      </w:r>
      <w:r w:rsidRPr="000F1678">
        <w:rPr>
          <w:i/>
        </w:rPr>
        <w:t>ex</w:t>
      </w:r>
      <w:r w:rsidR="000F1678" w:rsidRPr="000F1678">
        <w:rPr>
          <w:i/>
        </w:rPr>
        <w:t>-</w:t>
      </w:r>
      <w:r w:rsidRPr="000F1678">
        <w:rPr>
          <w:i/>
        </w:rPr>
        <w:t>post</w:t>
      </w:r>
      <w:r>
        <w:t xml:space="preserve"> versus current </w:t>
      </w:r>
      <w:r w:rsidRPr="000F1678">
        <w:rPr>
          <w:i/>
        </w:rPr>
        <w:t>ex</w:t>
      </w:r>
      <w:r w:rsidR="000F1678" w:rsidRPr="000F1678">
        <w:rPr>
          <w:i/>
        </w:rPr>
        <w:t>-</w:t>
      </w:r>
      <w:r w:rsidRPr="000F1678">
        <w:rPr>
          <w:i/>
        </w:rPr>
        <w:t>ante</w:t>
      </w:r>
      <w:bookmarkEnd w:id="236"/>
      <w:bookmarkEnd w:id="237"/>
    </w:p>
    <w:p w14:paraId="0C2C5BD7" w14:textId="2E822D2E" w:rsidR="00EE304D" w:rsidRDefault="00EE304D" w:rsidP="00DA4753">
      <w:r>
        <w:t>Table 6.</w:t>
      </w:r>
      <w:r w:rsidR="00372CA5">
        <w:t>9</w:t>
      </w:r>
      <w:r>
        <w:t xml:space="preserve"> compares the </w:t>
      </w:r>
      <w:r w:rsidRPr="00F80E73">
        <w:rPr>
          <w:i/>
        </w:rPr>
        <w:t>ex</w:t>
      </w:r>
      <w:r w:rsidR="00F80E73" w:rsidRPr="00F80E73">
        <w:rPr>
          <w:i/>
        </w:rPr>
        <w:t>-</w:t>
      </w:r>
      <w:r w:rsidRPr="00F80E73">
        <w:rPr>
          <w:i/>
        </w:rPr>
        <w:t>post</w:t>
      </w:r>
      <w:r>
        <w:t xml:space="preserve"> and </w:t>
      </w:r>
      <w:r w:rsidRPr="00F80E73">
        <w:rPr>
          <w:i/>
        </w:rPr>
        <w:t>ex</w:t>
      </w:r>
      <w:r w:rsidR="00F80E73" w:rsidRPr="00F80E73">
        <w:rPr>
          <w:i/>
        </w:rPr>
        <w:t>-</w:t>
      </w:r>
      <w:r w:rsidRPr="00F80E73">
        <w:rPr>
          <w:i/>
        </w:rPr>
        <w:t>ante</w:t>
      </w:r>
      <w:r>
        <w:t xml:space="preserve"> load impacts from this </w:t>
      </w:r>
      <w:r w:rsidR="006E7224">
        <w:t xml:space="preserve">study, where the </w:t>
      </w:r>
      <w:r w:rsidR="006E7224" w:rsidRPr="00F80E73">
        <w:rPr>
          <w:i/>
        </w:rPr>
        <w:t>ex</w:t>
      </w:r>
      <w:r w:rsidR="00F80E73" w:rsidRPr="00F80E73">
        <w:rPr>
          <w:i/>
        </w:rPr>
        <w:t>-</w:t>
      </w:r>
      <w:r w:rsidR="006E7224" w:rsidRPr="00F80E73">
        <w:rPr>
          <w:i/>
        </w:rPr>
        <w:t>post</w:t>
      </w:r>
      <w:r w:rsidR="006E7224">
        <w:t xml:space="preserve"> impact</w:t>
      </w:r>
      <w:r w:rsidR="00F80E73">
        <w:t>s</w:t>
      </w:r>
      <w:r>
        <w:t xml:space="preserve"> are based on the sole event day (</w:t>
      </w:r>
      <w:r w:rsidR="00090C1B">
        <w:t>May 3, 2017</w:t>
      </w:r>
      <w:r>
        <w:t xml:space="preserve">) and </w:t>
      </w:r>
      <w:r w:rsidR="00F80E73">
        <w:t xml:space="preserve">the </w:t>
      </w:r>
      <w:r w:rsidR="00F80E73" w:rsidRPr="00F80E73">
        <w:rPr>
          <w:i/>
        </w:rPr>
        <w:t>ex-a</w:t>
      </w:r>
      <w:r w:rsidR="006E7224" w:rsidRPr="00F80E73">
        <w:rPr>
          <w:i/>
        </w:rPr>
        <w:t>nte</w:t>
      </w:r>
      <w:r w:rsidR="006E7224">
        <w:t xml:space="preserve"> load impact</w:t>
      </w:r>
      <w:r>
        <w:t xml:space="preserve"> </w:t>
      </w:r>
      <w:r w:rsidR="005A62CA">
        <w:t>represents</w:t>
      </w:r>
      <w:r w:rsidR="006E7224">
        <w:t xml:space="preserve"> the </w:t>
      </w:r>
      <w:r w:rsidR="00090C1B">
        <w:t>2018</w:t>
      </w:r>
      <w:r>
        <w:t xml:space="preserve"> typical event day in a utility-specific 1-in-2 weather year.</w:t>
      </w:r>
    </w:p>
    <w:p w14:paraId="4BACA615" w14:textId="0C301993" w:rsidR="00EE304D" w:rsidRDefault="00EE304D" w:rsidP="00DA4753"/>
    <w:p w14:paraId="2C51E589" w14:textId="4B9700E1" w:rsidR="00072D51" w:rsidRPr="00677951" w:rsidRDefault="00072D51" w:rsidP="00DA4753">
      <w:r>
        <w:t>The</w:t>
      </w:r>
      <w:r w:rsidR="00AE4E7E">
        <w:t xml:space="preserve"> forecast calls for a </w:t>
      </w:r>
      <w:r>
        <w:t>slight decrease in the number of enrollments</w:t>
      </w:r>
      <w:r w:rsidR="00AE4E7E">
        <w:t xml:space="preserve">, but a small increase in reference loads and load impacts. This is due to </w:t>
      </w:r>
      <w:r>
        <w:t>larger customers remain</w:t>
      </w:r>
      <w:r w:rsidR="00AE4E7E">
        <w:t>ing</w:t>
      </w:r>
      <w:r>
        <w:t xml:space="preserve"> on the program </w:t>
      </w:r>
      <w:r w:rsidR="00AE4E7E">
        <w:t xml:space="preserve">(and perhaps </w:t>
      </w:r>
      <w:r>
        <w:t xml:space="preserve">hotter temperatures during the </w:t>
      </w:r>
      <w:r>
        <w:rPr>
          <w:i/>
        </w:rPr>
        <w:t>ex-ante</w:t>
      </w:r>
      <w:r>
        <w:t xml:space="preserve"> forecast </w:t>
      </w:r>
      <w:r w:rsidR="00AE4E7E">
        <w:t>period, though most customers are not weather sensitive)</w:t>
      </w:r>
      <w:r>
        <w:t xml:space="preserve">. </w:t>
      </w:r>
    </w:p>
    <w:p w14:paraId="24899885" w14:textId="77777777" w:rsidR="00EE304D" w:rsidRDefault="00EE304D" w:rsidP="00EE304D"/>
    <w:p w14:paraId="1E6F7EBC" w14:textId="53304CF4" w:rsidR="00EE304D" w:rsidRDefault="00EE304D" w:rsidP="00800B3A">
      <w:pPr>
        <w:pStyle w:val="TableCaption"/>
        <w:keepNext/>
        <w:keepLines/>
        <w:rPr>
          <w:i/>
        </w:rPr>
      </w:pPr>
      <w:bookmarkStart w:id="238" w:name="_Toc508800240"/>
      <w:r w:rsidRPr="00376F46">
        <w:t xml:space="preserve">Table </w:t>
      </w:r>
      <w:r>
        <w:t>6</w:t>
      </w:r>
      <w:r w:rsidRPr="00376F46">
        <w:t>.</w:t>
      </w:r>
      <w:r w:rsidR="00372CA5">
        <w:t>9</w:t>
      </w:r>
      <w:r w:rsidR="007030CD">
        <w:t>:</w:t>
      </w:r>
      <w:r w:rsidRPr="00376F46">
        <w:t xml:space="preserve"> Comparison of </w:t>
      </w:r>
      <w:r w:rsidR="006E7224">
        <w:t xml:space="preserve">Current </w:t>
      </w:r>
      <w:r w:rsidR="006E7224" w:rsidRPr="005A62CA">
        <w:rPr>
          <w:i/>
        </w:rPr>
        <w:t>Ex-</w:t>
      </w:r>
      <w:r w:rsidR="005A62CA" w:rsidRPr="005A62CA">
        <w:rPr>
          <w:i/>
        </w:rPr>
        <w:t>p</w:t>
      </w:r>
      <w:r w:rsidR="006E7224" w:rsidRPr="005A62CA">
        <w:rPr>
          <w:i/>
        </w:rPr>
        <w:t>ost</w:t>
      </w:r>
      <w:r w:rsidR="006E7224">
        <w:t xml:space="preserve"> and Current </w:t>
      </w:r>
      <w:r w:rsidR="006E7224" w:rsidRPr="005A62CA">
        <w:rPr>
          <w:i/>
        </w:rPr>
        <w:t>Ex-</w:t>
      </w:r>
      <w:r w:rsidR="005A62CA" w:rsidRPr="005A62CA">
        <w:rPr>
          <w:i/>
        </w:rPr>
        <w:t>a</w:t>
      </w:r>
      <w:r w:rsidRPr="005A62CA">
        <w:rPr>
          <w:i/>
        </w:rPr>
        <w:t>nte</w:t>
      </w:r>
      <w:r>
        <w:t xml:space="preserve"> </w:t>
      </w:r>
      <w:r w:rsidRPr="00376F46">
        <w:t>Impacts</w:t>
      </w:r>
      <w:r>
        <w:t>,</w:t>
      </w:r>
      <w:r w:rsidRPr="00376F46">
        <w:t xml:space="preserve"> </w:t>
      </w:r>
      <w:r>
        <w:rPr>
          <w:i/>
        </w:rPr>
        <w:t>SCE</w:t>
      </w:r>
      <w:bookmarkEnd w:id="238"/>
    </w:p>
    <w:tbl>
      <w:tblPr>
        <w:tblW w:w="7963" w:type="dxa"/>
        <w:jc w:val="center"/>
        <w:tblLook w:val="04A0" w:firstRow="1" w:lastRow="0" w:firstColumn="1" w:lastColumn="0" w:noHBand="0" w:noVBand="1"/>
      </w:tblPr>
      <w:tblGrid>
        <w:gridCol w:w="1223"/>
        <w:gridCol w:w="2262"/>
        <w:gridCol w:w="2285"/>
        <w:gridCol w:w="2193"/>
      </w:tblGrid>
      <w:tr w:rsidR="00800B3A" w:rsidRPr="00800B3A" w14:paraId="0581B9B9" w14:textId="77777777" w:rsidTr="006B55F6">
        <w:trPr>
          <w:trHeight w:val="343"/>
          <w:jc w:val="center"/>
        </w:trPr>
        <w:tc>
          <w:tcPr>
            <w:tcW w:w="1223" w:type="dxa"/>
            <w:vMerge w:val="restart"/>
            <w:tcBorders>
              <w:top w:val="single" w:sz="4" w:space="0" w:color="auto"/>
              <w:left w:val="single" w:sz="4" w:space="0" w:color="auto"/>
              <w:bottom w:val="single" w:sz="4" w:space="0" w:color="auto"/>
              <w:right w:val="single" w:sz="4" w:space="0" w:color="FFFFFF"/>
            </w:tcBorders>
            <w:shd w:val="clear" w:color="auto" w:fill="0C2577"/>
            <w:vAlign w:val="center"/>
            <w:hideMark/>
          </w:tcPr>
          <w:p w14:paraId="4EFD2877" w14:textId="77777777" w:rsidR="00800B3A" w:rsidRPr="00800B3A" w:rsidRDefault="00800B3A" w:rsidP="002964D3">
            <w:pPr>
              <w:keepNext/>
              <w:jc w:val="center"/>
              <w:rPr>
                <w:rFonts w:ascii="Arial" w:hAnsi="Arial" w:cs="Arial"/>
                <w:b/>
                <w:bCs/>
                <w:color w:val="FFFFFF"/>
                <w:sz w:val="20"/>
                <w:szCs w:val="20"/>
              </w:rPr>
            </w:pPr>
            <w:r w:rsidRPr="00800B3A">
              <w:rPr>
                <w:rFonts w:ascii="Arial" w:hAnsi="Arial" w:cs="Arial"/>
                <w:b/>
                <w:bCs/>
                <w:color w:val="FFFFFF"/>
                <w:sz w:val="20"/>
                <w:szCs w:val="20"/>
              </w:rPr>
              <w:t>Level</w:t>
            </w:r>
          </w:p>
        </w:tc>
        <w:tc>
          <w:tcPr>
            <w:tcW w:w="2262" w:type="dxa"/>
            <w:vMerge w:val="restart"/>
            <w:tcBorders>
              <w:top w:val="single" w:sz="4" w:space="0" w:color="auto"/>
              <w:left w:val="nil"/>
              <w:bottom w:val="single" w:sz="4" w:space="0" w:color="auto"/>
              <w:right w:val="nil"/>
            </w:tcBorders>
            <w:shd w:val="clear" w:color="auto" w:fill="0C2577"/>
            <w:vAlign w:val="center"/>
            <w:hideMark/>
          </w:tcPr>
          <w:p w14:paraId="610640F5" w14:textId="77777777" w:rsidR="00800B3A" w:rsidRPr="00800B3A" w:rsidRDefault="00800B3A" w:rsidP="002964D3">
            <w:pPr>
              <w:keepNext/>
              <w:jc w:val="center"/>
              <w:rPr>
                <w:rFonts w:ascii="Arial" w:hAnsi="Arial" w:cs="Arial"/>
                <w:b/>
                <w:bCs/>
                <w:color w:val="FFFFFF"/>
                <w:sz w:val="20"/>
                <w:szCs w:val="20"/>
              </w:rPr>
            </w:pPr>
            <w:r w:rsidRPr="00800B3A">
              <w:rPr>
                <w:rFonts w:ascii="Arial" w:hAnsi="Arial" w:cs="Arial"/>
                <w:b/>
                <w:bCs/>
                <w:color w:val="FFFFFF"/>
                <w:sz w:val="20"/>
                <w:szCs w:val="20"/>
              </w:rPr>
              <w:t>Outcome</w:t>
            </w:r>
          </w:p>
        </w:tc>
        <w:tc>
          <w:tcPr>
            <w:tcW w:w="2285" w:type="dxa"/>
            <w:tcBorders>
              <w:top w:val="single" w:sz="4" w:space="0" w:color="auto"/>
              <w:left w:val="single" w:sz="4" w:space="0" w:color="FFFFFF"/>
              <w:bottom w:val="nil"/>
              <w:right w:val="nil"/>
            </w:tcBorders>
            <w:shd w:val="clear" w:color="auto" w:fill="0C2577"/>
            <w:vAlign w:val="bottom"/>
            <w:hideMark/>
          </w:tcPr>
          <w:p w14:paraId="47F6EE24" w14:textId="77777777" w:rsidR="00800B3A" w:rsidRPr="00AE4E7E" w:rsidRDefault="00800B3A" w:rsidP="002964D3">
            <w:pPr>
              <w:keepNext/>
              <w:jc w:val="center"/>
              <w:rPr>
                <w:rFonts w:ascii="Arial" w:hAnsi="Arial" w:cs="Arial"/>
                <w:b/>
                <w:bCs/>
                <w:i/>
                <w:color w:val="FFFFFF"/>
                <w:sz w:val="20"/>
                <w:szCs w:val="20"/>
              </w:rPr>
            </w:pPr>
            <w:r w:rsidRPr="00AE4E7E">
              <w:rPr>
                <w:rFonts w:ascii="Arial" w:hAnsi="Arial" w:cs="Arial"/>
                <w:b/>
                <w:bCs/>
                <w:i/>
                <w:color w:val="FFFFFF"/>
                <w:sz w:val="20"/>
                <w:szCs w:val="20"/>
              </w:rPr>
              <w:t xml:space="preserve">Ex-post </w:t>
            </w:r>
          </w:p>
        </w:tc>
        <w:tc>
          <w:tcPr>
            <w:tcW w:w="2193" w:type="dxa"/>
            <w:vMerge w:val="restart"/>
            <w:tcBorders>
              <w:top w:val="single" w:sz="4" w:space="0" w:color="auto"/>
              <w:left w:val="single" w:sz="4" w:space="0" w:color="FFFFFF"/>
              <w:bottom w:val="single" w:sz="4" w:space="0" w:color="auto"/>
              <w:right w:val="single" w:sz="4" w:space="0" w:color="auto"/>
            </w:tcBorders>
            <w:shd w:val="clear" w:color="auto" w:fill="0C2577"/>
            <w:vAlign w:val="center"/>
            <w:hideMark/>
          </w:tcPr>
          <w:p w14:paraId="671AAD92" w14:textId="77777777" w:rsidR="00800B3A" w:rsidRPr="00800B3A" w:rsidRDefault="00800B3A" w:rsidP="002964D3">
            <w:pPr>
              <w:keepNext/>
              <w:jc w:val="center"/>
              <w:rPr>
                <w:rFonts w:ascii="Arial" w:hAnsi="Arial" w:cs="Arial"/>
                <w:b/>
                <w:bCs/>
                <w:color w:val="FFFFFF"/>
                <w:sz w:val="20"/>
                <w:szCs w:val="20"/>
              </w:rPr>
            </w:pPr>
            <w:r w:rsidRPr="00AE4E7E">
              <w:rPr>
                <w:rFonts w:ascii="Arial" w:hAnsi="Arial" w:cs="Arial"/>
                <w:b/>
                <w:bCs/>
                <w:i/>
                <w:color w:val="FFFFFF"/>
                <w:sz w:val="20"/>
                <w:szCs w:val="20"/>
              </w:rPr>
              <w:t>Ex-ante</w:t>
            </w:r>
            <w:r w:rsidRPr="00800B3A">
              <w:rPr>
                <w:rFonts w:ascii="Arial" w:hAnsi="Arial" w:cs="Arial"/>
                <w:b/>
                <w:bCs/>
                <w:color w:val="FFFFFF"/>
                <w:sz w:val="20"/>
                <w:szCs w:val="20"/>
              </w:rPr>
              <w:t xml:space="preserve"> 2018 Typical Event Day, Current Study</w:t>
            </w:r>
          </w:p>
        </w:tc>
      </w:tr>
      <w:tr w:rsidR="00800B3A" w:rsidRPr="00800B3A" w14:paraId="14931410" w14:textId="77777777" w:rsidTr="00800B3A">
        <w:trPr>
          <w:trHeight w:val="385"/>
          <w:jc w:val="center"/>
        </w:trPr>
        <w:tc>
          <w:tcPr>
            <w:tcW w:w="1223" w:type="dxa"/>
            <w:vMerge/>
            <w:tcBorders>
              <w:top w:val="single" w:sz="4" w:space="0" w:color="auto"/>
              <w:left w:val="single" w:sz="4" w:space="0" w:color="auto"/>
              <w:bottom w:val="single" w:sz="4" w:space="0" w:color="auto"/>
              <w:right w:val="single" w:sz="4" w:space="0" w:color="FFFFFF"/>
            </w:tcBorders>
            <w:vAlign w:val="center"/>
            <w:hideMark/>
          </w:tcPr>
          <w:p w14:paraId="5CBE8F19" w14:textId="77777777" w:rsidR="00800B3A" w:rsidRPr="00800B3A" w:rsidRDefault="00800B3A" w:rsidP="002964D3">
            <w:pPr>
              <w:keepNext/>
              <w:rPr>
                <w:rFonts w:ascii="Arial" w:hAnsi="Arial" w:cs="Arial"/>
                <w:b/>
                <w:bCs/>
                <w:color w:val="FFFFFF"/>
                <w:sz w:val="20"/>
                <w:szCs w:val="20"/>
              </w:rPr>
            </w:pPr>
          </w:p>
        </w:tc>
        <w:tc>
          <w:tcPr>
            <w:tcW w:w="2262" w:type="dxa"/>
            <w:vMerge/>
            <w:tcBorders>
              <w:top w:val="single" w:sz="4" w:space="0" w:color="auto"/>
              <w:left w:val="nil"/>
              <w:bottom w:val="single" w:sz="4" w:space="0" w:color="auto"/>
              <w:right w:val="nil"/>
            </w:tcBorders>
            <w:vAlign w:val="center"/>
            <w:hideMark/>
          </w:tcPr>
          <w:p w14:paraId="1584A852" w14:textId="77777777" w:rsidR="00800B3A" w:rsidRPr="00800B3A" w:rsidRDefault="00800B3A" w:rsidP="002964D3">
            <w:pPr>
              <w:keepNext/>
              <w:rPr>
                <w:rFonts w:ascii="Arial" w:hAnsi="Arial" w:cs="Arial"/>
                <w:b/>
                <w:bCs/>
                <w:color w:val="FFFFFF"/>
                <w:sz w:val="20"/>
                <w:szCs w:val="20"/>
              </w:rPr>
            </w:pPr>
          </w:p>
        </w:tc>
        <w:tc>
          <w:tcPr>
            <w:tcW w:w="2285" w:type="dxa"/>
            <w:tcBorders>
              <w:top w:val="nil"/>
              <w:left w:val="single" w:sz="4" w:space="0" w:color="FFFFFF"/>
              <w:bottom w:val="single" w:sz="4" w:space="0" w:color="auto"/>
              <w:right w:val="nil"/>
            </w:tcBorders>
            <w:shd w:val="clear" w:color="000000" w:fill="132577"/>
            <w:hideMark/>
          </w:tcPr>
          <w:p w14:paraId="1D3A1D65" w14:textId="77777777" w:rsidR="00800B3A" w:rsidRPr="00800B3A" w:rsidRDefault="00800B3A" w:rsidP="002964D3">
            <w:pPr>
              <w:keepNext/>
              <w:jc w:val="center"/>
              <w:rPr>
                <w:rFonts w:ascii="Arial" w:hAnsi="Arial" w:cs="Arial"/>
                <w:b/>
                <w:bCs/>
                <w:color w:val="FFFFFF"/>
                <w:sz w:val="20"/>
                <w:szCs w:val="20"/>
              </w:rPr>
            </w:pPr>
            <w:r w:rsidRPr="00800B3A">
              <w:rPr>
                <w:rFonts w:ascii="Arial" w:hAnsi="Arial" w:cs="Arial"/>
                <w:b/>
                <w:bCs/>
                <w:color w:val="FFFFFF"/>
                <w:sz w:val="20"/>
                <w:szCs w:val="20"/>
              </w:rPr>
              <w:t>PY2017</w:t>
            </w:r>
          </w:p>
        </w:tc>
        <w:tc>
          <w:tcPr>
            <w:tcW w:w="2193" w:type="dxa"/>
            <w:vMerge/>
            <w:tcBorders>
              <w:top w:val="single" w:sz="4" w:space="0" w:color="auto"/>
              <w:left w:val="single" w:sz="4" w:space="0" w:color="FFFFFF"/>
              <w:bottom w:val="single" w:sz="4" w:space="0" w:color="auto"/>
              <w:right w:val="single" w:sz="4" w:space="0" w:color="auto"/>
            </w:tcBorders>
            <w:vAlign w:val="center"/>
            <w:hideMark/>
          </w:tcPr>
          <w:p w14:paraId="598669BB" w14:textId="77777777" w:rsidR="00800B3A" w:rsidRPr="00800B3A" w:rsidRDefault="00800B3A" w:rsidP="002964D3">
            <w:pPr>
              <w:keepNext/>
              <w:rPr>
                <w:rFonts w:ascii="Arial" w:hAnsi="Arial" w:cs="Arial"/>
                <w:b/>
                <w:bCs/>
                <w:color w:val="FFFFFF"/>
                <w:sz w:val="20"/>
                <w:szCs w:val="20"/>
              </w:rPr>
            </w:pPr>
          </w:p>
        </w:tc>
      </w:tr>
      <w:tr w:rsidR="00AE4E7E" w:rsidRPr="00800B3A" w14:paraId="170A194D" w14:textId="77777777" w:rsidTr="00800B3A">
        <w:trPr>
          <w:trHeight w:val="208"/>
          <w:jc w:val="center"/>
        </w:trPr>
        <w:tc>
          <w:tcPr>
            <w:tcW w:w="1223" w:type="dxa"/>
            <w:vMerge w:val="restart"/>
            <w:tcBorders>
              <w:top w:val="nil"/>
              <w:left w:val="single" w:sz="4" w:space="0" w:color="auto"/>
              <w:bottom w:val="single" w:sz="4" w:space="0" w:color="auto"/>
              <w:right w:val="nil"/>
            </w:tcBorders>
            <w:shd w:val="clear" w:color="auto" w:fill="auto"/>
            <w:vAlign w:val="center"/>
            <w:hideMark/>
          </w:tcPr>
          <w:p w14:paraId="69755738" w14:textId="77777777" w:rsidR="00AE4E7E" w:rsidRPr="00800B3A" w:rsidRDefault="00AE4E7E" w:rsidP="00AE4E7E">
            <w:pPr>
              <w:keepNext/>
              <w:rPr>
                <w:rFonts w:ascii="Arial" w:hAnsi="Arial" w:cs="Arial"/>
                <w:b/>
                <w:bCs/>
                <w:color w:val="000000"/>
                <w:sz w:val="20"/>
                <w:szCs w:val="20"/>
              </w:rPr>
            </w:pPr>
            <w:r w:rsidRPr="00800B3A">
              <w:rPr>
                <w:rFonts w:ascii="Arial" w:hAnsi="Arial" w:cs="Arial"/>
                <w:b/>
                <w:bCs/>
                <w:color w:val="000000"/>
                <w:sz w:val="20"/>
                <w:szCs w:val="20"/>
              </w:rPr>
              <w:t>Total</w:t>
            </w:r>
          </w:p>
        </w:tc>
        <w:tc>
          <w:tcPr>
            <w:tcW w:w="2262" w:type="dxa"/>
            <w:tcBorders>
              <w:top w:val="single" w:sz="4" w:space="0" w:color="auto"/>
              <w:left w:val="single" w:sz="4" w:space="0" w:color="auto"/>
              <w:bottom w:val="nil"/>
              <w:right w:val="single" w:sz="4" w:space="0" w:color="auto"/>
            </w:tcBorders>
            <w:shd w:val="clear" w:color="000000" w:fill="FFFFFF"/>
            <w:vAlign w:val="center"/>
            <w:hideMark/>
          </w:tcPr>
          <w:p w14:paraId="559FDC07" w14:textId="56A44972" w:rsidR="00AE4E7E" w:rsidRPr="00800B3A" w:rsidRDefault="00AE4E7E" w:rsidP="00AE4E7E">
            <w:pPr>
              <w:keepNext/>
              <w:rPr>
                <w:rFonts w:ascii="Arial" w:hAnsi="Arial" w:cs="Arial"/>
                <w:color w:val="000000"/>
                <w:sz w:val="20"/>
                <w:szCs w:val="20"/>
              </w:rPr>
            </w:pPr>
            <w:r w:rsidRPr="00800B3A">
              <w:rPr>
                <w:rFonts w:ascii="Arial" w:hAnsi="Arial" w:cs="Arial"/>
                <w:color w:val="000000"/>
                <w:sz w:val="20"/>
                <w:szCs w:val="20"/>
              </w:rPr>
              <w:t xml:space="preserve"># </w:t>
            </w:r>
            <w:r w:rsidR="00DF5A48">
              <w:rPr>
                <w:rFonts w:ascii="Arial" w:hAnsi="Arial" w:cs="Arial"/>
                <w:b/>
                <w:bCs/>
                <w:color w:val="000000"/>
                <w:sz w:val="20"/>
                <w:szCs w:val="20"/>
              </w:rPr>
              <w:t>C</w:t>
            </w:r>
            <w:r w:rsidR="00DF5A48">
              <w:rPr>
                <w:rFonts w:ascii="Arial" w:hAnsi="Arial" w:cs="Arial"/>
                <w:color w:val="000000"/>
                <w:sz w:val="20"/>
                <w:szCs w:val="20"/>
              </w:rPr>
              <w:t>ustomers</w:t>
            </w:r>
          </w:p>
        </w:tc>
        <w:tc>
          <w:tcPr>
            <w:tcW w:w="2285" w:type="dxa"/>
            <w:tcBorders>
              <w:top w:val="nil"/>
              <w:left w:val="nil"/>
              <w:bottom w:val="nil"/>
              <w:right w:val="single" w:sz="4" w:space="0" w:color="auto"/>
            </w:tcBorders>
            <w:shd w:val="clear" w:color="000000" w:fill="FFFFFF"/>
            <w:vAlign w:val="center"/>
            <w:hideMark/>
          </w:tcPr>
          <w:p w14:paraId="70C8ECD4" w14:textId="19BC81DB" w:rsidR="00AE4E7E" w:rsidRPr="00800B3A" w:rsidRDefault="00AE4E7E" w:rsidP="00AE4E7E">
            <w:pPr>
              <w:keepNext/>
              <w:jc w:val="center"/>
              <w:rPr>
                <w:rFonts w:ascii="Arial" w:hAnsi="Arial" w:cs="Arial"/>
                <w:color w:val="000000"/>
                <w:sz w:val="20"/>
                <w:szCs w:val="20"/>
              </w:rPr>
            </w:pPr>
            <w:r>
              <w:rPr>
                <w:rFonts w:ascii="Arial" w:hAnsi="Arial" w:cs="Arial"/>
                <w:color w:val="000000"/>
                <w:sz w:val="20"/>
                <w:szCs w:val="20"/>
              </w:rPr>
              <w:t>571</w:t>
            </w:r>
          </w:p>
        </w:tc>
        <w:tc>
          <w:tcPr>
            <w:tcW w:w="2193" w:type="dxa"/>
            <w:tcBorders>
              <w:top w:val="nil"/>
              <w:left w:val="nil"/>
              <w:bottom w:val="nil"/>
              <w:right w:val="single" w:sz="4" w:space="0" w:color="auto"/>
            </w:tcBorders>
            <w:shd w:val="clear" w:color="000000" w:fill="FFFFFF"/>
            <w:vAlign w:val="center"/>
            <w:hideMark/>
          </w:tcPr>
          <w:p w14:paraId="67327D9F" w14:textId="77777777" w:rsidR="00AE4E7E" w:rsidRPr="00800B3A" w:rsidRDefault="00AE4E7E" w:rsidP="00AE4E7E">
            <w:pPr>
              <w:keepNext/>
              <w:jc w:val="center"/>
              <w:rPr>
                <w:rFonts w:ascii="Arial" w:hAnsi="Arial" w:cs="Arial"/>
                <w:color w:val="000000"/>
                <w:sz w:val="20"/>
                <w:szCs w:val="20"/>
              </w:rPr>
            </w:pPr>
            <w:r w:rsidRPr="00800B3A">
              <w:rPr>
                <w:rFonts w:ascii="Arial" w:hAnsi="Arial" w:cs="Arial"/>
                <w:color w:val="000000"/>
                <w:sz w:val="20"/>
                <w:szCs w:val="20"/>
              </w:rPr>
              <w:t>560</w:t>
            </w:r>
          </w:p>
        </w:tc>
      </w:tr>
      <w:tr w:rsidR="00AE4E7E" w:rsidRPr="00800B3A" w14:paraId="2D9FCC19" w14:textId="77777777" w:rsidTr="00800B3A">
        <w:trPr>
          <w:trHeight w:val="208"/>
          <w:jc w:val="center"/>
        </w:trPr>
        <w:tc>
          <w:tcPr>
            <w:tcW w:w="1223" w:type="dxa"/>
            <w:vMerge/>
            <w:tcBorders>
              <w:top w:val="nil"/>
              <w:left w:val="single" w:sz="4" w:space="0" w:color="auto"/>
              <w:bottom w:val="single" w:sz="4" w:space="0" w:color="auto"/>
              <w:right w:val="nil"/>
            </w:tcBorders>
            <w:vAlign w:val="center"/>
            <w:hideMark/>
          </w:tcPr>
          <w:p w14:paraId="79795EF5" w14:textId="77777777" w:rsidR="00AE4E7E" w:rsidRPr="00800B3A" w:rsidRDefault="00AE4E7E" w:rsidP="00AE4E7E">
            <w:pPr>
              <w:keepNext/>
              <w:rPr>
                <w:rFonts w:ascii="Arial" w:hAnsi="Arial" w:cs="Arial"/>
                <w:b/>
                <w:bCs/>
                <w:color w:val="000000"/>
                <w:sz w:val="20"/>
                <w:szCs w:val="20"/>
              </w:rPr>
            </w:pPr>
          </w:p>
        </w:tc>
        <w:tc>
          <w:tcPr>
            <w:tcW w:w="2262" w:type="dxa"/>
            <w:tcBorders>
              <w:top w:val="nil"/>
              <w:left w:val="single" w:sz="4" w:space="0" w:color="auto"/>
              <w:bottom w:val="nil"/>
              <w:right w:val="single" w:sz="4" w:space="0" w:color="auto"/>
            </w:tcBorders>
            <w:shd w:val="clear" w:color="000000" w:fill="FFFFFF"/>
            <w:vAlign w:val="center"/>
            <w:hideMark/>
          </w:tcPr>
          <w:p w14:paraId="403CE1DA" w14:textId="77777777" w:rsidR="00AE4E7E" w:rsidRPr="00800B3A" w:rsidRDefault="00AE4E7E" w:rsidP="00AE4E7E">
            <w:pPr>
              <w:keepNext/>
              <w:rPr>
                <w:rFonts w:ascii="Arial" w:hAnsi="Arial" w:cs="Arial"/>
                <w:color w:val="000000"/>
                <w:sz w:val="20"/>
                <w:szCs w:val="20"/>
              </w:rPr>
            </w:pPr>
            <w:r w:rsidRPr="00800B3A">
              <w:rPr>
                <w:rFonts w:ascii="Arial" w:hAnsi="Arial" w:cs="Arial"/>
                <w:color w:val="000000"/>
                <w:sz w:val="20"/>
                <w:szCs w:val="20"/>
              </w:rPr>
              <w:t>Reference (MWh/h)</w:t>
            </w:r>
          </w:p>
        </w:tc>
        <w:tc>
          <w:tcPr>
            <w:tcW w:w="2285" w:type="dxa"/>
            <w:tcBorders>
              <w:top w:val="nil"/>
              <w:left w:val="nil"/>
              <w:bottom w:val="nil"/>
              <w:right w:val="single" w:sz="4" w:space="0" w:color="auto"/>
            </w:tcBorders>
            <w:shd w:val="clear" w:color="000000" w:fill="FFFFFF"/>
            <w:vAlign w:val="center"/>
            <w:hideMark/>
          </w:tcPr>
          <w:p w14:paraId="7AB143FB" w14:textId="5BFB4049" w:rsidR="00AE4E7E" w:rsidRPr="00800B3A" w:rsidRDefault="00AE4E7E" w:rsidP="00AE4E7E">
            <w:pPr>
              <w:keepNext/>
              <w:jc w:val="center"/>
              <w:rPr>
                <w:rFonts w:ascii="Arial" w:hAnsi="Arial" w:cs="Arial"/>
                <w:color w:val="000000"/>
                <w:sz w:val="20"/>
                <w:szCs w:val="20"/>
              </w:rPr>
            </w:pPr>
            <w:r>
              <w:rPr>
                <w:rFonts w:ascii="Arial" w:hAnsi="Arial" w:cs="Arial"/>
                <w:color w:val="000000"/>
                <w:sz w:val="20"/>
                <w:szCs w:val="20"/>
              </w:rPr>
              <w:t>789.5</w:t>
            </w:r>
          </w:p>
        </w:tc>
        <w:tc>
          <w:tcPr>
            <w:tcW w:w="2193" w:type="dxa"/>
            <w:tcBorders>
              <w:top w:val="nil"/>
              <w:left w:val="nil"/>
              <w:bottom w:val="nil"/>
              <w:right w:val="single" w:sz="4" w:space="0" w:color="auto"/>
            </w:tcBorders>
            <w:shd w:val="clear" w:color="000000" w:fill="FFFFFF"/>
            <w:vAlign w:val="center"/>
            <w:hideMark/>
          </w:tcPr>
          <w:p w14:paraId="7D89E193" w14:textId="77777777" w:rsidR="00AE4E7E" w:rsidRPr="00800B3A" w:rsidRDefault="00AE4E7E" w:rsidP="00AE4E7E">
            <w:pPr>
              <w:keepNext/>
              <w:jc w:val="center"/>
              <w:rPr>
                <w:rFonts w:ascii="Arial" w:hAnsi="Arial" w:cs="Arial"/>
                <w:color w:val="000000"/>
                <w:sz w:val="20"/>
                <w:szCs w:val="20"/>
              </w:rPr>
            </w:pPr>
            <w:r w:rsidRPr="00800B3A">
              <w:rPr>
                <w:rFonts w:ascii="Arial" w:hAnsi="Arial" w:cs="Arial"/>
                <w:color w:val="000000"/>
                <w:sz w:val="20"/>
                <w:szCs w:val="20"/>
              </w:rPr>
              <w:t>809.1</w:t>
            </w:r>
          </w:p>
        </w:tc>
      </w:tr>
      <w:tr w:rsidR="00AE4E7E" w:rsidRPr="00800B3A" w14:paraId="3993C684" w14:textId="77777777" w:rsidTr="00800B3A">
        <w:trPr>
          <w:trHeight w:val="208"/>
          <w:jc w:val="center"/>
        </w:trPr>
        <w:tc>
          <w:tcPr>
            <w:tcW w:w="1223" w:type="dxa"/>
            <w:vMerge/>
            <w:tcBorders>
              <w:top w:val="nil"/>
              <w:left w:val="single" w:sz="4" w:space="0" w:color="auto"/>
              <w:bottom w:val="single" w:sz="4" w:space="0" w:color="auto"/>
              <w:right w:val="nil"/>
            </w:tcBorders>
            <w:vAlign w:val="center"/>
            <w:hideMark/>
          </w:tcPr>
          <w:p w14:paraId="6665B31F" w14:textId="77777777" w:rsidR="00AE4E7E" w:rsidRPr="00800B3A" w:rsidRDefault="00AE4E7E" w:rsidP="00AE4E7E">
            <w:pPr>
              <w:keepNext/>
              <w:rPr>
                <w:rFonts w:ascii="Arial" w:hAnsi="Arial" w:cs="Arial"/>
                <w:b/>
                <w:bCs/>
                <w:color w:val="000000"/>
                <w:sz w:val="20"/>
                <w:szCs w:val="20"/>
              </w:rPr>
            </w:pPr>
          </w:p>
        </w:tc>
        <w:tc>
          <w:tcPr>
            <w:tcW w:w="2262" w:type="dxa"/>
            <w:tcBorders>
              <w:top w:val="nil"/>
              <w:left w:val="single" w:sz="4" w:space="0" w:color="auto"/>
              <w:bottom w:val="nil"/>
              <w:right w:val="single" w:sz="4" w:space="0" w:color="auto"/>
            </w:tcBorders>
            <w:shd w:val="clear" w:color="000000" w:fill="FFFFFF"/>
            <w:vAlign w:val="center"/>
            <w:hideMark/>
          </w:tcPr>
          <w:p w14:paraId="66959682" w14:textId="77777777" w:rsidR="00AE4E7E" w:rsidRPr="00800B3A" w:rsidRDefault="00AE4E7E" w:rsidP="00AE4E7E">
            <w:pPr>
              <w:keepNext/>
              <w:rPr>
                <w:rFonts w:ascii="Arial" w:hAnsi="Arial" w:cs="Arial"/>
                <w:color w:val="000000"/>
                <w:sz w:val="20"/>
                <w:szCs w:val="20"/>
              </w:rPr>
            </w:pPr>
            <w:r w:rsidRPr="00800B3A">
              <w:rPr>
                <w:rFonts w:ascii="Arial" w:hAnsi="Arial" w:cs="Arial"/>
                <w:color w:val="000000"/>
                <w:sz w:val="20"/>
                <w:szCs w:val="20"/>
              </w:rPr>
              <w:t>Load Impact (MWh/h)</w:t>
            </w:r>
          </w:p>
        </w:tc>
        <w:tc>
          <w:tcPr>
            <w:tcW w:w="2285" w:type="dxa"/>
            <w:tcBorders>
              <w:top w:val="nil"/>
              <w:left w:val="nil"/>
              <w:bottom w:val="nil"/>
              <w:right w:val="single" w:sz="4" w:space="0" w:color="auto"/>
            </w:tcBorders>
            <w:shd w:val="clear" w:color="000000" w:fill="FFFFFF"/>
            <w:vAlign w:val="center"/>
            <w:hideMark/>
          </w:tcPr>
          <w:p w14:paraId="13BBE8CC" w14:textId="71F834D0" w:rsidR="00AE4E7E" w:rsidRPr="00800B3A" w:rsidRDefault="00AE4E7E" w:rsidP="00AE4E7E">
            <w:pPr>
              <w:keepNext/>
              <w:jc w:val="center"/>
              <w:rPr>
                <w:rFonts w:ascii="Arial" w:hAnsi="Arial" w:cs="Arial"/>
                <w:color w:val="000000"/>
                <w:sz w:val="20"/>
                <w:szCs w:val="20"/>
              </w:rPr>
            </w:pPr>
            <w:r>
              <w:rPr>
                <w:rFonts w:ascii="Arial" w:hAnsi="Arial" w:cs="Arial"/>
                <w:color w:val="000000"/>
                <w:sz w:val="20"/>
                <w:szCs w:val="20"/>
              </w:rPr>
              <w:t>614.7</w:t>
            </w:r>
          </w:p>
        </w:tc>
        <w:tc>
          <w:tcPr>
            <w:tcW w:w="2193" w:type="dxa"/>
            <w:tcBorders>
              <w:top w:val="nil"/>
              <w:left w:val="nil"/>
              <w:bottom w:val="nil"/>
              <w:right w:val="single" w:sz="4" w:space="0" w:color="auto"/>
            </w:tcBorders>
            <w:shd w:val="clear" w:color="000000" w:fill="FFFFFF"/>
            <w:vAlign w:val="center"/>
            <w:hideMark/>
          </w:tcPr>
          <w:p w14:paraId="2ADE9F58" w14:textId="77777777" w:rsidR="00AE4E7E" w:rsidRPr="00800B3A" w:rsidRDefault="00AE4E7E" w:rsidP="00AE4E7E">
            <w:pPr>
              <w:keepNext/>
              <w:jc w:val="center"/>
              <w:rPr>
                <w:rFonts w:ascii="Arial" w:hAnsi="Arial" w:cs="Arial"/>
                <w:color w:val="000000"/>
                <w:sz w:val="20"/>
                <w:szCs w:val="20"/>
              </w:rPr>
            </w:pPr>
            <w:r w:rsidRPr="00800B3A">
              <w:rPr>
                <w:rFonts w:ascii="Arial" w:hAnsi="Arial" w:cs="Arial"/>
                <w:color w:val="000000"/>
                <w:sz w:val="20"/>
                <w:szCs w:val="20"/>
              </w:rPr>
              <w:t>619.0</w:t>
            </w:r>
          </w:p>
        </w:tc>
      </w:tr>
      <w:tr w:rsidR="00D014BF" w:rsidRPr="00800B3A" w14:paraId="26030A65" w14:textId="77777777" w:rsidTr="00800B3A">
        <w:trPr>
          <w:trHeight w:val="208"/>
          <w:jc w:val="center"/>
        </w:trPr>
        <w:tc>
          <w:tcPr>
            <w:tcW w:w="1223" w:type="dxa"/>
            <w:vMerge/>
            <w:tcBorders>
              <w:top w:val="nil"/>
              <w:left w:val="single" w:sz="4" w:space="0" w:color="auto"/>
              <w:bottom w:val="single" w:sz="4" w:space="0" w:color="auto"/>
              <w:right w:val="nil"/>
            </w:tcBorders>
            <w:vAlign w:val="center"/>
            <w:hideMark/>
          </w:tcPr>
          <w:p w14:paraId="75337DBB" w14:textId="77777777" w:rsidR="00D014BF" w:rsidRPr="00800B3A" w:rsidRDefault="00D014BF" w:rsidP="00D014BF">
            <w:pPr>
              <w:keepNext/>
              <w:rPr>
                <w:rFonts w:ascii="Arial" w:hAnsi="Arial" w:cs="Arial"/>
                <w:b/>
                <w:bCs/>
                <w:color w:val="000000"/>
                <w:sz w:val="20"/>
                <w:szCs w:val="20"/>
              </w:rPr>
            </w:pPr>
          </w:p>
        </w:tc>
        <w:tc>
          <w:tcPr>
            <w:tcW w:w="2262" w:type="dxa"/>
            <w:tcBorders>
              <w:top w:val="nil"/>
              <w:left w:val="single" w:sz="4" w:space="0" w:color="auto"/>
              <w:bottom w:val="single" w:sz="4" w:space="0" w:color="auto"/>
              <w:right w:val="single" w:sz="4" w:space="0" w:color="auto"/>
            </w:tcBorders>
            <w:shd w:val="clear" w:color="000000" w:fill="FFFFFF"/>
            <w:vAlign w:val="center"/>
            <w:hideMark/>
          </w:tcPr>
          <w:p w14:paraId="536B6F96" w14:textId="56CF19AF" w:rsidR="00D014BF" w:rsidRPr="00800B3A" w:rsidRDefault="00D014BF" w:rsidP="00D014BF">
            <w:pPr>
              <w:keepNext/>
              <w:rPr>
                <w:rFonts w:ascii="Arial" w:hAnsi="Arial" w:cs="Arial"/>
                <w:color w:val="000000"/>
                <w:sz w:val="20"/>
                <w:szCs w:val="20"/>
              </w:rPr>
            </w:pPr>
            <w:r w:rsidRPr="00800B3A">
              <w:rPr>
                <w:rFonts w:ascii="Arial" w:hAnsi="Arial" w:cs="Arial"/>
                <w:color w:val="000000"/>
                <w:sz w:val="20"/>
                <w:szCs w:val="20"/>
              </w:rPr>
              <w:t>FSL (MW</w:t>
            </w:r>
            <w:r>
              <w:rPr>
                <w:rFonts w:ascii="Arial" w:hAnsi="Arial" w:cs="Arial"/>
                <w:color w:val="000000"/>
                <w:sz w:val="20"/>
                <w:szCs w:val="20"/>
              </w:rPr>
              <w:t>h/h</w:t>
            </w:r>
            <w:r w:rsidRPr="00800B3A">
              <w:rPr>
                <w:rFonts w:ascii="Arial" w:hAnsi="Arial" w:cs="Arial"/>
                <w:color w:val="000000"/>
                <w:sz w:val="20"/>
                <w:szCs w:val="20"/>
              </w:rPr>
              <w:t>)</w:t>
            </w:r>
          </w:p>
        </w:tc>
        <w:tc>
          <w:tcPr>
            <w:tcW w:w="2285" w:type="dxa"/>
            <w:tcBorders>
              <w:top w:val="nil"/>
              <w:left w:val="nil"/>
              <w:bottom w:val="single" w:sz="4" w:space="0" w:color="auto"/>
              <w:right w:val="single" w:sz="4" w:space="0" w:color="auto"/>
            </w:tcBorders>
            <w:shd w:val="clear" w:color="000000" w:fill="FFFFFF"/>
            <w:vAlign w:val="center"/>
            <w:hideMark/>
          </w:tcPr>
          <w:p w14:paraId="5BA4A2AF" w14:textId="6D476A9A" w:rsidR="00D014BF" w:rsidRPr="00800B3A" w:rsidRDefault="00D014BF" w:rsidP="00D014BF">
            <w:pPr>
              <w:keepNext/>
              <w:jc w:val="center"/>
              <w:rPr>
                <w:rFonts w:ascii="Arial" w:hAnsi="Arial" w:cs="Arial"/>
                <w:color w:val="000000"/>
                <w:sz w:val="20"/>
                <w:szCs w:val="20"/>
              </w:rPr>
            </w:pPr>
            <w:r>
              <w:rPr>
                <w:rFonts w:ascii="Arial" w:hAnsi="Arial" w:cs="Arial"/>
                <w:color w:val="000000"/>
                <w:sz w:val="20"/>
                <w:szCs w:val="20"/>
              </w:rPr>
              <w:t>98.0</w:t>
            </w:r>
          </w:p>
        </w:tc>
        <w:tc>
          <w:tcPr>
            <w:tcW w:w="2193" w:type="dxa"/>
            <w:tcBorders>
              <w:top w:val="nil"/>
              <w:left w:val="nil"/>
              <w:bottom w:val="single" w:sz="4" w:space="0" w:color="auto"/>
              <w:right w:val="single" w:sz="4" w:space="0" w:color="auto"/>
            </w:tcBorders>
            <w:shd w:val="clear" w:color="000000" w:fill="FFFFFF"/>
            <w:vAlign w:val="center"/>
            <w:hideMark/>
          </w:tcPr>
          <w:p w14:paraId="56020191" w14:textId="77777777" w:rsidR="00D014BF" w:rsidRPr="00800B3A" w:rsidRDefault="00D014BF" w:rsidP="00D014BF">
            <w:pPr>
              <w:keepNext/>
              <w:jc w:val="center"/>
              <w:rPr>
                <w:rFonts w:ascii="Arial" w:hAnsi="Arial" w:cs="Arial"/>
                <w:color w:val="000000"/>
                <w:sz w:val="20"/>
                <w:szCs w:val="20"/>
              </w:rPr>
            </w:pPr>
            <w:r w:rsidRPr="00800B3A">
              <w:rPr>
                <w:rFonts w:ascii="Arial" w:hAnsi="Arial" w:cs="Arial"/>
                <w:color w:val="000000"/>
                <w:sz w:val="20"/>
                <w:szCs w:val="20"/>
              </w:rPr>
              <w:t>106.4</w:t>
            </w:r>
          </w:p>
        </w:tc>
      </w:tr>
      <w:tr w:rsidR="00AE4E7E" w:rsidRPr="00800B3A" w14:paraId="47C94125" w14:textId="77777777" w:rsidTr="00800B3A">
        <w:trPr>
          <w:trHeight w:val="208"/>
          <w:jc w:val="center"/>
        </w:trPr>
        <w:tc>
          <w:tcPr>
            <w:tcW w:w="1223" w:type="dxa"/>
            <w:vMerge w:val="restart"/>
            <w:tcBorders>
              <w:top w:val="nil"/>
              <w:left w:val="single" w:sz="4" w:space="0" w:color="auto"/>
              <w:bottom w:val="single" w:sz="4" w:space="0" w:color="auto"/>
              <w:right w:val="nil"/>
            </w:tcBorders>
            <w:shd w:val="clear" w:color="auto" w:fill="auto"/>
            <w:vAlign w:val="center"/>
            <w:hideMark/>
          </w:tcPr>
          <w:p w14:paraId="5DB27BB0" w14:textId="71DECE1B" w:rsidR="00AE4E7E" w:rsidRPr="00800B3A" w:rsidRDefault="00AE4E7E" w:rsidP="00AE4E7E">
            <w:pPr>
              <w:keepNext/>
              <w:rPr>
                <w:rFonts w:ascii="Arial" w:hAnsi="Arial" w:cs="Arial"/>
                <w:b/>
                <w:bCs/>
                <w:color w:val="000000"/>
                <w:sz w:val="20"/>
                <w:szCs w:val="20"/>
              </w:rPr>
            </w:pPr>
            <w:r w:rsidRPr="00800B3A">
              <w:rPr>
                <w:rFonts w:ascii="Arial" w:hAnsi="Arial" w:cs="Arial"/>
                <w:b/>
                <w:bCs/>
                <w:color w:val="000000"/>
                <w:sz w:val="20"/>
                <w:szCs w:val="20"/>
              </w:rPr>
              <w:t xml:space="preserve">Per </w:t>
            </w:r>
            <w:r w:rsidR="00DF5A48">
              <w:rPr>
                <w:rFonts w:ascii="Arial" w:hAnsi="Arial" w:cs="Arial"/>
                <w:b/>
                <w:bCs/>
                <w:color w:val="000000"/>
                <w:sz w:val="20"/>
                <w:szCs w:val="20"/>
              </w:rPr>
              <w:t>C</w:t>
            </w:r>
            <w:r w:rsidR="00DF5A48">
              <w:rPr>
                <w:rFonts w:ascii="Arial" w:hAnsi="Arial" w:cs="Arial"/>
                <w:color w:val="000000"/>
                <w:sz w:val="20"/>
                <w:szCs w:val="20"/>
              </w:rPr>
              <w:t>ustomer</w:t>
            </w:r>
          </w:p>
        </w:tc>
        <w:tc>
          <w:tcPr>
            <w:tcW w:w="2262" w:type="dxa"/>
            <w:tcBorders>
              <w:top w:val="nil"/>
              <w:left w:val="single" w:sz="4" w:space="0" w:color="auto"/>
              <w:bottom w:val="nil"/>
              <w:right w:val="single" w:sz="4" w:space="0" w:color="auto"/>
            </w:tcBorders>
            <w:shd w:val="clear" w:color="000000" w:fill="FFFFFF"/>
            <w:vAlign w:val="center"/>
            <w:hideMark/>
          </w:tcPr>
          <w:p w14:paraId="233FF537" w14:textId="77777777" w:rsidR="00AE4E7E" w:rsidRPr="00800B3A" w:rsidRDefault="00AE4E7E" w:rsidP="00AE4E7E">
            <w:pPr>
              <w:keepNext/>
              <w:rPr>
                <w:rFonts w:ascii="Arial" w:hAnsi="Arial" w:cs="Arial"/>
                <w:color w:val="000000"/>
                <w:sz w:val="20"/>
                <w:szCs w:val="20"/>
              </w:rPr>
            </w:pPr>
            <w:r w:rsidRPr="00800B3A">
              <w:rPr>
                <w:rFonts w:ascii="Arial" w:hAnsi="Arial" w:cs="Arial"/>
                <w:color w:val="000000"/>
                <w:sz w:val="20"/>
                <w:szCs w:val="20"/>
              </w:rPr>
              <w:t>Reference (kWh/h)</w:t>
            </w:r>
          </w:p>
        </w:tc>
        <w:tc>
          <w:tcPr>
            <w:tcW w:w="2285" w:type="dxa"/>
            <w:tcBorders>
              <w:top w:val="nil"/>
              <w:left w:val="nil"/>
              <w:bottom w:val="nil"/>
              <w:right w:val="single" w:sz="4" w:space="0" w:color="auto"/>
            </w:tcBorders>
            <w:shd w:val="clear" w:color="000000" w:fill="FFFFFF"/>
            <w:vAlign w:val="center"/>
            <w:hideMark/>
          </w:tcPr>
          <w:p w14:paraId="67AF167F" w14:textId="7A03F9CD" w:rsidR="00AE4E7E" w:rsidRPr="00800B3A" w:rsidRDefault="00AE4E7E" w:rsidP="00AE4E7E">
            <w:pPr>
              <w:keepNext/>
              <w:jc w:val="center"/>
              <w:rPr>
                <w:rFonts w:ascii="Arial" w:hAnsi="Arial" w:cs="Arial"/>
                <w:color w:val="000000"/>
                <w:sz w:val="20"/>
                <w:szCs w:val="20"/>
              </w:rPr>
            </w:pPr>
            <w:r>
              <w:rPr>
                <w:rFonts w:ascii="Arial" w:hAnsi="Arial" w:cs="Arial"/>
                <w:color w:val="000000"/>
                <w:sz w:val="20"/>
                <w:szCs w:val="20"/>
              </w:rPr>
              <w:t>1,382.6</w:t>
            </w:r>
          </w:p>
        </w:tc>
        <w:tc>
          <w:tcPr>
            <w:tcW w:w="2193" w:type="dxa"/>
            <w:tcBorders>
              <w:top w:val="nil"/>
              <w:left w:val="nil"/>
              <w:bottom w:val="nil"/>
              <w:right w:val="single" w:sz="4" w:space="0" w:color="auto"/>
            </w:tcBorders>
            <w:shd w:val="clear" w:color="000000" w:fill="FFFFFF"/>
            <w:vAlign w:val="center"/>
            <w:hideMark/>
          </w:tcPr>
          <w:p w14:paraId="42FEE5F8" w14:textId="77777777" w:rsidR="00AE4E7E" w:rsidRPr="00800B3A" w:rsidRDefault="00AE4E7E" w:rsidP="00AE4E7E">
            <w:pPr>
              <w:keepNext/>
              <w:jc w:val="center"/>
              <w:rPr>
                <w:rFonts w:ascii="Arial" w:hAnsi="Arial" w:cs="Arial"/>
                <w:color w:val="000000"/>
                <w:sz w:val="20"/>
                <w:szCs w:val="20"/>
              </w:rPr>
            </w:pPr>
            <w:r w:rsidRPr="00800B3A">
              <w:rPr>
                <w:rFonts w:ascii="Arial" w:hAnsi="Arial" w:cs="Arial"/>
                <w:color w:val="000000"/>
                <w:sz w:val="20"/>
                <w:szCs w:val="20"/>
              </w:rPr>
              <w:t>1,445</w:t>
            </w:r>
          </w:p>
        </w:tc>
      </w:tr>
      <w:tr w:rsidR="00AE4E7E" w:rsidRPr="00800B3A" w14:paraId="58101404" w14:textId="77777777" w:rsidTr="00800B3A">
        <w:trPr>
          <w:trHeight w:val="208"/>
          <w:jc w:val="center"/>
        </w:trPr>
        <w:tc>
          <w:tcPr>
            <w:tcW w:w="1223" w:type="dxa"/>
            <w:vMerge/>
            <w:tcBorders>
              <w:top w:val="nil"/>
              <w:left w:val="single" w:sz="4" w:space="0" w:color="auto"/>
              <w:bottom w:val="single" w:sz="4" w:space="0" w:color="auto"/>
              <w:right w:val="nil"/>
            </w:tcBorders>
            <w:vAlign w:val="center"/>
            <w:hideMark/>
          </w:tcPr>
          <w:p w14:paraId="0ED5116B" w14:textId="77777777" w:rsidR="00AE4E7E" w:rsidRPr="00800B3A" w:rsidRDefault="00AE4E7E" w:rsidP="00AE4E7E">
            <w:pPr>
              <w:keepNext/>
              <w:rPr>
                <w:rFonts w:ascii="Arial" w:hAnsi="Arial" w:cs="Arial"/>
                <w:b/>
                <w:bCs/>
                <w:color w:val="000000"/>
                <w:sz w:val="20"/>
                <w:szCs w:val="20"/>
              </w:rPr>
            </w:pPr>
          </w:p>
        </w:tc>
        <w:tc>
          <w:tcPr>
            <w:tcW w:w="2262" w:type="dxa"/>
            <w:tcBorders>
              <w:top w:val="nil"/>
              <w:left w:val="single" w:sz="4" w:space="0" w:color="auto"/>
              <w:bottom w:val="nil"/>
              <w:right w:val="single" w:sz="4" w:space="0" w:color="auto"/>
            </w:tcBorders>
            <w:shd w:val="clear" w:color="000000" w:fill="FFFFFF"/>
            <w:vAlign w:val="center"/>
            <w:hideMark/>
          </w:tcPr>
          <w:p w14:paraId="1F09FBB5" w14:textId="77777777" w:rsidR="00AE4E7E" w:rsidRPr="00800B3A" w:rsidRDefault="00AE4E7E" w:rsidP="00AE4E7E">
            <w:pPr>
              <w:keepNext/>
              <w:rPr>
                <w:rFonts w:ascii="Arial" w:hAnsi="Arial" w:cs="Arial"/>
                <w:color w:val="000000"/>
                <w:sz w:val="20"/>
                <w:szCs w:val="20"/>
              </w:rPr>
            </w:pPr>
            <w:r w:rsidRPr="00800B3A">
              <w:rPr>
                <w:rFonts w:ascii="Arial" w:hAnsi="Arial" w:cs="Arial"/>
                <w:color w:val="000000"/>
                <w:sz w:val="20"/>
                <w:szCs w:val="20"/>
              </w:rPr>
              <w:t>Load Impact (kWh/h)</w:t>
            </w:r>
          </w:p>
        </w:tc>
        <w:tc>
          <w:tcPr>
            <w:tcW w:w="2285" w:type="dxa"/>
            <w:tcBorders>
              <w:top w:val="nil"/>
              <w:left w:val="nil"/>
              <w:bottom w:val="nil"/>
              <w:right w:val="single" w:sz="4" w:space="0" w:color="auto"/>
            </w:tcBorders>
            <w:shd w:val="clear" w:color="000000" w:fill="FFFFFF"/>
            <w:vAlign w:val="center"/>
            <w:hideMark/>
          </w:tcPr>
          <w:p w14:paraId="5D0A0D51" w14:textId="76C86025" w:rsidR="00AE4E7E" w:rsidRPr="00800B3A" w:rsidRDefault="00AE4E7E" w:rsidP="00AE4E7E">
            <w:pPr>
              <w:keepNext/>
              <w:jc w:val="center"/>
              <w:rPr>
                <w:rFonts w:ascii="Arial" w:hAnsi="Arial" w:cs="Arial"/>
                <w:color w:val="000000"/>
                <w:sz w:val="20"/>
                <w:szCs w:val="20"/>
              </w:rPr>
            </w:pPr>
            <w:r>
              <w:rPr>
                <w:rFonts w:ascii="Arial" w:hAnsi="Arial" w:cs="Arial"/>
                <w:color w:val="000000"/>
                <w:sz w:val="20"/>
                <w:szCs w:val="20"/>
              </w:rPr>
              <w:t>1,076.5</w:t>
            </w:r>
          </w:p>
        </w:tc>
        <w:tc>
          <w:tcPr>
            <w:tcW w:w="2193" w:type="dxa"/>
            <w:tcBorders>
              <w:top w:val="nil"/>
              <w:left w:val="nil"/>
              <w:bottom w:val="nil"/>
              <w:right w:val="single" w:sz="4" w:space="0" w:color="auto"/>
            </w:tcBorders>
            <w:shd w:val="clear" w:color="000000" w:fill="FFFFFF"/>
            <w:vAlign w:val="center"/>
            <w:hideMark/>
          </w:tcPr>
          <w:p w14:paraId="65ADCFF7" w14:textId="77777777" w:rsidR="00AE4E7E" w:rsidRPr="00800B3A" w:rsidRDefault="00AE4E7E" w:rsidP="00AE4E7E">
            <w:pPr>
              <w:keepNext/>
              <w:jc w:val="center"/>
              <w:rPr>
                <w:rFonts w:ascii="Arial" w:hAnsi="Arial" w:cs="Arial"/>
                <w:color w:val="000000"/>
                <w:sz w:val="20"/>
                <w:szCs w:val="20"/>
              </w:rPr>
            </w:pPr>
            <w:r w:rsidRPr="00800B3A">
              <w:rPr>
                <w:rFonts w:ascii="Arial" w:hAnsi="Arial" w:cs="Arial"/>
                <w:color w:val="000000"/>
                <w:sz w:val="20"/>
                <w:szCs w:val="20"/>
              </w:rPr>
              <w:t>1,105</w:t>
            </w:r>
          </w:p>
        </w:tc>
      </w:tr>
      <w:tr w:rsidR="00AE4E7E" w:rsidRPr="00800B3A" w14:paraId="7648F3C1" w14:textId="77777777" w:rsidTr="00800B3A">
        <w:trPr>
          <w:trHeight w:val="208"/>
          <w:jc w:val="center"/>
        </w:trPr>
        <w:tc>
          <w:tcPr>
            <w:tcW w:w="1223" w:type="dxa"/>
            <w:vMerge/>
            <w:tcBorders>
              <w:top w:val="nil"/>
              <w:left w:val="single" w:sz="4" w:space="0" w:color="auto"/>
              <w:bottom w:val="single" w:sz="4" w:space="0" w:color="auto"/>
              <w:right w:val="nil"/>
            </w:tcBorders>
            <w:vAlign w:val="center"/>
            <w:hideMark/>
          </w:tcPr>
          <w:p w14:paraId="7BDCBCC2" w14:textId="77777777" w:rsidR="00AE4E7E" w:rsidRPr="00800B3A" w:rsidRDefault="00AE4E7E" w:rsidP="00AE4E7E">
            <w:pPr>
              <w:keepNext/>
              <w:rPr>
                <w:rFonts w:ascii="Arial" w:hAnsi="Arial" w:cs="Arial"/>
                <w:b/>
                <w:bCs/>
                <w:color w:val="000000"/>
                <w:sz w:val="20"/>
                <w:szCs w:val="20"/>
              </w:rPr>
            </w:pPr>
          </w:p>
        </w:tc>
        <w:tc>
          <w:tcPr>
            <w:tcW w:w="2262" w:type="dxa"/>
            <w:tcBorders>
              <w:top w:val="nil"/>
              <w:left w:val="single" w:sz="4" w:space="0" w:color="auto"/>
              <w:bottom w:val="single" w:sz="4" w:space="0" w:color="auto"/>
              <w:right w:val="single" w:sz="4" w:space="0" w:color="auto"/>
            </w:tcBorders>
            <w:shd w:val="clear" w:color="000000" w:fill="FFFFFF"/>
            <w:vAlign w:val="center"/>
            <w:hideMark/>
          </w:tcPr>
          <w:p w14:paraId="5E42607A" w14:textId="77777777" w:rsidR="00AE4E7E" w:rsidRPr="00800B3A" w:rsidRDefault="00AE4E7E" w:rsidP="00AE4E7E">
            <w:pPr>
              <w:keepNext/>
              <w:rPr>
                <w:rFonts w:ascii="Arial" w:hAnsi="Arial" w:cs="Arial"/>
                <w:color w:val="000000"/>
                <w:sz w:val="20"/>
                <w:szCs w:val="20"/>
              </w:rPr>
            </w:pPr>
            <w:r w:rsidRPr="00800B3A">
              <w:rPr>
                <w:rFonts w:ascii="Arial" w:hAnsi="Arial" w:cs="Arial"/>
                <w:color w:val="000000"/>
                <w:sz w:val="20"/>
                <w:szCs w:val="20"/>
              </w:rPr>
              <w:t>% Load Impact</w:t>
            </w:r>
          </w:p>
        </w:tc>
        <w:tc>
          <w:tcPr>
            <w:tcW w:w="2285" w:type="dxa"/>
            <w:tcBorders>
              <w:top w:val="nil"/>
              <w:left w:val="nil"/>
              <w:bottom w:val="single" w:sz="4" w:space="0" w:color="auto"/>
              <w:right w:val="single" w:sz="4" w:space="0" w:color="auto"/>
            </w:tcBorders>
            <w:shd w:val="clear" w:color="000000" w:fill="FFFFFF"/>
            <w:vAlign w:val="center"/>
            <w:hideMark/>
          </w:tcPr>
          <w:p w14:paraId="337C07DB" w14:textId="03920C73" w:rsidR="00AE4E7E" w:rsidRPr="00800B3A" w:rsidRDefault="00AE4E7E" w:rsidP="00AE4E7E">
            <w:pPr>
              <w:keepNext/>
              <w:jc w:val="center"/>
              <w:rPr>
                <w:rFonts w:ascii="Arial" w:hAnsi="Arial" w:cs="Arial"/>
                <w:color w:val="000000"/>
                <w:sz w:val="20"/>
                <w:szCs w:val="20"/>
              </w:rPr>
            </w:pPr>
            <w:r>
              <w:rPr>
                <w:rFonts w:ascii="Arial" w:hAnsi="Arial" w:cs="Arial"/>
                <w:color w:val="000000"/>
                <w:sz w:val="20"/>
                <w:szCs w:val="20"/>
              </w:rPr>
              <w:t>77.9%</w:t>
            </w:r>
          </w:p>
        </w:tc>
        <w:tc>
          <w:tcPr>
            <w:tcW w:w="2193" w:type="dxa"/>
            <w:tcBorders>
              <w:top w:val="nil"/>
              <w:left w:val="nil"/>
              <w:bottom w:val="single" w:sz="4" w:space="0" w:color="auto"/>
              <w:right w:val="single" w:sz="4" w:space="0" w:color="auto"/>
            </w:tcBorders>
            <w:shd w:val="clear" w:color="000000" w:fill="FFFFFF"/>
            <w:vAlign w:val="center"/>
            <w:hideMark/>
          </w:tcPr>
          <w:p w14:paraId="384626BD" w14:textId="4E72C3F1" w:rsidR="00AE4E7E" w:rsidRPr="00800B3A" w:rsidRDefault="00AE4E7E" w:rsidP="00AE4E7E">
            <w:pPr>
              <w:keepNext/>
              <w:jc w:val="center"/>
              <w:rPr>
                <w:rFonts w:ascii="Arial" w:hAnsi="Arial" w:cs="Arial"/>
                <w:color w:val="000000"/>
                <w:sz w:val="20"/>
                <w:szCs w:val="20"/>
              </w:rPr>
            </w:pPr>
            <w:r w:rsidRPr="00800B3A">
              <w:rPr>
                <w:rFonts w:ascii="Arial" w:hAnsi="Arial" w:cs="Arial"/>
                <w:color w:val="000000"/>
                <w:sz w:val="20"/>
                <w:szCs w:val="20"/>
              </w:rPr>
              <w:t>76.5%</w:t>
            </w:r>
          </w:p>
        </w:tc>
      </w:tr>
    </w:tbl>
    <w:p w14:paraId="1347A72F" w14:textId="77777777" w:rsidR="00800B3A" w:rsidRDefault="00800B3A" w:rsidP="00800B3A">
      <w:pPr>
        <w:pStyle w:val="TableCaption"/>
        <w:keepNext/>
        <w:keepLines/>
      </w:pPr>
    </w:p>
    <w:p w14:paraId="5A29AFDC" w14:textId="414DC91B" w:rsidR="00DA4753" w:rsidRDefault="00DA4753" w:rsidP="00CC435E">
      <w:r>
        <w:t>Table 6.</w:t>
      </w:r>
      <w:r w:rsidR="00372CA5">
        <w:t>10</w:t>
      </w:r>
      <w:r>
        <w:t xml:space="preserve"> </w:t>
      </w:r>
      <w:r w:rsidR="00926C92">
        <w:t>lay</w:t>
      </w:r>
      <w:r>
        <w:t xml:space="preserve">s </w:t>
      </w:r>
      <w:r w:rsidR="00926C92">
        <w:t>out all the potential</w:t>
      </w:r>
      <w:r>
        <w:t xml:space="preserve"> sources of differences between the </w:t>
      </w:r>
      <w:r w:rsidRPr="005A62CA">
        <w:rPr>
          <w:i/>
        </w:rPr>
        <w:t>ex</w:t>
      </w:r>
      <w:r w:rsidR="00926C92" w:rsidRPr="005A62CA">
        <w:rPr>
          <w:i/>
        </w:rPr>
        <w:t>-</w:t>
      </w:r>
      <w:r w:rsidRPr="005A62CA">
        <w:rPr>
          <w:i/>
        </w:rPr>
        <w:t>post</w:t>
      </w:r>
      <w:r>
        <w:t xml:space="preserve"> and </w:t>
      </w:r>
      <w:r w:rsidRPr="005A62CA">
        <w:rPr>
          <w:i/>
        </w:rPr>
        <w:t>ex</w:t>
      </w:r>
      <w:r w:rsidR="00926C92" w:rsidRPr="005A62CA">
        <w:rPr>
          <w:i/>
        </w:rPr>
        <w:t>-</w:t>
      </w:r>
      <w:r w:rsidRPr="005A62CA">
        <w:rPr>
          <w:i/>
        </w:rPr>
        <w:t>ante</w:t>
      </w:r>
      <w:r>
        <w:t xml:space="preserve"> load impacts, </w:t>
      </w:r>
      <w:r w:rsidR="00926C92">
        <w:t xml:space="preserve">but it is </w:t>
      </w:r>
      <w:r w:rsidR="00756FAB">
        <w:t xml:space="preserve">using the single event hour FSL achievement rate that </w:t>
      </w:r>
      <w:r w:rsidR="00926C92">
        <w:t>primarily accounts for the differences, as explained above</w:t>
      </w:r>
      <w:r w:rsidR="00FE7791">
        <w:t>.</w:t>
      </w:r>
      <w:r w:rsidR="00784245">
        <w:t xml:space="preserve"> </w:t>
      </w:r>
    </w:p>
    <w:p w14:paraId="0C4C6404" w14:textId="77777777" w:rsidR="00DA4753" w:rsidRDefault="00DA4753" w:rsidP="00DA4753"/>
    <w:p w14:paraId="69A59FCD" w14:textId="06F0668D" w:rsidR="00DA4753" w:rsidRPr="008E5D4C" w:rsidRDefault="00DA4753" w:rsidP="00DA4753">
      <w:pPr>
        <w:pStyle w:val="TableCaption"/>
        <w:keepNext/>
        <w:keepLines/>
      </w:pPr>
      <w:bookmarkStart w:id="239" w:name="_Toc383598024"/>
      <w:bookmarkStart w:id="240" w:name="_Toc508800241"/>
      <w:r w:rsidRPr="00AE4E7E">
        <w:lastRenderedPageBreak/>
        <w:t>Table 6.</w:t>
      </w:r>
      <w:r w:rsidR="00372CA5" w:rsidRPr="00AE4E7E">
        <w:t>10</w:t>
      </w:r>
      <w:r w:rsidRPr="00AE4E7E">
        <w:t xml:space="preserve">: SCE </w:t>
      </w:r>
      <w:r w:rsidRPr="00AE4E7E">
        <w:rPr>
          <w:i/>
        </w:rPr>
        <w:t>Ex</w:t>
      </w:r>
      <w:r w:rsidR="005A62CA" w:rsidRPr="00AE4E7E">
        <w:rPr>
          <w:i/>
        </w:rPr>
        <w:t>-p</w:t>
      </w:r>
      <w:r w:rsidRPr="00AE4E7E">
        <w:rPr>
          <w:i/>
        </w:rPr>
        <w:t>ost</w:t>
      </w:r>
      <w:r w:rsidRPr="00AE4E7E">
        <w:t xml:space="preserve"> versus </w:t>
      </w:r>
      <w:r w:rsidRPr="00AE4E7E">
        <w:rPr>
          <w:i/>
        </w:rPr>
        <w:t>Ex</w:t>
      </w:r>
      <w:r w:rsidR="005A62CA" w:rsidRPr="00AE4E7E">
        <w:rPr>
          <w:i/>
        </w:rPr>
        <w:t>-a</w:t>
      </w:r>
      <w:r w:rsidRPr="00AE4E7E">
        <w:rPr>
          <w:i/>
        </w:rPr>
        <w:t>nte</w:t>
      </w:r>
      <w:r w:rsidRPr="00AE4E7E">
        <w:t xml:space="preserve"> Factors</w:t>
      </w:r>
      <w:bookmarkEnd w:id="239"/>
      <w:bookmarkEnd w:id="240"/>
    </w:p>
    <w:tbl>
      <w:tblPr>
        <w:tblW w:w="9452" w:type="dxa"/>
        <w:jc w:val="center"/>
        <w:tblLook w:val="04A0" w:firstRow="1" w:lastRow="0" w:firstColumn="1" w:lastColumn="0" w:noHBand="0" w:noVBand="1"/>
      </w:tblPr>
      <w:tblGrid>
        <w:gridCol w:w="1518"/>
        <w:gridCol w:w="2128"/>
        <w:gridCol w:w="3060"/>
        <w:gridCol w:w="2746"/>
      </w:tblGrid>
      <w:tr w:rsidR="00DA4753" w:rsidRPr="008E5D4C" w14:paraId="5FA6CDBE" w14:textId="77777777" w:rsidTr="00EB7A51">
        <w:trPr>
          <w:trHeight w:val="510"/>
          <w:jc w:val="center"/>
        </w:trPr>
        <w:tc>
          <w:tcPr>
            <w:tcW w:w="1518" w:type="dxa"/>
            <w:tcBorders>
              <w:top w:val="single" w:sz="4" w:space="0" w:color="auto"/>
              <w:left w:val="single" w:sz="4" w:space="0" w:color="auto"/>
              <w:bottom w:val="single" w:sz="4" w:space="0" w:color="auto"/>
              <w:right w:val="single" w:sz="4" w:space="0" w:color="FFFFFF" w:themeColor="background1"/>
            </w:tcBorders>
            <w:shd w:val="clear" w:color="auto" w:fill="0C2577"/>
            <w:vAlign w:val="center"/>
            <w:hideMark/>
          </w:tcPr>
          <w:p w14:paraId="11F07E13" w14:textId="77777777" w:rsidR="00DA4753" w:rsidRPr="008E5D4C" w:rsidRDefault="00DA4753" w:rsidP="00DA4753">
            <w:pPr>
              <w:pStyle w:val="TableHeader"/>
              <w:keepNext/>
              <w:keepLines/>
              <w:rPr>
                <w:color w:val="auto"/>
                <w:szCs w:val="20"/>
              </w:rPr>
            </w:pPr>
            <w:r w:rsidRPr="008E5D4C">
              <w:rPr>
                <w:color w:val="auto"/>
                <w:szCs w:val="20"/>
              </w:rPr>
              <w:t>Factor</w:t>
            </w:r>
          </w:p>
        </w:tc>
        <w:tc>
          <w:tcPr>
            <w:tcW w:w="2128"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C2577"/>
            <w:vAlign w:val="center"/>
            <w:hideMark/>
          </w:tcPr>
          <w:p w14:paraId="52216961" w14:textId="63F62B6B" w:rsidR="00DA4753" w:rsidRPr="005A62CA" w:rsidRDefault="00DA4753" w:rsidP="005A62CA">
            <w:pPr>
              <w:pStyle w:val="TableHeader"/>
              <w:keepNext/>
              <w:keepLines/>
              <w:rPr>
                <w:i/>
                <w:color w:val="auto"/>
                <w:szCs w:val="20"/>
              </w:rPr>
            </w:pPr>
            <w:r w:rsidRPr="005A62CA">
              <w:rPr>
                <w:i/>
                <w:color w:val="auto"/>
                <w:szCs w:val="20"/>
              </w:rPr>
              <w:t>Ex</w:t>
            </w:r>
            <w:r w:rsidR="005A62CA" w:rsidRPr="005A62CA">
              <w:rPr>
                <w:i/>
                <w:color w:val="auto"/>
                <w:szCs w:val="20"/>
              </w:rPr>
              <w:t>-p</w:t>
            </w:r>
            <w:r w:rsidRPr="005A62CA">
              <w:rPr>
                <w:i/>
                <w:color w:val="auto"/>
                <w:szCs w:val="20"/>
              </w:rPr>
              <w:t>ost</w:t>
            </w:r>
          </w:p>
        </w:tc>
        <w:tc>
          <w:tcPr>
            <w:tcW w:w="3060"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C2577"/>
            <w:vAlign w:val="center"/>
            <w:hideMark/>
          </w:tcPr>
          <w:p w14:paraId="66D49D34" w14:textId="707602CE" w:rsidR="00DA4753" w:rsidRPr="005A62CA" w:rsidRDefault="00DA4753" w:rsidP="005A62CA">
            <w:pPr>
              <w:pStyle w:val="TableHeader"/>
              <w:keepNext/>
              <w:keepLines/>
              <w:rPr>
                <w:i/>
                <w:color w:val="auto"/>
                <w:szCs w:val="20"/>
              </w:rPr>
            </w:pPr>
            <w:r w:rsidRPr="005A62CA">
              <w:rPr>
                <w:i/>
                <w:color w:val="auto"/>
                <w:szCs w:val="20"/>
              </w:rPr>
              <w:t>Ex</w:t>
            </w:r>
            <w:r w:rsidR="005A62CA" w:rsidRPr="005A62CA">
              <w:rPr>
                <w:i/>
                <w:color w:val="auto"/>
                <w:szCs w:val="20"/>
              </w:rPr>
              <w:t>-a</w:t>
            </w:r>
            <w:r w:rsidRPr="005A62CA">
              <w:rPr>
                <w:i/>
                <w:color w:val="auto"/>
                <w:szCs w:val="20"/>
              </w:rPr>
              <w:t>nte</w:t>
            </w:r>
          </w:p>
        </w:tc>
        <w:tc>
          <w:tcPr>
            <w:tcW w:w="2746" w:type="dxa"/>
            <w:tcBorders>
              <w:top w:val="single" w:sz="4" w:space="0" w:color="auto"/>
              <w:left w:val="single" w:sz="4" w:space="0" w:color="FFFFFF" w:themeColor="background1"/>
              <w:bottom w:val="single" w:sz="4" w:space="0" w:color="auto"/>
              <w:right w:val="single" w:sz="4" w:space="0" w:color="auto"/>
            </w:tcBorders>
            <w:shd w:val="clear" w:color="auto" w:fill="0C2577"/>
            <w:vAlign w:val="center"/>
            <w:hideMark/>
          </w:tcPr>
          <w:p w14:paraId="059FD479" w14:textId="77777777" w:rsidR="00DA4753" w:rsidRPr="008E5D4C" w:rsidRDefault="00DA4753" w:rsidP="00DA4753">
            <w:pPr>
              <w:pStyle w:val="TableHeader"/>
              <w:keepNext/>
              <w:keepLines/>
              <w:rPr>
                <w:color w:val="auto"/>
                <w:szCs w:val="20"/>
              </w:rPr>
            </w:pPr>
            <w:r w:rsidRPr="00F10A0C">
              <w:rPr>
                <w:color w:val="auto"/>
                <w:szCs w:val="20"/>
              </w:rPr>
              <w:t>Expected Impact</w:t>
            </w:r>
          </w:p>
        </w:tc>
      </w:tr>
      <w:tr w:rsidR="00DA4753" w:rsidRPr="007F356D" w14:paraId="4CA1FF70" w14:textId="77777777" w:rsidTr="005942A1">
        <w:trPr>
          <w:trHeight w:val="300"/>
          <w:jc w:val="center"/>
        </w:trPr>
        <w:tc>
          <w:tcPr>
            <w:tcW w:w="1518" w:type="dxa"/>
            <w:tcBorders>
              <w:top w:val="single" w:sz="4" w:space="0" w:color="auto"/>
              <w:left w:val="single" w:sz="4" w:space="0" w:color="auto"/>
              <w:bottom w:val="single" w:sz="4" w:space="0" w:color="auto"/>
              <w:right w:val="single" w:sz="4" w:space="0" w:color="auto"/>
            </w:tcBorders>
            <w:shd w:val="clear" w:color="auto" w:fill="auto"/>
            <w:noWrap/>
            <w:hideMark/>
          </w:tcPr>
          <w:p w14:paraId="1D2FDD2C" w14:textId="77777777" w:rsidR="00DA4753" w:rsidRPr="008E5D4C" w:rsidRDefault="00DA4753" w:rsidP="00DA4753">
            <w:pPr>
              <w:pStyle w:val="TableText"/>
              <w:keepNext/>
              <w:keepLines/>
              <w:jc w:val="left"/>
              <w:rPr>
                <w:sz w:val="20"/>
                <w:szCs w:val="20"/>
              </w:rPr>
            </w:pPr>
            <w:r w:rsidRPr="008E5D4C">
              <w:rPr>
                <w:sz w:val="20"/>
                <w:szCs w:val="20"/>
              </w:rPr>
              <w:t>Weather</w:t>
            </w:r>
          </w:p>
        </w:tc>
        <w:tc>
          <w:tcPr>
            <w:tcW w:w="2128" w:type="dxa"/>
            <w:tcBorders>
              <w:top w:val="single" w:sz="4" w:space="0" w:color="auto"/>
              <w:left w:val="nil"/>
              <w:bottom w:val="single" w:sz="4" w:space="0" w:color="auto"/>
              <w:right w:val="single" w:sz="4" w:space="0" w:color="auto"/>
            </w:tcBorders>
            <w:shd w:val="clear" w:color="auto" w:fill="auto"/>
            <w:noWrap/>
          </w:tcPr>
          <w:p w14:paraId="5044B115" w14:textId="414B8C2F" w:rsidR="00DA4753" w:rsidRPr="008E5D4C" w:rsidRDefault="00B84232" w:rsidP="00FE7791">
            <w:pPr>
              <w:pStyle w:val="TableText"/>
              <w:keepNext/>
              <w:keepLines/>
              <w:spacing w:after="120"/>
              <w:jc w:val="left"/>
              <w:rPr>
                <w:rFonts w:cs="Calibri"/>
                <w:sz w:val="20"/>
                <w:szCs w:val="20"/>
              </w:rPr>
            </w:pPr>
            <w:r>
              <w:rPr>
                <w:rFonts w:cs="Calibri"/>
                <w:sz w:val="20"/>
                <w:szCs w:val="20"/>
              </w:rPr>
              <w:t>74</w:t>
            </w:r>
            <w:r w:rsidR="00DA4753">
              <w:rPr>
                <w:rFonts w:cs="Calibri"/>
                <w:sz w:val="20"/>
                <w:szCs w:val="20"/>
              </w:rPr>
              <w:t xml:space="preserve"> degre</w:t>
            </w:r>
            <w:r w:rsidR="00147F60">
              <w:rPr>
                <w:rFonts w:cs="Calibri"/>
                <w:sz w:val="20"/>
                <w:szCs w:val="20"/>
              </w:rPr>
              <w:t>es Fahrenheit during event window</w:t>
            </w:r>
            <w:r w:rsidR="00DA4753">
              <w:rPr>
                <w:rFonts w:cs="Calibri"/>
                <w:sz w:val="20"/>
                <w:szCs w:val="20"/>
              </w:rPr>
              <w:t>.</w:t>
            </w:r>
          </w:p>
        </w:tc>
        <w:tc>
          <w:tcPr>
            <w:tcW w:w="3060" w:type="dxa"/>
            <w:tcBorders>
              <w:top w:val="single" w:sz="4" w:space="0" w:color="auto"/>
              <w:left w:val="nil"/>
              <w:bottom w:val="single" w:sz="4" w:space="0" w:color="auto"/>
              <w:right w:val="single" w:sz="4" w:space="0" w:color="auto"/>
            </w:tcBorders>
            <w:shd w:val="clear" w:color="000000" w:fill="FFFFFF"/>
          </w:tcPr>
          <w:p w14:paraId="764A5322" w14:textId="344B2276" w:rsidR="00DA4753" w:rsidRPr="008E5D4C" w:rsidRDefault="00B82FDD" w:rsidP="00926C92">
            <w:pPr>
              <w:pStyle w:val="TableText"/>
              <w:keepNext/>
              <w:keepLines/>
              <w:jc w:val="left"/>
              <w:rPr>
                <w:sz w:val="20"/>
                <w:szCs w:val="20"/>
              </w:rPr>
            </w:pPr>
            <w:r>
              <w:rPr>
                <w:rFonts w:cs="Calibri"/>
                <w:sz w:val="20"/>
                <w:szCs w:val="20"/>
              </w:rPr>
              <w:t>89</w:t>
            </w:r>
            <w:r w:rsidR="00DA4753">
              <w:rPr>
                <w:rFonts w:cs="Calibri"/>
                <w:sz w:val="20"/>
                <w:szCs w:val="20"/>
              </w:rPr>
              <w:t>.</w:t>
            </w:r>
            <w:r w:rsidR="00072D51">
              <w:rPr>
                <w:rFonts w:cs="Calibri"/>
                <w:sz w:val="20"/>
                <w:szCs w:val="20"/>
              </w:rPr>
              <w:t>6</w:t>
            </w:r>
            <w:r w:rsidR="00DA4753">
              <w:rPr>
                <w:rFonts w:cs="Calibri"/>
                <w:sz w:val="20"/>
                <w:szCs w:val="20"/>
              </w:rPr>
              <w:t xml:space="preserve"> degrees Fahrenheit during event hours on </w:t>
            </w:r>
            <w:r w:rsidR="00FE7791">
              <w:rPr>
                <w:rFonts w:cs="Calibri"/>
                <w:sz w:val="20"/>
                <w:szCs w:val="20"/>
              </w:rPr>
              <w:t xml:space="preserve">utility-specific </w:t>
            </w:r>
            <w:r w:rsidR="00DA4753">
              <w:rPr>
                <w:rFonts w:cs="Calibri"/>
                <w:sz w:val="20"/>
                <w:szCs w:val="20"/>
              </w:rPr>
              <w:t xml:space="preserve">1-in-2 Aug </w:t>
            </w:r>
            <w:r w:rsidR="00926C92">
              <w:rPr>
                <w:rFonts w:cs="Calibri"/>
                <w:sz w:val="20"/>
                <w:szCs w:val="20"/>
              </w:rPr>
              <w:t>typical event</w:t>
            </w:r>
            <w:r w:rsidR="00DA4753">
              <w:rPr>
                <w:rFonts w:cs="Calibri"/>
                <w:sz w:val="20"/>
                <w:szCs w:val="20"/>
              </w:rPr>
              <w:t xml:space="preserve"> day.</w:t>
            </w:r>
          </w:p>
        </w:tc>
        <w:tc>
          <w:tcPr>
            <w:tcW w:w="2746" w:type="dxa"/>
            <w:tcBorders>
              <w:top w:val="single" w:sz="4" w:space="0" w:color="auto"/>
              <w:left w:val="nil"/>
              <w:bottom w:val="single" w:sz="4" w:space="0" w:color="auto"/>
              <w:right w:val="single" w:sz="4" w:space="0" w:color="auto"/>
            </w:tcBorders>
            <w:shd w:val="clear" w:color="000000" w:fill="FFFFFF"/>
          </w:tcPr>
          <w:p w14:paraId="1C643DC2" w14:textId="6C9C2B81" w:rsidR="00DA4753" w:rsidRPr="008E5D4C" w:rsidRDefault="00072D51" w:rsidP="00784245">
            <w:pPr>
              <w:pStyle w:val="TableText"/>
              <w:keepNext/>
              <w:keepLines/>
              <w:jc w:val="left"/>
              <w:rPr>
                <w:sz w:val="20"/>
                <w:szCs w:val="20"/>
              </w:rPr>
            </w:pPr>
            <w:r>
              <w:rPr>
                <w:rFonts w:cs="Arial"/>
                <w:color w:val="000000"/>
                <w:sz w:val="20"/>
                <w:szCs w:val="20"/>
              </w:rPr>
              <w:t xml:space="preserve">Higher temperatures result in higher references loads for weather sensitive customers. </w:t>
            </w:r>
            <w:r w:rsidR="00AE4E7E">
              <w:rPr>
                <w:rFonts w:cs="Arial"/>
                <w:color w:val="000000"/>
                <w:sz w:val="20"/>
                <w:szCs w:val="20"/>
              </w:rPr>
              <w:t>There is l</w:t>
            </w:r>
            <w:r>
              <w:rPr>
                <w:rFonts w:cs="Arial"/>
                <w:color w:val="000000"/>
                <w:sz w:val="20"/>
                <w:szCs w:val="20"/>
              </w:rPr>
              <w:t xml:space="preserve">ittle </w:t>
            </w:r>
            <w:r w:rsidR="00AE4E7E">
              <w:rPr>
                <w:rFonts w:cs="Arial"/>
                <w:color w:val="000000"/>
                <w:sz w:val="20"/>
                <w:szCs w:val="20"/>
              </w:rPr>
              <w:t xml:space="preserve">effect on the load </w:t>
            </w:r>
            <w:r>
              <w:rPr>
                <w:rFonts w:cs="Arial"/>
                <w:color w:val="000000"/>
                <w:sz w:val="20"/>
                <w:szCs w:val="20"/>
              </w:rPr>
              <w:t xml:space="preserve">impact because most </w:t>
            </w:r>
            <w:r w:rsidR="00AE4E7E">
              <w:rPr>
                <w:rFonts w:cs="Arial"/>
                <w:color w:val="000000"/>
                <w:sz w:val="20"/>
                <w:szCs w:val="20"/>
              </w:rPr>
              <w:t xml:space="preserve">responsive </w:t>
            </w:r>
            <w:r>
              <w:rPr>
                <w:rFonts w:cs="Arial"/>
                <w:color w:val="000000"/>
                <w:sz w:val="20"/>
                <w:szCs w:val="20"/>
              </w:rPr>
              <w:t>customers are categorized as not weather sensitive</w:t>
            </w:r>
            <w:r w:rsidRPr="00F05294">
              <w:rPr>
                <w:rFonts w:cs="Arial"/>
                <w:color w:val="000000"/>
                <w:sz w:val="20"/>
                <w:szCs w:val="20"/>
              </w:rPr>
              <w:t>.</w:t>
            </w:r>
          </w:p>
        </w:tc>
      </w:tr>
      <w:tr w:rsidR="00DA4753" w:rsidRPr="007F356D" w14:paraId="17AF1043" w14:textId="77777777" w:rsidTr="005942A1">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7DD13BDB" w14:textId="77777777" w:rsidR="00DA4753" w:rsidRPr="008E5D4C" w:rsidRDefault="00DA4753" w:rsidP="00DA4753">
            <w:pPr>
              <w:pStyle w:val="TableText"/>
              <w:keepNext/>
              <w:keepLines/>
              <w:jc w:val="left"/>
              <w:rPr>
                <w:sz w:val="20"/>
                <w:szCs w:val="20"/>
              </w:rPr>
            </w:pPr>
            <w:r w:rsidRPr="008E5D4C">
              <w:rPr>
                <w:sz w:val="20"/>
                <w:szCs w:val="20"/>
              </w:rPr>
              <w:t>Event window</w:t>
            </w:r>
          </w:p>
        </w:tc>
        <w:tc>
          <w:tcPr>
            <w:tcW w:w="2128" w:type="dxa"/>
            <w:tcBorders>
              <w:top w:val="nil"/>
              <w:left w:val="nil"/>
              <w:bottom w:val="single" w:sz="4" w:space="0" w:color="auto"/>
              <w:right w:val="single" w:sz="4" w:space="0" w:color="auto"/>
            </w:tcBorders>
            <w:shd w:val="clear" w:color="auto" w:fill="auto"/>
            <w:noWrap/>
          </w:tcPr>
          <w:p w14:paraId="5EF24E65" w14:textId="43D0D321" w:rsidR="00DA4753" w:rsidRPr="008E5D4C" w:rsidRDefault="00DA4753" w:rsidP="00791DCB">
            <w:pPr>
              <w:pStyle w:val="TableText"/>
              <w:keepNext/>
              <w:keepLines/>
              <w:jc w:val="left"/>
              <w:rPr>
                <w:rFonts w:cs="Calibri"/>
                <w:sz w:val="20"/>
                <w:szCs w:val="20"/>
              </w:rPr>
            </w:pPr>
            <w:r>
              <w:rPr>
                <w:rFonts w:cs="Calibri"/>
                <w:sz w:val="20"/>
                <w:szCs w:val="20"/>
              </w:rPr>
              <w:t xml:space="preserve">HE </w:t>
            </w:r>
            <w:r w:rsidR="00756FAB">
              <w:rPr>
                <w:rFonts w:cs="Calibri"/>
                <w:sz w:val="20"/>
                <w:szCs w:val="20"/>
              </w:rPr>
              <w:t>2</w:t>
            </w:r>
            <w:r w:rsidR="00AE4E7E">
              <w:rPr>
                <w:rFonts w:cs="Calibri"/>
                <w:sz w:val="20"/>
                <w:szCs w:val="20"/>
              </w:rPr>
              <w:t>1 is the only full event hour (though the event spans parts of the surrounding hours)</w:t>
            </w:r>
            <w:r w:rsidR="00756FAB">
              <w:rPr>
                <w:rFonts w:cs="Calibri"/>
                <w:sz w:val="20"/>
                <w:szCs w:val="20"/>
              </w:rPr>
              <w:t>.</w:t>
            </w:r>
          </w:p>
        </w:tc>
        <w:tc>
          <w:tcPr>
            <w:tcW w:w="3060" w:type="dxa"/>
            <w:tcBorders>
              <w:top w:val="nil"/>
              <w:left w:val="nil"/>
              <w:bottom w:val="single" w:sz="4" w:space="0" w:color="auto"/>
              <w:right w:val="single" w:sz="4" w:space="0" w:color="auto"/>
            </w:tcBorders>
            <w:shd w:val="clear" w:color="000000" w:fill="FFFFFF"/>
          </w:tcPr>
          <w:p w14:paraId="10B6730D" w14:textId="77777777" w:rsidR="00DA4753" w:rsidRDefault="00DA4753" w:rsidP="00DA4753">
            <w:pPr>
              <w:pStyle w:val="TableText"/>
              <w:keepNext/>
              <w:keepLines/>
              <w:jc w:val="left"/>
              <w:rPr>
                <w:sz w:val="20"/>
                <w:szCs w:val="20"/>
              </w:rPr>
            </w:pPr>
            <w:r>
              <w:rPr>
                <w:sz w:val="20"/>
                <w:szCs w:val="20"/>
              </w:rPr>
              <w:t>HE 14-18 in Apr-Oct;</w:t>
            </w:r>
          </w:p>
          <w:p w14:paraId="426884F3" w14:textId="77777777" w:rsidR="00DA4753" w:rsidRPr="008E5D4C" w:rsidRDefault="00DA4753" w:rsidP="00DA4753">
            <w:pPr>
              <w:pStyle w:val="TableText"/>
              <w:keepNext/>
              <w:keepLines/>
              <w:jc w:val="left"/>
              <w:rPr>
                <w:sz w:val="20"/>
                <w:szCs w:val="20"/>
              </w:rPr>
            </w:pPr>
            <w:r>
              <w:rPr>
                <w:sz w:val="20"/>
                <w:szCs w:val="20"/>
              </w:rPr>
              <w:t>HE 17-21 in Nov-Mar.</w:t>
            </w:r>
          </w:p>
        </w:tc>
        <w:tc>
          <w:tcPr>
            <w:tcW w:w="2746" w:type="dxa"/>
            <w:tcBorders>
              <w:top w:val="nil"/>
              <w:left w:val="nil"/>
              <w:bottom w:val="single" w:sz="4" w:space="0" w:color="auto"/>
              <w:right w:val="single" w:sz="4" w:space="0" w:color="auto"/>
            </w:tcBorders>
            <w:shd w:val="clear" w:color="000000" w:fill="FFFFFF"/>
          </w:tcPr>
          <w:p w14:paraId="3EC14634" w14:textId="1B43184B" w:rsidR="00DA4753" w:rsidRPr="008E5D4C" w:rsidRDefault="00784245" w:rsidP="00807C6C">
            <w:pPr>
              <w:pStyle w:val="TableText"/>
              <w:keepNext/>
              <w:keepLines/>
              <w:jc w:val="left"/>
              <w:rPr>
                <w:sz w:val="20"/>
                <w:szCs w:val="20"/>
              </w:rPr>
            </w:pPr>
            <w:r>
              <w:rPr>
                <w:sz w:val="20"/>
                <w:szCs w:val="20"/>
              </w:rPr>
              <w:t xml:space="preserve">The </w:t>
            </w:r>
            <w:r w:rsidR="00147F60">
              <w:rPr>
                <w:sz w:val="20"/>
                <w:szCs w:val="20"/>
              </w:rPr>
              <w:t xml:space="preserve">slightly </w:t>
            </w:r>
            <w:r w:rsidR="00072D51">
              <w:rPr>
                <w:sz w:val="20"/>
                <w:szCs w:val="20"/>
              </w:rPr>
              <w:t xml:space="preserve">later </w:t>
            </w:r>
            <w:r w:rsidRPr="00807C6C">
              <w:rPr>
                <w:i/>
                <w:sz w:val="20"/>
                <w:szCs w:val="20"/>
              </w:rPr>
              <w:t>ex</w:t>
            </w:r>
            <w:r w:rsidR="00807C6C" w:rsidRPr="00807C6C">
              <w:rPr>
                <w:i/>
                <w:sz w:val="20"/>
                <w:szCs w:val="20"/>
              </w:rPr>
              <w:t>-</w:t>
            </w:r>
            <w:r w:rsidR="00147F60" w:rsidRPr="00807C6C">
              <w:rPr>
                <w:i/>
                <w:sz w:val="20"/>
                <w:szCs w:val="20"/>
              </w:rPr>
              <w:t>post</w:t>
            </w:r>
            <w:r>
              <w:rPr>
                <w:sz w:val="20"/>
                <w:szCs w:val="20"/>
              </w:rPr>
              <w:t xml:space="preserve"> event window </w:t>
            </w:r>
            <w:r w:rsidR="00147F60">
              <w:rPr>
                <w:sz w:val="20"/>
                <w:szCs w:val="20"/>
              </w:rPr>
              <w:t xml:space="preserve">tends toward slightly </w:t>
            </w:r>
            <w:r w:rsidR="00072D51">
              <w:rPr>
                <w:sz w:val="20"/>
                <w:szCs w:val="20"/>
              </w:rPr>
              <w:t xml:space="preserve">lower </w:t>
            </w:r>
            <w:r>
              <w:rPr>
                <w:sz w:val="20"/>
                <w:szCs w:val="20"/>
              </w:rPr>
              <w:t>reference loads and load</w:t>
            </w:r>
            <w:r w:rsidR="00147F60">
              <w:rPr>
                <w:sz w:val="20"/>
                <w:szCs w:val="20"/>
              </w:rPr>
              <w:t xml:space="preserve"> impacts relative to the </w:t>
            </w:r>
            <w:r w:rsidR="00147F60" w:rsidRPr="00807C6C">
              <w:rPr>
                <w:i/>
                <w:sz w:val="20"/>
                <w:szCs w:val="20"/>
              </w:rPr>
              <w:t>ex</w:t>
            </w:r>
            <w:r w:rsidR="00807C6C" w:rsidRPr="00807C6C">
              <w:rPr>
                <w:i/>
                <w:sz w:val="20"/>
                <w:szCs w:val="20"/>
              </w:rPr>
              <w:t>-</w:t>
            </w:r>
            <w:r w:rsidR="00147F60" w:rsidRPr="00807C6C">
              <w:rPr>
                <w:i/>
                <w:sz w:val="20"/>
                <w:szCs w:val="20"/>
              </w:rPr>
              <w:t>ante</w:t>
            </w:r>
            <w:r>
              <w:rPr>
                <w:sz w:val="20"/>
                <w:szCs w:val="20"/>
              </w:rPr>
              <w:t xml:space="preserve"> window. </w:t>
            </w:r>
          </w:p>
        </w:tc>
      </w:tr>
      <w:tr w:rsidR="00DA4753" w:rsidRPr="007F356D" w14:paraId="3D1D0037" w14:textId="77777777" w:rsidTr="005942A1">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320F85E0" w14:textId="77777777" w:rsidR="00DA4753" w:rsidRPr="008E5D4C" w:rsidRDefault="00DA4753" w:rsidP="00DA4753">
            <w:pPr>
              <w:pStyle w:val="TableText"/>
              <w:keepNext/>
              <w:keepLines/>
              <w:jc w:val="left"/>
              <w:rPr>
                <w:sz w:val="20"/>
                <w:szCs w:val="20"/>
              </w:rPr>
            </w:pPr>
            <w:r w:rsidRPr="008E5D4C">
              <w:rPr>
                <w:sz w:val="20"/>
                <w:szCs w:val="20"/>
              </w:rPr>
              <w:t>% of resource dispatched</w:t>
            </w:r>
          </w:p>
        </w:tc>
        <w:tc>
          <w:tcPr>
            <w:tcW w:w="2128" w:type="dxa"/>
            <w:tcBorders>
              <w:top w:val="nil"/>
              <w:left w:val="nil"/>
              <w:bottom w:val="single" w:sz="4" w:space="0" w:color="auto"/>
              <w:right w:val="single" w:sz="4" w:space="0" w:color="auto"/>
            </w:tcBorders>
            <w:shd w:val="clear" w:color="auto" w:fill="auto"/>
            <w:noWrap/>
          </w:tcPr>
          <w:p w14:paraId="188FAA4F" w14:textId="77777777" w:rsidR="00DA4753" w:rsidRPr="008E5D4C" w:rsidRDefault="00DA4753" w:rsidP="00DA4753">
            <w:pPr>
              <w:pStyle w:val="TableText"/>
              <w:keepNext/>
              <w:keepLines/>
              <w:jc w:val="left"/>
              <w:rPr>
                <w:rFonts w:cs="Calibri"/>
                <w:sz w:val="20"/>
                <w:szCs w:val="20"/>
              </w:rPr>
            </w:pPr>
            <w:r>
              <w:rPr>
                <w:rFonts w:cs="Calibri"/>
                <w:sz w:val="20"/>
                <w:szCs w:val="20"/>
              </w:rPr>
              <w:t>All customers were called.</w:t>
            </w:r>
          </w:p>
        </w:tc>
        <w:tc>
          <w:tcPr>
            <w:tcW w:w="3060" w:type="dxa"/>
            <w:tcBorders>
              <w:top w:val="nil"/>
              <w:left w:val="nil"/>
              <w:bottom w:val="single" w:sz="4" w:space="0" w:color="auto"/>
              <w:right w:val="single" w:sz="4" w:space="0" w:color="auto"/>
            </w:tcBorders>
            <w:shd w:val="clear" w:color="000000" w:fill="FFFFFF"/>
          </w:tcPr>
          <w:p w14:paraId="5A855A8F" w14:textId="77777777" w:rsidR="00DA4753" w:rsidRPr="008E5D4C" w:rsidRDefault="00DA4753" w:rsidP="00DA4753">
            <w:pPr>
              <w:pStyle w:val="TableText"/>
              <w:keepNext/>
              <w:keepLines/>
              <w:jc w:val="left"/>
              <w:rPr>
                <w:sz w:val="20"/>
                <w:szCs w:val="20"/>
              </w:rPr>
            </w:pPr>
            <w:r>
              <w:rPr>
                <w:sz w:val="20"/>
                <w:szCs w:val="20"/>
              </w:rPr>
              <w:t>Assume all customers are called.</w:t>
            </w:r>
          </w:p>
        </w:tc>
        <w:tc>
          <w:tcPr>
            <w:tcW w:w="2746" w:type="dxa"/>
            <w:tcBorders>
              <w:top w:val="nil"/>
              <w:left w:val="nil"/>
              <w:bottom w:val="single" w:sz="4" w:space="0" w:color="auto"/>
              <w:right w:val="single" w:sz="4" w:space="0" w:color="auto"/>
            </w:tcBorders>
            <w:shd w:val="clear" w:color="000000" w:fill="FFFFFF"/>
          </w:tcPr>
          <w:p w14:paraId="48F01330" w14:textId="5D85D65D" w:rsidR="00DA4753" w:rsidRPr="008E5D4C" w:rsidRDefault="00DA4753" w:rsidP="00807C6C">
            <w:pPr>
              <w:pStyle w:val="TableText"/>
              <w:keepNext/>
              <w:keepLines/>
              <w:jc w:val="left"/>
              <w:rPr>
                <w:sz w:val="20"/>
                <w:szCs w:val="20"/>
              </w:rPr>
            </w:pPr>
            <w:r>
              <w:rPr>
                <w:sz w:val="20"/>
                <w:szCs w:val="20"/>
              </w:rPr>
              <w:t xml:space="preserve">None. The </w:t>
            </w:r>
            <w:r w:rsidRPr="00807C6C">
              <w:rPr>
                <w:i/>
                <w:sz w:val="20"/>
                <w:szCs w:val="20"/>
              </w:rPr>
              <w:t>ex</w:t>
            </w:r>
            <w:r w:rsidR="00807C6C" w:rsidRPr="00807C6C">
              <w:rPr>
                <w:i/>
                <w:sz w:val="20"/>
                <w:szCs w:val="20"/>
              </w:rPr>
              <w:t>-</w:t>
            </w:r>
            <w:r w:rsidRPr="00807C6C">
              <w:rPr>
                <w:i/>
                <w:sz w:val="20"/>
                <w:szCs w:val="20"/>
              </w:rPr>
              <w:t>ante</w:t>
            </w:r>
            <w:r>
              <w:rPr>
                <w:sz w:val="20"/>
                <w:szCs w:val="20"/>
              </w:rPr>
              <w:t xml:space="preserve"> method assumes that all enrolled customers are dispatched.</w:t>
            </w:r>
          </w:p>
        </w:tc>
      </w:tr>
      <w:tr w:rsidR="00DA4753" w:rsidRPr="007F356D" w14:paraId="00A8C114" w14:textId="77777777" w:rsidTr="005942A1">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1C9E076A" w14:textId="77777777" w:rsidR="00DA4753" w:rsidRPr="008E5D4C" w:rsidRDefault="00DA4753" w:rsidP="00DA4753">
            <w:pPr>
              <w:pStyle w:val="TableText"/>
              <w:keepNext/>
              <w:keepLines/>
              <w:jc w:val="left"/>
              <w:rPr>
                <w:sz w:val="20"/>
                <w:szCs w:val="20"/>
              </w:rPr>
            </w:pPr>
            <w:r w:rsidRPr="008E5D4C">
              <w:rPr>
                <w:sz w:val="20"/>
                <w:szCs w:val="20"/>
              </w:rPr>
              <w:t>Enrollment</w:t>
            </w:r>
          </w:p>
        </w:tc>
        <w:tc>
          <w:tcPr>
            <w:tcW w:w="2128" w:type="dxa"/>
            <w:tcBorders>
              <w:top w:val="nil"/>
              <w:left w:val="nil"/>
              <w:bottom w:val="single" w:sz="4" w:space="0" w:color="auto"/>
              <w:right w:val="single" w:sz="4" w:space="0" w:color="auto"/>
            </w:tcBorders>
            <w:shd w:val="clear" w:color="auto" w:fill="auto"/>
            <w:noWrap/>
          </w:tcPr>
          <w:p w14:paraId="758F2148" w14:textId="3069BDF3" w:rsidR="00DA4753" w:rsidRPr="008E5D4C" w:rsidRDefault="00756FAB" w:rsidP="002E033B">
            <w:pPr>
              <w:pStyle w:val="TableText"/>
              <w:keepNext/>
              <w:keepLines/>
              <w:jc w:val="left"/>
              <w:rPr>
                <w:rFonts w:cs="Calibri"/>
                <w:sz w:val="20"/>
                <w:szCs w:val="20"/>
              </w:rPr>
            </w:pPr>
            <w:r>
              <w:rPr>
                <w:rFonts w:cs="Calibri"/>
                <w:sz w:val="20"/>
                <w:szCs w:val="20"/>
              </w:rPr>
              <w:t xml:space="preserve">571 </w:t>
            </w:r>
            <w:r w:rsidR="00DF5A48">
              <w:rPr>
                <w:sz w:val="20"/>
                <w:szCs w:val="20"/>
              </w:rPr>
              <w:t>c</w:t>
            </w:r>
            <w:r w:rsidR="00DF5A48">
              <w:rPr>
                <w:rFonts w:cs="Arial"/>
                <w:color w:val="000000"/>
                <w:sz w:val="20"/>
                <w:szCs w:val="20"/>
              </w:rPr>
              <w:t>ustomers</w:t>
            </w:r>
            <w:r w:rsidR="00DF5A48">
              <w:rPr>
                <w:rFonts w:cs="Calibri"/>
                <w:sz w:val="20"/>
                <w:szCs w:val="20"/>
              </w:rPr>
              <w:t xml:space="preserve"> </w:t>
            </w:r>
            <w:r w:rsidR="00DA4753">
              <w:rPr>
                <w:rFonts w:cs="Calibri"/>
                <w:sz w:val="20"/>
                <w:szCs w:val="20"/>
              </w:rPr>
              <w:t xml:space="preserve">during the </w:t>
            </w:r>
            <w:r w:rsidR="00784245" w:rsidRPr="002E033B">
              <w:rPr>
                <w:rFonts w:cs="Calibri"/>
                <w:i/>
                <w:sz w:val="20"/>
                <w:szCs w:val="20"/>
              </w:rPr>
              <w:t>ex</w:t>
            </w:r>
            <w:r w:rsidR="002E033B" w:rsidRPr="002E033B">
              <w:rPr>
                <w:rFonts w:cs="Calibri"/>
                <w:i/>
                <w:sz w:val="20"/>
                <w:szCs w:val="20"/>
              </w:rPr>
              <w:t>-</w:t>
            </w:r>
            <w:r w:rsidR="00784245" w:rsidRPr="002E033B">
              <w:rPr>
                <w:rFonts w:cs="Calibri"/>
                <w:i/>
                <w:sz w:val="20"/>
                <w:szCs w:val="20"/>
              </w:rPr>
              <w:t>post</w:t>
            </w:r>
            <w:r w:rsidR="00784245">
              <w:rPr>
                <w:rFonts w:cs="Calibri"/>
                <w:sz w:val="20"/>
                <w:szCs w:val="20"/>
              </w:rPr>
              <w:t xml:space="preserve"> </w:t>
            </w:r>
            <w:r w:rsidR="00DA4753">
              <w:rPr>
                <w:rFonts w:cs="Calibri"/>
                <w:sz w:val="20"/>
                <w:szCs w:val="20"/>
              </w:rPr>
              <w:t>event day.</w:t>
            </w:r>
          </w:p>
        </w:tc>
        <w:tc>
          <w:tcPr>
            <w:tcW w:w="3060" w:type="dxa"/>
            <w:tcBorders>
              <w:top w:val="nil"/>
              <w:left w:val="nil"/>
              <w:bottom w:val="single" w:sz="4" w:space="0" w:color="auto"/>
              <w:right w:val="single" w:sz="4" w:space="0" w:color="auto"/>
            </w:tcBorders>
            <w:shd w:val="clear" w:color="000000" w:fill="FFFFFF"/>
          </w:tcPr>
          <w:p w14:paraId="0EFCB4B4" w14:textId="14DB83C3" w:rsidR="00DA4753" w:rsidRPr="008E5D4C" w:rsidRDefault="00756FAB" w:rsidP="00B82FDD">
            <w:pPr>
              <w:pStyle w:val="TableText"/>
              <w:keepNext/>
              <w:keepLines/>
              <w:jc w:val="left"/>
              <w:rPr>
                <w:sz w:val="20"/>
                <w:szCs w:val="20"/>
              </w:rPr>
            </w:pPr>
            <w:r>
              <w:rPr>
                <w:sz w:val="20"/>
                <w:szCs w:val="20"/>
              </w:rPr>
              <w:t xml:space="preserve">560 </w:t>
            </w:r>
            <w:r w:rsidR="00DF5A48">
              <w:rPr>
                <w:sz w:val="20"/>
                <w:szCs w:val="20"/>
              </w:rPr>
              <w:t>c</w:t>
            </w:r>
            <w:r w:rsidR="00DF5A48">
              <w:rPr>
                <w:rFonts w:cs="Arial"/>
                <w:color w:val="000000"/>
                <w:sz w:val="20"/>
                <w:szCs w:val="20"/>
              </w:rPr>
              <w:t>ustomers</w:t>
            </w:r>
            <w:r w:rsidR="00DF5A48">
              <w:rPr>
                <w:sz w:val="20"/>
                <w:szCs w:val="20"/>
              </w:rPr>
              <w:t xml:space="preserve"> </w:t>
            </w:r>
            <w:r w:rsidR="00DA4753">
              <w:rPr>
                <w:sz w:val="20"/>
                <w:szCs w:val="20"/>
              </w:rPr>
              <w:t xml:space="preserve">in August </w:t>
            </w:r>
            <w:r>
              <w:rPr>
                <w:sz w:val="20"/>
                <w:szCs w:val="20"/>
              </w:rPr>
              <w:t>2018</w:t>
            </w:r>
            <w:r w:rsidR="00DA4753">
              <w:rPr>
                <w:sz w:val="20"/>
                <w:szCs w:val="20"/>
              </w:rPr>
              <w:t>.</w:t>
            </w:r>
          </w:p>
        </w:tc>
        <w:tc>
          <w:tcPr>
            <w:tcW w:w="2746" w:type="dxa"/>
            <w:tcBorders>
              <w:top w:val="nil"/>
              <w:left w:val="nil"/>
              <w:bottom w:val="single" w:sz="4" w:space="0" w:color="auto"/>
              <w:right w:val="single" w:sz="4" w:space="0" w:color="auto"/>
            </w:tcBorders>
            <w:shd w:val="clear" w:color="000000" w:fill="FFFFFF"/>
          </w:tcPr>
          <w:p w14:paraId="0FAD2673" w14:textId="751F07DB" w:rsidR="00DA4753" w:rsidRPr="008E5D4C" w:rsidRDefault="00AE4E7E" w:rsidP="005942A1">
            <w:pPr>
              <w:pStyle w:val="TableText"/>
              <w:keepNext/>
              <w:keepLines/>
              <w:jc w:val="left"/>
              <w:rPr>
                <w:sz w:val="20"/>
                <w:szCs w:val="20"/>
              </w:rPr>
            </w:pPr>
            <w:r>
              <w:rPr>
                <w:sz w:val="20"/>
                <w:szCs w:val="20"/>
              </w:rPr>
              <w:t>Lower enrollment reduces the aggregate load impact but increases the per-customer impacts for a net positive effect.</w:t>
            </w:r>
          </w:p>
        </w:tc>
      </w:tr>
      <w:tr w:rsidR="00DA4753" w:rsidRPr="007F356D" w14:paraId="5C3183AE" w14:textId="77777777" w:rsidTr="005942A1">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6503D1B0" w14:textId="77777777" w:rsidR="00DA4753" w:rsidRPr="008E5D4C" w:rsidRDefault="00DA4753" w:rsidP="00DA4753">
            <w:pPr>
              <w:pStyle w:val="TableText"/>
              <w:keepNext/>
              <w:keepLines/>
              <w:jc w:val="left"/>
              <w:rPr>
                <w:sz w:val="20"/>
                <w:szCs w:val="20"/>
              </w:rPr>
            </w:pPr>
            <w:r w:rsidRPr="008E5D4C">
              <w:rPr>
                <w:sz w:val="20"/>
                <w:szCs w:val="20"/>
              </w:rPr>
              <w:t>Methodology</w:t>
            </w:r>
          </w:p>
        </w:tc>
        <w:tc>
          <w:tcPr>
            <w:tcW w:w="2128" w:type="dxa"/>
            <w:tcBorders>
              <w:top w:val="nil"/>
              <w:left w:val="nil"/>
              <w:bottom w:val="single" w:sz="4" w:space="0" w:color="auto"/>
              <w:right w:val="single" w:sz="4" w:space="0" w:color="auto"/>
            </w:tcBorders>
            <w:shd w:val="clear" w:color="auto" w:fill="auto"/>
            <w:noWrap/>
          </w:tcPr>
          <w:p w14:paraId="5E903A55" w14:textId="005079FA" w:rsidR="00DA4753" w:rsidRPr="008E5D4C" w:rsidRDefault="00DF5A48" w:rsidP="00DA4753">
            <w:pPr>
              <w:pStyle w:val="TableText"/>
              <w:keepNext/>
              <w:keepLines/>
              <w:spacing w:after="120"/>
              <w:jc w:val="left"/>
              <w:rPr>
                <w:rFonts w:cs="Calibri"/>
                <w:sz w:val="20"/>
                <w:szCs w:val="20"/>
              </w:rPr>
            </w:pPr>
            <w:r>
              <w:rPr>
                <w:sz w:val="20"/>
                <w:szCs w:val="20"/>
              </w:rPr>
              <w:t>c</w:t>
            </w:r>
            <w:r>
              <w:rPr>
                <w:rFonts w:cs="Arial"/>
                <w:color w:val="000000"/>
                <w:sz w:val="20"/>
                <w:szCs w:val="20"/>
              </w:rPr>
              <w:t>ustomer</w:t>
            </w:r>
            <w:r w:rsidR="00DA4753">
              <w:rPr>
                <w:rFonts w:cs="Calibri"/>
                <w:sz w:val="20"/>
                <w:szCs w:val="20"/>
              </w:rPr>
              <w:t>-specific regressions using own within-subject analysis.</w:t>
            </w:r>
          </w:p>
        </w:tc>
        <w:tc>
          <w:tcPr>
            <w:tcW w:w="3060" w:type="dxa"/>
            <w:tcBorders>
              <w:top w:val="nil"/>
              <w:left w:val="nil"/>
              <w:bottom w:val="single" w:sz="4" w:space="0" w:color="auto"/>
              <w:right w:val="single" w:sz="4" w:space="0" w:color="auto"/>
            </w:tcBorders>
            <w:shd w:val="clear" w:color="000000" w:fill="FFFFFF"/>
          </w:tcPr>
          <w:p w14:paraId="5E1ABBAC" w14:textId="0FE0BB8A" w:rsidR="00DA4753" w:rsidRPr="008E5D4C" w:rsidRDefault="00DA4753" w:rsidP="00784245">
            <w:pPr>
              <w:pStyle w:val="TableText"/>
              <w:keepNext/>
              <w:keepLines/>
              <w:jc w:val="left"/>
              <w:rPr>
                <w:sz w:val="20"/>
                <w:szCs w:val="20"/>
              </w:rPr>
            </w:pPr>
            <w:r>
              <w:rPr>
                <w:sz w:val="20"/>
                <w:szCs w:val="20"/>
              </w:rPr>
              <w:t xml:space="preserve">Reference loads are simulated from </w:t>
            </w:r>
            <w:r w:rsidR="00DF5A48">
              <w:rPr>
                <w:sz w:val="20"/>
                <w:szCs w:val="20"/>
              </w:rPr>
              <w:t>c</w:t>
            </w:r>
            <w:r w:rsidR="00DF5A48">
              <w:rPr>
                <w:rFonts w:cs="Arial"/>
                <w:color w:val="000000"/>
                <w:sz w:val="20"/>
                <w:szCs w:val="20"/>
              </w:rPr>
              <w:t>ustomer</w:t>
            </w:r>
            <w:r>
              <w:rPr>
                <w:rFonts w:cs="Calibri"/>
                <w:sz w:val="20"/>
                <w:szCs w:val="20"/>
              </w:rPr>
              <w:t xml:space="preserve">-specific regressions. Load impacts are based on </w:t>
            </w:r>
            <w:r w:rsidR="00784245">
              <w:rPr>
                <w:rFonts w:cs="Calibri"/>
                <w:sz w:val="20"/>
                <w:szCs w:val="20"/>
              </w:rPr>
              <w:t xml:space="preserve">the </w:t>
            </w:r>
            <w:r w:rsidR="00DF5A48">
              <w:rPr>
                <w:sz w:val="20"/>
                <w:szCs w:val="20"/>
              </w:rPr>
              <w:t>c</w:t>
            </w:r>
            <w:r w:rsidR="00DF5A48">
              <w:rPr>
                <w:rFonts w:cs="Arial"/>
                <w:color w:val="000000"/>
                <w:sz w:val="20"/>
                <w:szCs w:val="20"/>
              </w:rPr>
              <w:t>ustomer</w:t>
            </w:r>
            <w:r>
              <w:rPr>
                <w:rFonts w:cs="Calibri"/>
                <w:sz w:val="20"/>
                <w:szCs w:val="20"/>
              </w:rPr>
              <w:t>-specific load impacts</w:t>
            </w:r>
            <w:r w:rsidR="00147F60">
              <w:rPr>
                <w:rFonts w:cs="Calibri"/>
                <w:sz w:val="20"/>
                <w:szCs w:val="20"/>
              </w:rPr>
              <w:t xml:space="preserve"> from the PY201</w:t>
            </w:r>
            <w:r w:rsidR="00756FAB">
              <w:rPr>
                <w:rFonts w:cs="Calibri"/>
                <w:sz w:val="20"/>
                <w:szCs w:val="20"/>
              </w:rPr>
              <w:t>7</w:t>
            </w:r>
            <w:r w:rsidR="00784245">
              <w:rPr>
                <w:rFonts w:cs="Calibri"/>
                <w:sz w:val="20"/>
                <w:szCs w:val="20"/>
              </w:rPr>
              <w:t xml:space="preserve"> event day</w:t>
            </w:r>
            <w:r w:rsidR="00756FAB">
              <w:rPr>
                <w:rFonts w:cs="Calibri"/>
                <w:sz w:val="20"/>
                <w:szCs w:val="20"/>
              </w:rPr>
              <w:t xml:space="preserve"> during HE 21</w:t>
            </w:r>
            <w:r>
              <w:rPr>
                <w:rFonts w:cs="Calibri"/>
                <w:sz w:val="20"/>
                <w:szCs w:val="20"/>
              </w:rPr>
              <w:t>.</w:t>
            </w:r>
          </w:p>
        </w:tc>
        <w:tc>
          <w:tcPr>
            <w:tcW w:w="2746" w:type="dxa"/>
            <w:tcBorders>
              <w:top w:val="nil"/>
              <w:left w:val="nil"/>
              <w:bottom w:val="single" w:sz="4" w:space="0" w:color="auto"/>
              <w:right w:val="single" w:sz="4" w:space="0" w:color="auto"/>
            </w:tcBorders>
            <w:shd w:val="clear" w:color="000000" w:fill="FFFFFF"/>
          </w:tcPr>
          <w:p w14:paraId="429EABCC" w14:textId="3F16BF36" w:rsidR="00DA4753" w:rsidRPr="008E5D4C" w:rsidRDefault="00756FAB" w:rsidP="00807C6C">
            <w:pPr>
              <w:pStyle w:val="TableText"/>
              <w:keepNext/>
              <w:keepLines/>
              <w:jc w:val="left"/>
              <w:rPr>
                <w:sz w:val="20"/>
                <w:szCs w:val="20"/>
              </w:rPr>
            </w:pPr>
            <w:r>
              <w:rPr>
                <w:sz w:val="20"/>
                <w:szCs w:val="20"/>
              </w:rPr>
              <w:t xml:space="preserve">Using the single </w:t>
            </w:r>
            <w:r>
              <w:rPr>
                <w:i/>
                <w:sz w:val="20"/>
                <w:szCs w:val="20"/>
              </w:rPr>
              <w:t>ex-post</w:t>
            </w:r>
            <w:r>
              <w:rPr>
                <w:sz w:val="20"/>
                <w:szCs w:val="20"/>
              </w:rPr>
              <w:t xml:space="preserve"> event hour FSL achievement rate provides a larger </w:t>
            </w:r>
            <w:r>
              <w:rPr>
                <w:i/>
                <w:sz w:val="20"/>
                <w:szCs w:val="20"/>
              </w:rPr>
              <w:t>ex-ante</w:t>
            </w:r>
            <w:r>
              <w:rPr>
                <w:sz w:val="20"/>
                <w:szCs w:val="20"/>
              </w:rPr>
              <w:t xml:space="preserve"> load impact than if using that of the average event hour</w:t>
            </w:r>
            <w:r>
              <w:rPr>
                <w:i/>
                <w:sz w:val="20"/>
                <w:szCs w:val="20"/>
              </w:rPr>
              <w:t>.</w:t>
            </w:r>
          </w:p>
        </w:tc>
      </w:tr>
    </w:tbl>
    <w:p w14:paraId="72958A7E" w14:textId="77777777" w:rsidR="00DA4753" w:rsidRDefault="00DA4753" w:rsidP="00DA4753"/>
    <w:p w14:paraId="106EBC93" w14:textId="25B4936A" w:rsidR="00DA4753" w:rsidRDefault="00DA4753" w:rsidP="00DA4753">
      <w:pPr>
        <w:pStyle w:val="Heading2"/>
      </w:pPr>
      <w:bookmarkStart w:id="241" w:name="_Toc383597961"/>
      <w:bookmarkStart w:id="242" w:name="_Toc510091140"/>
      <w:r>
        <w:t>6.3 SDG&amp;E</w:t>
      </w:r>
      <w:bookmarkEnd w:id="241"/>
      <w:bookmarkEnd w:id="242"/>
      <w:r w:rsidR="006F6D54">
        <w:t xml:space="preserve"> </w:t>
      </w:r>
    </w:p>
    <w:p w14:paraId="034515B8" w14:textId="4F037CCD" w:rsidR="00DA4753" w:rsidRDefault="00DA4753" w:rsidP="00DA4753">
      <w:pPr>
        <w:pStyle w:val="Heading3"/>
      </w:pPr>
      <w:bookmarkStart w:id="243" w:name="_Toc383597962"/>
      <w:bookmarkStart w:id="244" w:name="_Toc510091141"/>
      <w:r>
        <w:t xml:space="preserve">6.3.1 Previous versus current </w:t>
      </w:r>
      <w:r w:rsidRPr="000F1678">
        <w:rPr>
          <w:i/>
        </w:rPr>
        <w:t>ex</w:t>
      </w:r>
      <w:r w:rsidR="000F1678" w:rsidRPr="000F1678">
        <w:rPr>
          <w:i/>
        </w:rPr>
        <w:t>-</w:t>
      </w:r>
      <w:r w:rsidRPr="000F1678">
        <w:rPr>
          <w:i/>
        </w:rPr>
        <w:t>post</w:t>
      </w:r>
      <w:bookmarkEnd w:id="243"/>
      <w:bookmarkEnd w:id="244"/>
    </w:p>
    <w:p w14:paraId="248AC4FC" w14:textId="6A1F7A37" w:rsidR="0022673D" w:rsidRDefault="00DA4753" w:rsidP="00DA4753">
      <w:r>
        <w:t>Table 6.1</w:t>
      </w:r>
      <w:r w:rsidR="00372CA5">
        <w:t>1</w:t>
      </w:r>
      <w:r>
        <w:t xml:space="preserve"> compares </w:t>
      </w:r>
      <w:r w:rsidRPr="00295A23">
        <w:rPr>
          <w:i/>
        </w:rPr>
        <w:t>ex</w:t>
      </w:r>
      <w:r w:rsidR="00295A23" w:rsidRPr="00295A23">
        <w:rPr>
          <w:i/>
        </w:rPr>
        <w:t>-</w:t>
      </w:r>
      <w:r w:rsidRPr="00295A23">
        <w:rPr>
          <w:i/>
        </w:rPr>
        <w:t>post</w:t>
      </w:r>
      <w:r>
        <w:t xml:space="preserve"> load impacts </w:t>
      </w:r>
      <w:r w:rsidR="001C27AE">
        <w:t xml:space="preserve">between </w:t>
      </w:r>
      <w:r w:rsidR="00E102DF">
        <w:t xml:space="preserve">PY2016 </w:t>
      </w:r>
      <w:r w:rsidR="0022673D">
        <w:t>and PY201</w:t>
      </w:r>
      <w:r w:rsidR="00E102DF">
        <w:t>7</w:t>
      </w:r>
      <w:r w:rsidR="0022673D">
        <w:t xml:space="preserve">. </w:t>
      </w:r>
      <w:r w:rsidR="001C27AE">
        <w:t xml:space="preserve">The </w:t>
      </w:r>
      <w:r w:rsidR="00E102DF">
        <w:t xml:space="preserve">PY2016 </w:t>
      </w:r>
      <w:r w:rsidR="001C27AE">
        <w:t xml:space="preserve">load impacts are based on the </w:t>
      </w:r>
      <w:r w:rsidR="00E102DF">
        <w:t>September 26</w:t>
      </w:r>
      <w:r w:rsidR="001C27AE">
        <w:t>, 201</w:t>
      </w:r>
      <w:r w:rsidR="00E102DF">
        <w:t>6</w:t>
      </w:r>
      <w:r w:rsidR="001C27AE">
        <w:t xml:space="preserve"> event</w:t>
      </w:r>
      <w:r w:rsidR="001D3191">
        <w:t xml:space="preserve"> with event hours-ending 14 through 17</w:t>
      </w:r>
      <w:r w:rsidR="001C27AE">
        <w:t xml:space="preserve">, while the </w:t>
      </w:r>
      <w:r w:rsidR="00E102DF">
        <w:t>PY2017</w:t>
      </w:r>
      <w:r w:rsidR="00090C1B">
        <w:t xml:space="preserve"> </w:t>
      </w:r>
      <w:r w:rsidR="001C27AE">
        <w:t xml:space="preserve">load impacts are based on the single </w:t>
      </w:r>
      <w:r w:rsidR="00E102DF">
        <w:t>August 31, 2017</w:t>
      </w:r>
      <w:r w:rsidR="001C27AE">
        <w:t xml:space="preserve"> event</w:t>
      </w:r>
      <w:r w:rsidR="001D3191">
        <w:t xml:space="preserve"> with event hours-ending 12 through 15</w:t>
      </w:r>
      <w:r w:rsidR="001C27AE" w:rsidRPr="00D767FD">
        <w:rPr>
          <w:shd w:val="clear" w:color="auto" w:fill="FFFFFF" w:themeFill="background1"/>
        </w:rPr>
        <w:t xml:space="preserve">. </w:t>
      </w:r>
      <w:r w:rsidR="001C27AE" w:rsidRPr="0086367A">
        <w:rPr>
          <w:shd w:val="clear" w:color="auto" w:fill="FFFFFF" w:themeFill="background1"/>
        </w:rPr>
        <w:t xml:space="preserve">Enrollment has dropped from seven to </w:t>
      </w:r>
      <w:r w:rsidR="009C6DD1" w:rsidRPr="0086367A">
        <w:rPr>
          <w:shd w:val="clear" w:color="auto" w:fill="FFFFFF" w:themeFill="background1"/>
        </w:rPr>
        <w:t>six</w:t>
      </w:r>
      <w:r w:rsidR="001C27AE" w:rsidRPr="0086367A">
        <w:rPr>
          <w:shd w:val="clear" w:color="auto" w:fill="FFFFFF" w:themeFill="background1"/>
        </w:rPr>
        <w:t xml:space="preserve">, </w:t>
      </w:r>
      <w:r w:rsidR="009C6DD1" w:rsidRPr="0086367A">
        <w:rPr>
          <w:shd w:val="clear" w:color="auto" w:fill="FFFFFF" w:themeFill="background1"/>
        </w:rPr>
        <w:t>yet loads have increased slightly</w:t>
      </w:r>
      <w:r w:rsidR="001C27AE" w:rsidRPr="0086367A">
        <w:rPr>
          <w:shd w:val="clear" w:color="auto" w:fill="FFFFFF" w:themeFill="background1"/>
        </w:rPr>
        <w:t>.</w:t>
      </w:r>
      <w:r w:rsidR="001D3191" w:rsidRPr="0086367A">
        <w:rPr>
          <w:shd w:val="clear" w:color="auto" w:fill="FFFFFF" w:themeFill="background1"/>
        </w:rPr>
        <w:t xml:space="preserve"> The increase in reference loads occurs because the earlier event hours in PY2017correspond to a period of higher loads for the enrolled customers.</w:t>
      </w:r>
    </w:p>
    <w:p w14:paraId="2E6FF6E4" w14:textId="77777777" w:rsidR="00DA4753" w:rsidRDefault="00DA4753" w:rsidP="00DA4753"/>
    <w:p w14:paraId="19521A64" w14:textId="37BC2703" w:rsidR="00FC3979" w:rsidRDefault="00DA4753" w:rsidP="00FC3979">
      <w:pPr>
        <w:pStyle w:val="TableCaption"/>
        <w:keepNext/>
        <w:keepLines/>
        <w:rPr>
          <w:i/>
        </w:rPr>
      </w:pPr>
      <w:bookmarkStart w:id="245" w:name="_Toc383598025"/>
      <w:bookmarkStart w:id="246" w:name="_Toc508800242"/>
      <w:r w:rsidRPr="00376F46">
        <w:lastRenderedPageBreak/>
        <w:t xml:space="preserve">Table </w:t>
      </w:r>
      <w:r>
        <w:t>6</w:t>
      </w:r>
      <w:r w:rsidRPr="00376F46">
        <w:t>.</w:t>
      </w:r>
      <w:r>
        <w:t>1</w:t>
      </w:r>
      <w:r w:rsidR="00372CA5">
        <w:t>1</w:t>
      </w:r>
      <w:r w:rsidRPr="00376F46">
        <w:t xml:space="preserve">: Comparison of </w:t>
      </w:r>
      <w:r w:rsidR="00F14E5A" w:rsidRPr="00295A23">
        <w:rPr>
          <w:i/>
        </w:rPr>
        <w:t>Ex-</w:t>
      </w:r>
      <w:r w:rsidR="00295A23" w:rsidRPr="00295A23">
        <w:rPr>
          <w:i/>
        </w:rPr>
        <w:t>p</w:t>
      </w:r>
      <w:r w:rsidRPr="00295A23">
        <w:rPr>
          <w:i/>
        </w:rPr>
        <w:t>ost</w:t>
      </w:r>
      <w:r>
        <w:t xml:space="preserve"> </w:t>
      </w:r>
      <w:r w:rsidR="00741256">
        <w:t>Impacts</w:t>
      </w:r>
      <w:r w:rsidR="00F14E5A">
        <w:t xml:space="preserve"> in PY</w:t>
      </w:r>
      <w:r w:rsidRPr="00376F46">
        <w:t>201</w:t>
      </w:r>
      <w:r w:rsidR="003B38F2">
        <w:t>6</w:t>
      </w:r>
      <w:r w:rsidR="0097087F">
        <w:t xml:space="preserve"> and PY</w:t>
      </w:r>
      <w:r w:rsidR="003B38F2">
        <w:t>2017</w:t>
      </w:r>
      <w:r w:rsidRPr="00376F46">
        <w:t xml:space="preserve">, </w:t>
      </w:r>
      <w:r>
        <w:rPr>
          <w:i/>
        </w:rPr>
        <w:t>SD</w:t>
      </w:r>
      <w:r w:rsidRPr="00376F46">
        <w:rPr>
          <w:i/>
        </w:rPr>
        <w:t>G&amp;E</w:t>
      </w:r>
      <w:bookmarkEnd w:id="245"/>
      <w:bookmarkEnd w:id="246"/>
    </w:p>
    <w:tbl>
      <w:tblPr>
        <w:tblW w:w="7448" w:type="dxa"/>
        <w:jc w:val="center"/>
        <w:tblLook w:val="04A0" w:firstRow="1" w:lastRow="0" w:firstColumn="1" w:lastColumn="0" w:noHBand="0" w:noVBand="1"/>
      </w:tblPr>
      <w:tblGrid>
        <w:gridCol w:w="1150"/>
        <w:gridCol w:w="2196"/>
        <w:gridCol w:w="2093"/>
        <w:gridCol w:w="2009"/>
      </w:tblGrid>
      <w:tr w:rsidR="00FC3979" w:rsidRPr="00FC3979" w14:paraId="4232C905" w14:textId="77777777" w:rsidTr="00AE4E7E">
        <w:trPr>
          <w:trHeight w:val="251"/>
          <w:jc w:val="center"/>
        </w:trPr>
        <w:tc>
          <w:tcPr>
            <w:tcW w:w="1075" w:type="dxa"/>
            <w:tcBorders>
              <w:top w:val="single" w:sz="4" w:space="0" w:color="auto"/>
              <w:left w:val="single" w:sz="4" w:space="0" w:color="auto"/>
              <w:bottom w:val="single" w:sz="4" w:space="0" w:color="auto"/>
              <w:right w:val="single" w:sz="4" w:space="0" w:color="FFFFFF" w:themeColor="background1"/>
            </w:tcBorders>
            <w:shd w:val="clear" w:color="auto" w:fill="0C2577"/>
            <w:vAlign w:val="center"/>
            <w:hideMark/>
          </w:tcPr>
          <w:p w14:paraId="5053C1A8" w14:textId="77777777" w:rsidR="00FC3979" w:rsidRPr="00FC3979" w:rsidRDefault="00FC3979" w:rsidP="00EB7A51">
            <w:pPr>
              <w:keepNext/>
              <w:jc w:val="center"/>
              <w:rPr>
                <w:rFonts w:ascii="Arial" w:hAnsi="Arial" w:cs="Arial"/>
                <w:b/>
                <w:bCs/>
                <w:color w:val="FFFFFF"/>
                <w:sz w:val="20"/>
                <w:szCs w:val="20"/>
              </w:rPr>
            </w:pPr>
            <w:r w:rsidRPr="00FC3979">
              <w:rPr>
                <w:rFonts w:ascii="Arial" w:hAnsi="Arial" w:cs="Arial"/>
                <w:b/>
                <w:bCs/>
                <w:color w:val="FFFFFF"/>
                <w:sz w:val="20"/>
                <w:szCs w:val="20"/>
              </w:rPr>
              <w:t>Level</w:t>
            </w:r>
          </w:p>
        </w:tc>
        <w:tc>
          <w:tcPr>
            <w:tcW w:w="2219" w:type="dxa"/>
            <w:tcBorders>
              <w:top w:val="single" w:sz="4" w:space="0" w:color="auto"/>
              <w:left w:val="single" w:sz="4" w:space="0" w:color="FFFFFF" w:themeColor="background1"/>
              <w:bottom w:val="nil"/>
              <w:right w:val="single" w:sz="4" w:space="0" w:color="FFFFFF" w:themeColor="background1"/>
            </w:tcBorders>
            <w:shd w:val="clear" w:color="auto" w:fill="0C2577"/>
            <w:vAlign w:val="center"/>
            <w:hideMark/>
          </w:tcPr>
          <w:p w14:paraId="38393076" w14:textId="77777777" w:rsidR="00FC3979" w:rsidRPr="00FC3979" w:rsidRDefault="00FC3979" w:rsidP="00EB7A51">
            <w:pPr>
              <w:keepNext/>
              <w:jc w:val="center"/>
              <w:rPr>
                <w:rFonts w:ascii="Arial" w:hAnsi="Arial" w:cs="Arial"/>
                <w:b/>
                <w:bCs/>
                <w:color w:val="FFFFFF"/>
                <w:sz w:val="20"/>
                <w:szCs w:val="20"/>
              </w:rPr>
            </w:pPr>
            <w:r w:rsidRPr="00FC3979">
              <w:rPr>
                <w:rFonts w:ascii="Arial" w:hAnsi="Arial" w:cs="Arial"/>
                <w:b/>
                <w:bCs/>
                <w:color w:val="FFFFFF"/>
                <w:sz w:val="20"/>
                <w:szCs w:val="20"/>
              </w:rPr>
              <w:t>Outcome</w:t>
            </w:r>
          </w:p>
        </w:tc>
        <w:tc>
          <w:tcPr>
            <w:tcW w:w="2120" w:type="dxa"/>
            <w:tcBorders>
              <w:top w:val="single" w:sz="4" w:space="0" w:color="auto"/>
              <w:left w:val="single" w:sz="4" w:space="0" w:color="FFFFFF" w:themeColor="background1"/>
              <w:bottom w:val="nil"/>
              <w:right w:val="single" w:sz="4" w:space="0" w:color="FFFFFF" w:themeColor="background1"/>
            </w:tcBorders>
            <w:shd w:val="clear" w:color="auto" w:fill="0C2577"/>
            <w:vAlign w:val="center"/>
            <w:hideMark/>
          </w:tcPr>
          <w:p w14:paraId="0504DDF6" w14:textId="77777777" w:rsidR="00FC3979" w:rsidRPr="00FC3979" w:rsidRDefault="00FC3979" w:rsidP="00EB7A51">
            <w:pPr>
              <w:keepNext/>
              <w:jc w:val="center"/>
              <w:rPr>
                <w:rFonts w:ascii="Arial" w:hAnsi="Arial" w:cs="Arial"/>
                <w:b/>
                <w:bCs/>
                <w:i/>
                <w:iCs/>
                <w:color w:val="FFFFFF"/>
                <w:sz w:val="20"/>
                <w:szCs w:val="20"/>
              </w:rPr>
            </w:pPr>
            <w:r w:rsidRPr="00FC3979">
              <w:rPr>
                <w:rFonts w:ascii="Arial" w:hAnsi="Arial" w:cs="Arial"/>
                <w:b/>
                <w:bCs/>
                <w:i/>
                <w:iCs/>
                <w:color w:val="FFFFFF"/>
                <w:sz w:val="20"/>
                <w:szCs w:val="20"/>
              </w:rPr>
              <w:t>Ex-post</w:t>
            </w:r>
            <w:r w:rsidRPr="00FC3979">
              <w:rPr>
                <w:rFonts w:ascii="Arial" w:hAnsi="Arial" w:cs="Arial"/>
                <w:b/>
                <w:bCs/>
                <w:color w:val="FFFFFF"/>
                <w:sz w:val="20"/>
                <w:szCs w:val="20"/>
              </w:rPr>
              <w:t xml:space="preserve"> PY2016</w:t>
            </w:r>
          </w:p>
        </w:tc>
        <w:tc>
          <w:tcPr>
            <w:tcW w:w="2034" w:type="dxa"/>
            <w:tcBorders>
              <w:top w:val="single" w:sz="4" w:space="0" w:color="auto"/>
              <w:left w:val="single" w:sz="4" w:space="0" w:color="FFFFFF" w:themeColor="background1"/>
              <w:bottom w:val="nil"/>
              <w:right w:val="single" w:sz="4" w:space="0" w:color="auto"/>
            </w:tcBorders>
            <w:shd w:val="clear" w:color="auto" w:fill="0C2577"/>
            <w:vAlign w:val="center"/>
            <w:hideMark/>
          </w:tcPr>
          <w:p w14:paraId="26C3D799" w14:textId="77777777" w:rsidR="00FC3979" w:rsidRPr="00FC3979" w:rsidRDefault="00FC3979" w:rsidP="00EB7A51">
            <w:pPr>
              <w:keepNext/>
              <w:jc w:val="center"/>
              <w:rPr>
                <w:rFonts w:ascii="Arial" w:hAnsi="Arial" w:cs="Arial"/>
                <w:b/>
                <w:bCs/>
                <w:i/>
                <w:iCs/>
                <w:color w:val="FFFFFF"/>
                <w:sz w:val="20"/>
                <w:szCs w:val="20"/>
              </w:rPr>
            </w:pPr>
            <w:r w:rsidRPr="00FC3979">
              <w:rPr>
                <w:rFonts w:ascii="Arial" w:hAnsi="Arial" w:cs="Arial"/>
                <w:b/>
                <w:bCs/>
                <w:i/>
                <w:iCs/>
                <w:color w:val="FFFFFF"/>
                <w:sz w:val="20"/>
                <w:szCs w:val="20"/>
              </w:rPr>
              <w:t>Ex-post</w:t>
            </w:r>
            <w:r w:rsidRPr="00FC3979">
              <w:rPr>
                <w:rFonts w:ascii="Arial" w:hAnsi="Arial" w:cs="Arial"/>
                <w:b/>
                <w:bCs/>
                <w:color w:val="FFFFFF"/>
                <w:sz w:val="20"/>
                <w:szCs w:val="20"/>
              </w:rPr>
              <w:t xml:space="preserve"> PY2017</w:t>
            </w:r>
          </w:p>
        </w:tc>
      </w:tr>
      <w:tr w:rsidR="006431D8" w:rsidRPr="00FC3979" w14:paraId="76BC49B4" w14:textId="77777777" w:rsidTr="0086367A">
        <w:trPr>
          <w:trHeight w:val="144"/>
          <w:jc w:val="center"/>
        </w:trPr>
        <w:tc>
          <w:tcPr>
            <w:tcW w:w="1075" w:type="dxa"/>
            <w:vMerge w:val="restart"/>
            <w:tcBorders>
              <w:top w:val="nil"/>
              <w:left w:val="single" w:sz="4" w:space="0" w:color="auto"/>
              <w:bottom w:val="single" w:sz="4" w:space="0" w:color="auto"/>
              <w:right w:val="nil"/>
            </w:tcBorders>
            <w:shd w:val="clear" w:color="auto" w:fill="auto"/>
            <w:vAlign w:val="center"/>
            <w:hideMark/>
          </w:tcPr>
          <w:p w14:paraId="3156A6C0" w14:textId="77777777" w:rsidR="006431D8" w:rsidRPr="00FC3979" w:rsidRDefault="006431D8" w:rsidP="00EB7A51">
            <w:pPr>
              <w:keepNext/>
              <w:rPr>
                <w:rFonts w:ascii="Arial" w:hAnsi="Arial" w:cs="Arial"/>
                <w:b/>
                <w:bCs/>
                <w:color w:val="000000"/>
                <w:sz w:val="20"/>
                <w:szCs w:val="20"/>
              </w:rPr>
            </w:pPr>
            <w:r w:rsidRPr="00FC3979">
              <w:rPr>
                <w:rFonts w:ascii="Arial" w:hAnsi="Arial" w:cs="Arial"/>
                <w:b/>
                <w:bCs/>
                <w:color w:val="000000"/>
                <w:sz w:val="20"/>
                <w:szCs w:val="20"/>
              </w:rPr>
              <w:t>Total</w:t>
            </w:r>
          </w:p>
        </w:tc>
        <w:tc>
          <w:tcPr>
            <w:tcW w:w="2219" w:type="dxa"/>
            <w:tcBorders>
              <w:top w:val="single" w:sz="4" w:space="0" w:color="auto"/>
              <w:left w:val="single" w:sz="4" w:space="0" w:color="auto"/>
              <w:bottom w:val="nil"/>
              <w:right w:val="single" w:sz="4" w:space="0" w:color="auto"/>
            </w:tcBorders>
            <w:shd w:val="clear" w:color="000000" w:fill="FFFFFF"/>
            <w:vAlign w:val="center"/>
            <w:hideMark/>
          </w:tcPr>
          <w:p w14:paraId="6447D6BC" w14:textId="5194F439" w:rsidR="006431D8" w:rsidRPr="00FC3979" w:rsidRDefault="006431D8" w:rsidP="00EB7A51">
            <w:pPr>
              <w:keepNext/>
              <w:rPr>
                <w:rFonts w:ascii="Arial" w:hAnsi="Arial" w:cs="Arial"/>
                <w:color w:val="000000"/>
                <w:sz w:val="20"/>
                <w:szCs w:val="20"/>
              </w:rPr>
            </w:pPr>
            <w:r w:rsidRPr="00FC3979">
              <w:rPr>
                <w:rFonts w:ascii="Arial" w:hAnsi="Arial" w:cs="Arial"/>
                <w:color w:val="000000"/>
                <w:sz w:val="20"/>
                <w:szCs w:val="20"/>
              </w:rPr>
              <w:t xml:space="preserve"># </w:t>
            </w:r>
            <w:r w:rsidR="00DF5A48">
              <w:rPr>
                <w:rFonts w:ascii="Arial" w:hAnsi="Arial" w:cs="Arial"/>
                <w:color w:val="000000"/>
                <w:sz w:val="20"/>
                <w:szCs w:val="20"/>
              </w:rPr>
              <w:t>Customers</w:t>
            </w:r>
          </w:p>
        </w:tc>
        <w:tc>
          <w:tcPr>
            <w:tcW w:w="2120" w:type="dxa"/>
            <w:tcBorders>
              <w:top w:val="single" w:sz="4" w:space="0" w:color="auto"/>
              <w:left w:val="nil"/>
              <w:bottom w:val="nil"/>
              <w:right w:val="single" w:sz="4" w:space="0" w:color="auto"/>
            </w:tcBorders>
            <w:shd w:val="clear" w:color="auto" w:fill="auto"/>
            <w:vAlign w:val="center"/>
            <w:hideMark/>
          </w:tcPr>
          <w:p w14:paraId="3305D2F9" w14:textId="77777777" w:rsidR="006431D8" w:rsidRPr="00FC3979" w:rsidRDefault="006431D8" w:rsidP="00EB7A51">
            <w:pPr>
              <w:keepNext/>
              <w:jc w:val="center"/>
              <w:rPr>
                <w:rFonts w:ascii="Arial" w:hAnsi="Arial" w:cs="Arial"/>
                <w:color w:val="000000"/>
                <w:sz w:val="20"/>
                <w:szCs w:val="20"/>
              </w:rPr>
            </w:pPr>
            <w:r w:rsidRPr="00FC3979">
              <w:rPr>
                <w:rFonts w:ascii="Arial" w:hAnsi="Arial" w:cs="Arial"/>
                <w:color w:val="000000"/>
                <w:sz w:val="20"/>
                <w:szCs w:val="20"/>
              </w:rPr>
              <w:t>7</w:t>
            </w:r>
          </w:p>
        </w:tc>
        <w:tc>
          <w:tcPr>
            <w:tcW w:w="2034" w:type="dxa"/>
            <w:tcBorders>
              <w:top w:val="single" w:sz="4" w:space="0" w:color="auto"/>
              <w:left w:val="nil"/>
              <w:bottom w:val="nil"/>
              <w:right w:val="single" w:sz="4" w:space="0" w:color="auto"/>
            </w:tcBorders>
            <w:shd w:val="clear" w:color="auto" w:fill="auto"/>
            <w:vAlign w:val="center"/>
            <w:hideMark/>
          </w:tcPr>
          <w:p w14:paraId="017B6AC9" w14:textId="3F2FEF60" w:rsidR="006431D8" w:rsidRPr="00FC3979" w:rsidRDefault="006431D8" w:rsidP="00EB7A51">
            <w:pPr>
              <w:keepNext/>
              <w:jc w:val="center"/>
              <w:rPr>
                <w:rFonts w:ascii="Arial" w:hAnsi="Arial" w:cs="Arial"/>
                <w:color w:val="000000"/>
                <w:sz w:val="20"/>
                <w:szCs w:val="20"/>
              </w:rPr>
            </w:pPr>
            <w:r>
              <w:rPr>
                <w:rFonts w:ascii="Arial" w:hAnsi="Arial" w:cs="Arial"/>
                <w:color w:val="000000"/>
                <w:sz w:val="20"/>
                <w:szCs w:val="20"/>
              </w:rPr>
              <w:t>6</w:t>
            </w:r>
          </w:p>
        </w:tc>
      </w:tr>
      <w:tr w:rsidR="006431D8" w:rsidRPr="00FC3979" w14:paraId="07780F48" w14:textId="77777777" w:rsidTr="0086367A">
        <w:trPr>
          <w:trHeight w:val="144"/>
          <w:jc w:val="center"/>
        </w:trPr>
        <w:tc>
          <w:tcPr>
            <w:tcW w:w="1075" w:type="dxa"/>
            <w:vMerge/>
            <w:tcBorders>
              <w:top w:val="nil"/>
              <w:left w:val="single" w:sz="4" w:space="0" w:color="auto"/>
              <w:bottom w:val="single" w:sz="4" w:space="0" w:color="auto"/>
              <w:right w:val="nil"/>
            </w:tcBorders>
            <w:vAlign w:val="center"/>
            <w:hideMark/>
          </w:tcPr>
          <w:p w14:paraId="3064706F" w14:textId="77777777" w:rsidR="006431D8" w:rsidRPr="00FC3979" w:rsidRDefault="006431D8" w:rsidP="00EB7A51">
            <w:pPr>
              <w:keepNext/>
              <w:rPr>
                <w:rFonts w:ascii="Arial" w:hAnsi="Arial" w:cs="Arial"/>
                <w:b/>
                <w:bCs/>
                <w:color w:val="000000"/>
                <w:sz w:val="20"/>
                <w:szCs w:val="20"/>
              </w:rPr>
            </w:pPr>
          </w:p>
        </w:tc>
        <w:tc>
          <w:tcPr>
            <w:tcW w:w="2219" w:type="dxa"/>
            <w:tcBorders>
              <w:top w:val="nil"/>
              <w:left w:val="single" w:sz="4" w:space="0" w:color="auto"/>
              <w:bottom w:val="nil"/>
              <w:right w:val="single" w:sz="4" w:space="0" w:color="auto"/>
            </w:tcBorders>
            <w:shd w:val="clear" w:color="000000" w:fill="FFFFFF"/>
            <w:vAlign w:val="center"/>
            <w:hideMark/>
          </w:tcPr>
          <w:p w14:paraId="183A22E0" w14:textId="35D80B66" w:rsidR="006431D8" w:rsidRPr="00FC3979" w:rsidRDefault="006431D8" w:rsidP="00EB7A51">
            <w:pPr>
              <w:keepNext/>
              <w:rPr>
                <w:rFonts w:ascii="Arial" w:hAnsi="Arial" w:cs="Arial"/>
                <w:color w:val="000000"/>
                <w:sz w:val="20"/>
                <w:szCs w:val="20"/>
              </w:rPr>
            </w:pPr>
            <w:r w:rsidRPr="00FC3979">
              <w:rPr>
                <w:rFonts w:ascii="Arial" w:hAnsi="Arial" w:cs="Arial"/>
                <w:color w:val="000000"/>
                <w:sz w:val="20"/>
                <w:szCs w:val="20"/>
              </w:rPr>
              <w:t>Reference (MW</w:t>
            </w:r>
            <w:r w:rsidR="004A5FCA">
              <w:rPr>
                <w:rFonts w:ascii="Arial" w:hAnsi="Arial" w:cs="Arial"/>
                <w:color w:val="000000"/>
                <w:sz w:val="20"/>
                <w:szCs w:val="20"/>
              </w:rPr>
              <w:t>h/h</w:t>
            </w:r>
            <w:r w:rsidRPr="00FC3979">
              <w:rPr>
                <w:rFonts w:ascii="Arial" w:hAnsi="Arial" w:cs="Arial"/>
                <w:color w:val="000000"/>
                <w:sz w:val="20"/>
                <w:szCs w:val="20"/>
              </w:rPr>
              <w:t>)</w:t>
            </w:r>
          </w:p>
        </w:tc>
        <w:tc>
          <w:tcPr>
            <w:tcW w:w="2120" w:type="dxa"/>
            <w:tcBorders>
              <w:top w:val="nil"/>
              <w:left w:val="nil"/>
              <w:bottom w:val="nil"/>
              <w:right w:val="single" w:sz="4" w:space="0" w:color="auto"/>
            </w:tcBorders>
            <w:shd w:val="clear" w:color="auto" w:fill="auto"/>
            <w:vAlign w:val="center"/>
            <w:hideMark/>
          </w:tcPr>
          <w:p w14:paraId="0958A8F8" w14:textId="77777777" w:rsidR="006431D8" w:rsidRPr="00FC3979" w:rsidRDefault="006431D8" w:rsidP="00EB7A51">
            <w:pPr>
              <w:keepNext/>
              <w:jc w:val="center"/>
              <w:rPr>
                <w:rFonts w:ascii="Arial" w:hAnsi="Arial" w:cs="Arial"/>
                <w:color w:val="000000"/>
                <w:sz w:val="20"/>
                <w:szCs w:val="20"/>
              </w:rPr>
            </w:pPr>
            <w:r w:rsidRPr="00FC3979">
              <w:rPr>
                <w:rFonts w:ascii="Arial" w:hAnsi="Arial" w:cs="Arial"/>
                <w:color w:val="000000"/>
                <w:sz w:val="20"/>
                <w:szCs w:val="20"/>
              </w:rPr>
              <w:t>2.6</w:t>
            </w:r>
          </w:p>
        </w:tc>
        <w:tc>
          <w:tcPr>
            <w:tcW w:w="2034" w:type="dxa"/>
            <w:tcBorders>
              <w:top w:val="nil"/>
              <w:left w:val="nil"/>
              <w:bottom w:val="nil"/>
              <w:right w:val="single" w:sz="4" w:space="0" w:color="auto"/>
            </w:tcBorders>
            <w:shd w:val="clear" w:color="auto" w:fill="auto"/>
            <w:vAlign w:val="center"/>
            <w:hideMark/>
          </w:tcPr>
          <w:p w14:paraId="2956F169" w14:textId="4E670409" w:rsidR="006431D8" w:rsidRPr="00FC3979" w:rsidRDefault="006431D8" w:rsidP="00EB7A51">
            <w:pPr>
              <w:keepNext/>
              <w:jc w:val="center"/>
              <w:rPr>
                <w:rFonts w:ascii="Arial" w:hAnsi="Arial" w:cs="Arial"/>
                <w:color w:val="000000"/>
                <w:sz w:val="20"/>
                <w:szCs w:val="20"/>
              </w:rPr>
            </w:pPr>
            <w:r>
              <w:rPr>
                <w:rFonts w:ascii="Arial" w:hAnsi="Arial" w:cs="Arial"/>
                <w:color w:val="000000"/>
                <w:sz w:val="20"/>
                <w:szCs w:val="20"/>
              </w:rPr>
              <w:t>3.6</w:t>
            </w:r>
          </w:p>
        </w:tc>
      </w:tr>
      <w:tr w:rsidR="006431D8" w:rsidRPr="00FC3979" w14:paraId="637EABE8" w14:textId="77777777" w:rsidTr="0086367A">
        <w:trPr>
          <w:trHeight w:val="144"/>
          <w:jc w:val="center"/>
        </w:trPr>
        <w:tc>
          <w:tcPr>
            <w:tcW w:w="1075" w:type="dxa"/>
            <w:vMerge/>
            <w:tcBorders>
              <w:top w:val="nil"/>
              <w:left w:val="single" w:sz="4" w:space="0" w:color="auto"/>
              <w:bottom w:val="single" w:sz="4" w:space="0" w:color="auto"/>
              <w:right w:val="nil"/>
            </w:tcBorders>
            <w:vAlign w:val="center"/>
            <w:hideMark/>
          </w:tcPr>
          <w:p w14:paraId="23EEF13C" w14:textId="77777777" w:rsidR="006431D8" w:rsidRPr="00FC3979" w:rsidRDefault="006431D8" w:rsidP="00EB7A51">
            <w:pPr>
              <w:keepNext/>
              <w:rPr>
                <w:rFonts w:ascii="Arial" w:hAnsi="Arial" w:cs="Arial"/>
                <w:b/>
                <w:bCs/>
                <w:color w:val="000000"/>
                <w:sz w:val="20"/>
                <w:szCs w:val="20"/>
              </w:rPr>
            </w:pPr>
          </w:p>
        </w:tc>
        <w:tc>
          <w:tcPr>
            <w:tcW w:w="2219" w:type="dxa"/>
            <w:tcBorders>
              <w:top w:val="nil"/>
              <w:left w:val="single" w:sz="4" w:space="0" w:color="auto"/>
              <w:bottom w:val="single" w:sz="4" w:space="0" w:color="auto"/>
              <w:right w:val="single" w:sz="4" w:space="0" w:color="auto"/>
            </w:tcBorders>
            <w:shd w:val="clear" w:color="000000" w:fill="FFFFFF"/>
            <w:vAlign w:val="center"/>
            <w:hideMark/>
          </w:tcPr>
          <w:p w14:paraId="20A9477E" w14:textId="00DE5E85" w:rsidR="006431D8" w:rsidRPr="00FC3979" w:rsidRDefault="006431D8" w:rsidP="00EB7A51">
            <w:pPr>
              <w:keepNext/>
              <w:rPr>
                <w:rFonts w:ascii="Arial" w:hAnsi="Arial" w:cs="Arial"/>
                <w:color w:val="000000"/>
                <w:sz w:val="20"/>
                <w:szCs w:val="20"/>
              </w:rPr>
            </w:pPr>
            <w:r w:rsidRPr="00FC3979">
              <w:rPr>
                <w:rFonts w:ascii="Arial" w:hAnsi="Arial" w:cs="Arial"/>
                <w:color w:val="000000"/>
                <w:sz w:val="20"/>
                <w:szCs w:val="20"/>
              </w:rPr>
              <w:t>Load Impact (MW</w:t>
            </w:r>
            <w:r w:rsidR="004A5FCA">
              <w:rPr>
                <w:rFonts w:ascii="Arial" w:hAnsi="Arial" w:cs="Arial"/>
                <w:color w:val="000000"/>
                <w:sz w:val="20"/>
                <w:szCs w:val="20"/>
              </w:rPr>
              <w:t>h/h</w:t>
            </w:r>
            <w:r w:rsidRPr="00FC3979">
              <w:rPr>
                <w:rFonts w:ascii="Arial" w:hAnsi="Arial" w:cs="Arial"/>
                <w:color w:val="000000"/>
                <w:sz w:val="20"/>
                <w:szCs w:val="20"/>
              </w:rPr>
              <w:t>)</w:t>
            </w:r>
          </w:p>
        </w:tc>
        <w:tc>
          <w:tcPr>
            <w:tcW w:w="2120" w:type="dxa"/>
            <w:tcBorders>
              <w:top w:val="nil"/>
              <w:left w:val="nil"/>
              <w:bottom w:val="single" w:sz="4" w:space="0" w:color="auto"/>
              <w:right w:val="single" w:sz="4" w:space="0" w:color="auto"/>
            </w:tcBorders>
            <w:shd w:val="clear" w:color="auto" w:fill="auto"/>
            <w:vAlign w:val="center"/>
            <w:hideMark/>
          </w:tcPr>
          <w:p w14:paraId="19286532" w14:textId="77777777" w:rsidR="006431D8" w:rsidRPr="00FC3979" w:rsidRDefault="006431D8" w:rsidP="00EB7A51">
            <w:pPr>
              <w:keepNext/>
              <w:jc w:val="center"/>
              <w:rPr>
                <w:rFonts w:ascii="Arial" w:hAnsi="Arial" w:cs="Arial"/>
                <w:color w:val="000000"/>
                <w:sz w:val="20"/>
                <w:szCs w:val="20"/>
              </w:rPr>
            </w:pPr>
            <w:r w:rsidRPr="00FC3979">
              <w:rPr>
                <w:rFonts w:ascii="Arial" w:hAnsi="Arial" w:cs="Arial"/>
                <w:color w:val="000000"/>
                <w:sz w:val="20"/>
                <w:szCs w:val="20"/>
              </w:rPr>
              <w:t>1.5</w:t>
            </w:r>
          </w:p>
        </w:tc>
        <w:tc>
          <w:tcPr>
            <w:tcW w:w="2034" w:type="dxa"/>
            <w:tcBorders>
              <w:top w:val="nil"/>
              <w:left w:val="nil"/>
              <w:bottom w:val="single" w:sz="4" w:space="0" w:color="auto"/>
              <w:right w:val="single" w:sz="4" w:space="0" w:color="auto"/>
            </w:tcBorders>
            <w:shd w:val="clear" w:color="auto" w:fill="auto"/>
            <w:vAlign w:val="center"/>
            <w:hideMark/>
          </w:tcPr>
          <w:p w14:paraId="3DBF0063" w14:textId="21BEC493" w:rsidR="006431D8" w:rsidRPr="00FC3979" w:rsidRDefault="006431D8" w:rsidP="00EB7A51">
            <w:pPr>
              <w:keepNext/>
              <w:jc w:val="center"/>
              <w:rPr>
                <w:rFonts w:ascii="Arial" w:hAnsi="Arial" w:cs="Arial"/>
                <w:color w:val="000000"/>
                <w:sz w:val="20"/>
                <w:szCs w:val="20"/>
              </w:rPr>
            </w:pPr>
            <w:r>
              <w:rPr>
                <w:rFonts w:ascii="Arial" w:hAnsi="Arial" w:cs="Arial"/>
                <w:color w:val="000000"/>
                <w:sz w:val="20"/>
                <w:szCs w:val="20"/>
              </w:rPr>
              <w:t>2.5</w:t>
            </w:r>
          </w:p>
        </w:tc>
      </w:tr>
      <w:tr w:rsidR="006431D8" w:rsidRPr="00FC3979" w14:paraId="19FE6795" w14:textId="77777777" w:rsidTr="0086367A">
        <w:trPr>
          <w:trHeight w:val="251"/>
          <w:jc w:val="center"/>
        </w:trPr>
        <w:tc>
          <w:tcPr>
            <w:tcW w:w="1075" w:type="dxa"/>
            <w:vMerge w:val="restart"/>
            <w:tcBorders>
              <w:top w:val="nil"/>
              <w:left w:val="single" w:sz="4" w:space="0" w:color="auto"/>
              <w:bottom w:val="single" w:sz="4" w:space="0" w:color="auto"/>
              <w:right w:val="nil"/>
            </w:tcBorders>
            <w:shd w:val="clear" w:color="auto" w:fill="auto"/>
            <w:vAlign w:val="center"/>
            <w:hideMark/>
          </w:tcPr>
          <w:p w14:paraId="0D95CA3C" w14:textId="5D535C88" w:rsidR="006431D8" w:rsidRPr="00FC3979" w:rsidRDefault="006431D8" w:rsidP="00EB7A51">
            <w:pPr>
              <w:keepNext/>
              <w:rPr>
                <w:rFonts w:ascii="Arial" w:hAnsi="Arial" w:cs="Arial"/>
                <w:b/>
                <w:bCs/>
                <w:color w:val="000000"/>
                <w:sz w:val="20"/>
                <w:szCs w:val="20"/>
              </w:rPr>
            </w:pPr>
            <w:r w:rsidRPr="00FC3979">
              <w:rPr>
                <w:rFonts w:ascii="Arial" w:hAnsi="Arial" w:cs="Arial"/>
                <w:b/>
                <w:bCs/>
                <w:color w:val="000000"/>
                <w:sz w:val="20"/>
                <w:szCs w:val="20"/>
              </w:rPr>
              <w:t xml:space="preserve">Per </w:t>
            </w:r>
            <w:r w:rsidR="00DF5A48">
              <w:rPr>
                <w:rFonts w:ascii="Arial" w:hAnsi="Arial" w:cs="Arial"/>
                <w:b/>
                <w:bCs/>
                <w:color w:val="000000"/>
                <w:sz w:val="20"/>
                <w:szCs w:val="20"/>
              </w:rPr>
              <w:t>Customer</w:t>
            </w:r>
          </w:p>
        </w:tc>
        <w:tc>
          <w:tcPr>
            <w:tcW w:w="2219" w:type="dxa"/>
            <w:tcBorders>
              <w:top w:val="nil"/>
              <w:left w:val="single" w:sz="4" w:space="0" w:color="auto"/>
              <w:bottom w:val="nil"/>
              <w:right w:val="single" w:sz="4" w:space="0" w:color="auto"/>
            </w:tcBorders>
            <w:shd w:val="clear" w:color="000000" w:fill="FFFFFF"/>
            <w:vAlign w:val="center"/>
            <w:hideMark/>
          </w:tcPr>
          <w:p w14:paraId="467C294D" w14:textId="087AD32F" w:rsidR="006431D8" w:rsidRPr="00FC3979" w:rsidRDefault="006431D8" w:rsidP="00EB7A51">
            <w:pPr>
              <w:keepNext/>
              <w:rPr>
                <w:rFonts w:ascii="Arial" w:hAnsi="Arial" w:cs="Arial"/>
                <w:color w:val="000000"/>
                <w:sz w:val="20"/>
                <w:szCs w:val="20"/>
              </w:rPr>
            </w:pPr>
            <w:r w:rsidRPr="00FC3979">
              <w:rPr>
                <w:rFonts w:ascii="Arial" w:hAnsi="Arial" w:cs="Arial"/>
                <w:color w:val="000000"/>
                <w:sz w:val="20"/>
                <w:szCs w:val="20"/>
              </w:rPr>
              <w:t>Reference (kW</w:t>
            </w:r>
            <w:r w:rsidR="004A5FCA">
              <w:rPr>
                <w:rFonts w:ascii="Arial" w:hAnsi="Arial" w:cs="Arial"/>
                <w:color w:val="000000"/>
                <w:sz w:val="20"/>
                <w:szCs w:val="20"/>
              </w:rPr>
              <w:t>h/h</w:t>
            </w:r>
            <w:r w:rsidRPr="00FC3979">
              <w:rPr>
                <w:rFonts w:ascii="Arial" w:hAnsi="Arial" w:cs="Arial"/>
                <w:color w:val="000000"/>
                <w:sz w:val="20"/>
                <w:szCs w:val="20"/>
              </w:rPr>
              <w:t>)</w:t>
            </w:r>
          </w:p>
        </w:tc>
        <w:tc>
          <w:tcPr>
            <w:tcW w:w="2120" w:type="dxa"/>
            <w:tcBorders>
              <w:top w:val="nil"/>
              <w:left w:val="nil"/>
              <w:bottom w:val="nil"/>
              <w:right w:val="single" w:sz="4" w:space="0" w:color="auto"/>
            </w:tcBorders>
            <w:shd w:val="clear" w:color="auto" w:fill="auto"/>
            <w:vAlign w:val="center"/>
            <w:hideMark/>
          </w:tcPr>
          <w:p w14:paraId="24495015" w14:textId="77777777" w:rsidR="006431D8" w:rsidRPr="00FC3979" w:rsidRDefault="006431D8" w:rsidP="00EB7A51">
            <w:pPr>
              <w:keepNext/>
              <w:jc w:val="center"/>
              <w:rPr>
                <w:rFonts w:ascii="Arial" w:hAnsi="Arial" w:cs="Arial"/>
                <w:color w:val="000000"/>
                <w:sz w:val="20"/>
                <w:szCs w:val="20"/>
              </w:rPr>
            </w:pPr>
            <w:r w:rsidRPr="00FC3979">
              <w:rPr>
                <w:rFonts w:ascii="Arial" w:hAnsi="Arial" w:cs="Arial"/>
                <w:color w:val="000000"/>
                <w:sz w:val="20"/>
                <w:szCs w:val="20"/>
              </w:rPr>
              <w:t>371.4</w:t>
            </w:r>
          </w:p>
        </w:tc>
        <w:tc>
          <w:tcPr>
            <w:tcW w:w="2034" w:type="dxa"/>
            <w:tcBorders>
              <w:top w:val="nil"/>
              <w:left w:val="nil"/>
              <w:bottom w:val="nil"/>
              <w:right w:val="single" w:sz="4" w:space="0" w:color="auto"/>
            </w:tcBorders>
            <w:shd w:val="clear" w:color="auto" w:fill="auto"/>
            <w:vAlign w:val="center"/>
            <w:hideMark/>
          </w:tcPr>
          <w:p w14:paraId="2B91F8B1" w14:textId="3017BD15" w:rsidR="006431D8" w:rsidRPr="00FC3979" w:rsidRDefault="006431D8" w:rsidP="00EB7A51">
            <w:pPr>
              <w:keepNext/>
              <w:jc w:val="center"/>
              <w:rPr>
                <w:rFonts w:ascii="Arial" w:hAnsi="Arial" w:cs="Arial"/>
                <w:color w:val="000000"/>
                <w:sz w:val="20"/>
                <w:szCs w:val="20"/>
              </w:rPr>
            </w:pPr>
            <w:r>
              <w:rPr>
                <w:rFonts w:ascii="Arial" w:hAnsi="Arial" w:cs="Arial"/>
                <w:color w:val="000000"/>
                <w:sz w:val="20"/>
                <w:szCs w:val="20"/>
              </w:rPr>
              <w:t>596.5</w:t>
            </w:r>
          </w:p>
        </w:tc>
      </w:tr>
      <w:tr w:rsidR="006431D8" w:rsidRPr="00FC3979" w14:paraId="1A5BDC04" w14:textId="77777777" w:rsidTr="0086367A">
        <w:trPr>
          <w:trHeight w:val="251"/>
          <w:jc w:val="center"/>
        </w:trPr>
        <w:tc>
          <w:tcPr>
            <w:tcW w:w="1075" w:type="dxa"/>
            <w:vMerge/>
            <w:tcBorders>
              <w:top w:val="nil"/>
              <w:left w:val="single" w:sz="4" w:space="0" w:color="auto"/>
              <w:bottom w:val="single" w:sz="4" w:space="0" w:color="auto"/>
              <w:right w:val="nil"/>
            </w:tcBorders>
            <w:vAlign w:val="center"/>
            <w:hideMark/>
          </w:tcPr>
          <w:p w14:paraId="4FD88B55" w14:textId="77777777" w:rsidR="006431D8" w:rsidRPr="00FC3979" w:rsidRDefault="006431D8" w:rsidP="00EB7A51">
            <w:pPr>
              <w:keepNext/>
              <w:rPr>
                <w:rFonts w:ascii="Arial" w:hAnsi="Arial" w:cs="Arial"/>
                <w:b/>
                <w:bCs/>
                <w:color w:val="000000"/>
                <w:sz w:val="20"/>
                <w:szCs w:val="20"/>
              </w:rPr>
            </w:pPr>
          </w:p>
        </w:tc>
        <w:tc>
          <w:tcPr>
            <w:tcW w:w="2219" w:type="dxa"/>
            <w:tcBorders>
              <w:top w:val="nil"/>
              <w:left w:val="single" w:sz="4" w:space="0" w:color="auto"/>
              <w:bottom w:val="nil"/>
              <w:right w:val="single" w:sz="4" w:space="0" w:color="auto"/>
            </w:tcBorders>
            <w:shd w:val="clear" w:color="000000" w:fill="FFFFFF"/>
            <w:vAlign w:val="center"/>
            <w:hideMark/>
          </w:tcPr>
          <w:p w14:paraId="41660B4E" w14:textId="216E176A" w:rsidR="006431D8" w:rsidRPr="00FC3979" w:rsidRDefault="006431D8" w:rsidP="00EB7A51">
            <w:pPr>
              <w:keepNext/>
              <w:rPr>
                <w:rFonts w:ascii="Arial" w:hAnsi="Arial" w:cs="Arial"/>
                <w:color w:val="000000"/>
                <w:sz w:val="20"/>
                <w:szCs w:val="20"/>
              </w:rPr>
            </w:pPr>
            <w:r w:rsidRPr="00FC3979">
              <w:rPr>
                <w:rFonts w:ascii="Arial" w:hAnsi="Arial" w:cs="Arial"/>
                <w:color w:val="000000"/>
                <w:sz w:val="20"/>
                <w:szCs w:val="20"/>
              </w:rPr>
              <w:t>Load Impact (kW</w:t>
            </w:r>
            <w:r w:rsidR="004A5FCA">
              <w:rPr>
                <w:rFonts w:ascii="Arial" w:hAnsi="Arial" w:cs="Arial"/>
                <w:color w:val="000000"/>
                <w:sz w:val="20"/>
                <w:szCs w:val="20"/>
              </w:rPr>
              <w:t>h/h</w:t>
            </w:r>
            <w:r w:rsidRPr="00FC3979">
              <w:rPr>
                <w:rFonts w:ascii="Arial" w:hAnsi="Arial" w:cs="Arial"/>
                <w:color w:val="000000"/>
                <w:sz w:val="20"/>
                <w:szCs w:val="20"/>
              </w:rPr>
              <w:t>)</w:t>
            </w:r>
          </w:p>
        </w:tc>
        <w:tc>
          <w:tcPr>
            <w:tcW w:w="2120" w:type="dxa"/>
            <w:tcBorders>
              <w:top w:val="nil"/>
              <w:left w:val="nil"/>
              <w:bottom w:val="nil"/>
              <w:right w:val="single" w:sz="4" w:space="0" w:color="auto"/>
            </w:tcBorders>
            <w:shd w:val="clear" w:color="auto" w:fill="auto"/>
            <w:vAlign w:val="center"/>
            <w:hideMark/>
          </w:tcPr>
          <w:p w14:paraId="02CC777F" w14:textId="77777777" w:rsidR="006431D8" w:rsidRPr="00FC3979" w:rsidRDefault="006431D8" w:rsidP="00EB7A51">
            <w:pPr>
              <w:keepNext/>
              <w:jc w:val="center"/>
              <w:rPr>
                <w:rFonts w:ascii="Arial" w:hAnsi="Arial" w:cs="Arial"/>
                <w:color w:val="000000"/>
                <w:sz w:val="20"/>
                <w:szCs w:val="20"/>
              </w:rPr>
            </w:pPr>
            <w:r w:rsidRPr="00FC3979">
              <w:rPr>
                <w:rFonts w:ascii="Arial" w:hAnsi="Arial" w:cs="Arial"/>
                <w:color w:val="000000"/>
                <w:sz w:val="20"/>
                <w:szCs w:val="20"/>
              </w:rPr>
              <w:t>221.0</w:t>
            </w:r>
          </w:p>
        </w:tc>
        <w:tc>
          <w:tcPr>
            <w:tcW w:w="2034" w:type="dxa"/>
            <w:tcBorders>
              <w:top w:val="nil"/>
              <w:left w:val="nil"/>
              <w:bottom w:val="nil"/>
              <w:right w:val="single" w:sz="4" w:space="0" w:color="auto"/>
            </w:tcBorders>
            <w:shd w:val="clear" w:color="auto" w:fill="auto"/>
            <w:vAlign w:val="center"/>
            <w:hideMark/>
          </w:tcPr>
          <w:p w14:paraId="7910F38A" w14:textId="1C4551A6" w:rsidR="006431D8" w:rsidRPr="00FC3979" w:rsidRDefault="006431D8" w:rsidP="00EB7A51">
            <w:pPr>
              <w:keepNext/>
              <w:jc w:val="center"/>
              <w:rPr>
                <w:rFonts w:ascii="Arial" w:hAnsi="Arial" w:cs="Arial"/>
                <w:color w:val="000000"/>
                <w:sz w:val="20"/>
                <w:szCs w:val="20"/>
              </w:rPr>
            </w:pPr>
            <w:r>
              <w:rPr>
                <w:rFonts w:ascii="Arial" w:hAnsi="Arial" w:cs="Arial"/>
                <w:color w:val="000000"/>
                <w:sz w:val="20"/>
                <w:szCs w:val="20"/>
              </w:rPr>
              <w:t>423.8</w:t>
            </w:r>
          </w:p>
        </w:tc>
      </w:tr>
      <w:tr w:rsidR="006431D8" w:rsidRPr="00FC3979" w14:paraId="3EFB2D87" w14:textId="77777777" w:rsidTr="0086367A">
        <w:trPr>
          <w:trHeight w:val="251"/>
          <w:jc w:val="center"/>
        </w:trPr>
        <w:tc>
          <w:tcPr>
            <w:tcW w:w="1075" w:type="dxa"/>
            <w:vMerge/>
            <w:tcBorders>
              <w:top w:val="nil"/>
              <w:left w:val="single" w:sz="4" w:space="0" w:color="auto"/>
              <w:bottom w:val="single" w:sz="4" w:space="0" w:color="auto"/>
              <w:right w:val="nil"/>
            </w:tcBorders>
            <w:vAlign w:val="center"/>
            <w:hideMark/>
          </w:tcPr>
          <w:p w14:paraId="511438A1" w14:textId="77777777" w:rsidR="006431D8" w:rsidRPr="00FC3979" w:rsidRDefault="006431D8" w:rsidP="00EB7A51">
            <w:pPr>
              <w:keepNext/>
              <w:rPr>
                <w:rFonts w:ascii="Arial" w:hAnsi="Arial" w:cs="Arial"/>
                <w:b/>
                <w:bCs/>
                <w:color w:val="000000"/>
                <w:sz w:val="20"/>
                <w:szCs w:val="20"/>
              </w:rPr>
            </w:pPr>
          </w:p>
        </w:tc>
        <w:tc>
          <w:tcPr>
            <w:tcW w:w="2219" w:type="dxa"/>
            <w:tcBorders>
              <w:top w:val="nil"/>
              <w:left w:val="single" w:sz="4" w:space="0" w:color="auto"/>
              <w:bottom w:val="single" w:sz="4" w:space="0" w:color="auto"/>
              <w:right w:val="single" w:sz="4" w:space="0" w:color="auto"/>
            </w:tcBorders>
            <w:shd w:val="clear" w:color="000000" w:fill="FFFFFF"/>
            <w:vAlign w:val="center"/>
            <w:hideMark/>
          </w:tcPr>
          <w:p w14:paraId="0FCD54A7" w14:textId="77777777" w:rsidR="006431D8" w:rsidRPr="00FC3979" w:rsidRDefault="006431D8" w:rsidP="00EB7A51">
            <w:pPr>
              <w:keepNext/>
              <w:rPr>
                <w:rFonts w:ascii="Arial" w:hAnsi="Arial" w:cs="Arial"/>
                <w:color w:val="000000"/>
                <w:sz w:val="20"/>
                <w:szCs w:val="20"/>
              </w:rPr>
            </w:pPr>
            <w:r w:rsidRPr="00FC3979">
              <w:rPr>
                <w:rFonts w:ascii="Arial" w:hAnsi="Arial" w:cs="Arial"/>
                <w:color w:val="000000"/>
                <w:sz w:val="20"/>
                <w:szCs w:val="20"/>
              </w:rPr>
              <w:t>% Load Impact</w:t>
            </w:r>
          </w:p>
        </w:tc>
        <w:tc>
          <w:tcPr>
            <w:tcW w:w="2120" w:type="dxa"/>
            <w:tcBorders>
              <w:top w:val="nil"/>
              <w:left w:val="nil"/>
              <w:bottom w:val="single" w:sz="4" w:space="0" w:color="auto"/>
              <w:right w:val="single" w:sz="4" w:space="0" w:color="auto"/>
            </w:tcBorders>
            <w:shd w:val="clear" w:color="auto" w:fill="auto"/>
            <w:vAlign w:val="center"/>
            <w:hideMark/>
          </w:tcPr>
          <w:p w14:paraId="53354E2D" w14:textId="7E25846C" w:rsidR="006431D8" w:rsidRPr="00FC3979" w:rsidRDefault="006431D8" w:rsidP="00EB7A51">
            <w:pPr>
              <w:keepNext/>
              <w:jc w:val="center"/>
              <w:rPr>
                <w:rFonts w:ascii="Arial" w:hAnsi="Arial" w:cs="Arial"/>
                <w:color w:val="000000"/>
                <w:sz w:val="20"/>
                <w:szCs w:val="20"/>
              </w:rPr>
            </w:pPr>
            <w:r w:rsidRPr="00FC3979">
              <w:rPr>
                <w:rFonts w:ascii="Arial" w:hAnsi="Arial" w:cs="Arial"/>
                <w:color w:val="000000"/>
                <w:sz w:val="20"/>
                <w:szCs w:val="20"/>
              </w:rPr>
              <w:t>59.5%</w:t>
            </w:r>
          </w:p>
        </w:tc>
        <w:tc>
          <w:tcPr>
            <w:tcW w:w="2034" w:type="dxa"/>
            <w:tcBorders>
              <w:top w:val="nil"/>
              <w:left w:val="nil"/>
              <w:bottom w:val="single" w:sz="4" w:space="0" w:color="auto"/>
              <w:right w:val="single" w:sz="4" w:space="0" w:color="auto"/>
            </w:tcBorders>
            <w:shd w:val="clear" w:color="auto" w:fill="auto"/>
            <w:vAlign w:val="center"/>
            <w:hideMark/>
          </w:tcPr>
          <w:p w14:paraId="3F050770" w14:textId="6982E9BB" w:rsidR="006431D8" w:rsidRPr="00FC3979" w:rsidRDefault="006431D8" w:rsidP="00EB7A51">
            <w:pPr>
              <w:keepNext/>
              <w:jc w:val="center"/>
              <w:rPr>
                <w:rFonts w:ascii="Arial" w:hAnsi="Arial" w:cs="Arial"/>
                <w:color w:val="000000"/>
                <w:sz w:val="20"/>
                <w:szCs w:val="20"/>
              </w:rPr>
            </w:pPr>
            <w:r>
              <w:rPr>
                <w:rFonts w:ascii="Arial" w:hAnsi="Arial" w:cs="Arial"/>
                <w:color w:val="000000"/>
                <w:sz w:val="20"/>
                <w:szCs w:val="20"/>
              </w:rPr>
              <w:t>71.</w:t>
            </w:r>
            <w:r w:rsidR="00936051">
              <w:rPr>
                <w:rFonts w:ascii="Arial" w:hAnsi="Arial" w:cs="Arial"/>
                <w:color w:val="000000"/>
                <w:sz w:val="20"/>
                <w:szCs w:val="20"/>
              </w:rPr>
              <w:t>1</w:t>
            </w:r>
            <w:r>
              <w:rPr>
                <w:rFonts w:ascii="Arial" w:hAnsi="Arial" w:cs="Arial"/>
                <w:color w:val="000000"/>
                <w:sz w:val="20"/>
                <w:szCs w:val="20"/>
              </w:rPr>
              <w:t>%</w:t>
            </w:r>
          </w:p>
        </w:tc>
      </w:tr>
    </w:tbl>
    <w:p w14:paraId="7E3948E7" w14:textId="77777777" w:rsidR="00FC3979" w:rsidRDefault="00FC3979" w:rsidP="00ED3E97"/>
    <w:p w14:paraId="23DFBCDB" w14:textId="130F0728" w:rsidR="00DA4753" w:rsidRDefault="00DA4753" w:rsidP="00DA4753">
      <w:pPr>
        <w:pStyle w:val="Heading3"/>
      </w:pPr>
      <w:bookmarkStart w:id="247" w:name="_Toc383597963"/>
      <w:bookmarkStart w:id="248" w:name="_Toc510091142"/>
      <w:r>
        <w:t xml:space="preserve">6.3.2 Previous versus current </w:t>
      </w:r>
      <w:r w:rsidRPr="000F1678">
        <w:rPr>
          <w:i/>
        </w:rPr>
        <w:t>ex</w:t>
      </w:r>
      <w:r w:rsidR="000F1678" w:rsidRPr="000F1678">
        <w:rPr>
          <w:i/>
        </w:rPr>
        <w:t>-</w:t>
      </w:r>
      <w:r w:rsidRPr="000F1678">
        <w:rPr>
          <w:i/>
        </w:rPr>
        <w:t>ante</w:t>
      </w:r>
      <w:bookmarkEnd w:id="247"/>
      <w:bookmarkEnd w:id="248"/>
    </w:p>
    <w:p w14:paraId="595CD1EF" w14:textId="40409F28" w:rsidR="00DA4753" w:rsidRDefault="00DA4753" w:rsidP="00DA4753">
      <w:r w:rsidRPr="00D06686">
        <w:t xml:space="preserve">In this sub-section, we compare the </w:t>
      </w:r>
      <w:r w:rsidRPr="00295A23">
        <w:rPr>
          <w:i/>
        </w:rPr>
        <w:t>ex</w:t>
      </w:r>
      <w:r w:rsidR="00295A23" w:rsidRPr="00295A23">
        <w:rPr>
          <w:i/>
        </w:rPr>
        <w:t>-</w:t>
      </w:r>
      <w:r w:rsidRPr="00295A23">
        <w:rPr>
          <w:i/>
        </w:rPr>
        <w:t>ante</w:t>
      </w:r>
      <w:r w:rsidRPr="00D06686">
        <w:t xml:space="preserve"> forecast prepared following PY201</w:t>
      </w:r>
      <w:r w:rsidR="001D3191">
        <w:t>6</w:t>
      </w:r>
      <w:r w:rsidRPr="00D06686">
        <w:t xml:space="preserve"> (the “previous study”) to the </w:t>
      </w:r>
      <w:r w:rsidRPr="00295A23">
        <w:rPr>
          <w:i/>
        </w:rPr>
        <w:t>ex</w:t>
      </w:r>
      <w:r w:rsidR="00295A23" w:rsidRPr="00295A23">
        <w:rPr>
          <w:i/>
        </w:rPr>
        <w:t>-</w:t>
      </w:r>
      <w:r w:rsidRPr="00295A23">
        <w:rPr>
          <w:i/>
        </w:rPr>
        <w:t>ante</w:t>
      </w:r>
      <w:r w:rsidRPr="00D06686">
        <w:t xml:space="preserve"> forecast contained in this study (the “current study”). Table 6.1</w:t>
      </w:r>
      <w:r w:rsidR="00372CA5" w:rsidRPr="00D06686">
        <w:t>2</w:t>
      </w:r>
      <w:r w:rsidRPr="00D06686">
        <w:t xml:space="preserve"> presents this comparison for the </w:t>
      </w:r>
      <w:r w:rsidRPr="00295A23">
        <w:rPr>
          <w:i/>
        </w:rPr>
        <w:t>ex</w:t>
      </w:r>
      <w:r w:rsidR="00295A23" w:rsidRPr="00295A23">
        <w:rPr>
          <w:i/>
        </w:rPr>
        <w:t>-</w:t>
      </w:r>
      <w:r w:rsidRPr="00295A23">
        <w:rPr>
          <w:i/>
        </w:rPr>
        <w:t>ante</w:t>
      </w:r>
      <w:r w:rsidRPr="00D06686">
        <w:t xml:space="preserve"> forecasts of the utility-specific 1-in-2 August </w:t>
      </w:r>
      <w:r w:rsidR="00D06686">
        <w:t>typical event day</w:t>
      </w:r>
      <w:r w:rsidRPr="00D06686">
        <w:t xml:space="preserve">. </w:t>
      </w:r>
      <w:r w:rsidR="007C63C0" w:rsidRPr="0086367A">
        <w:t xml:space="preserve">Reference loads and </w:t>
      </w:r>
      <w:r w:rsidR="00D06686" w:rsidRPr="0086367A">
        <w:t xml:space="preserve">load impacts </w:t>
      </w:r>
      <w:r w:rsidR="0097104A" w:rsidRPr="0086367A">
        <w:t>significantly lower in the current study</w:t>
      </w:r>
      <w:r w:rsidR="00E70197" w:rsidRPr="0086367A">
        <w:t>.</w:t>
      </w:r>
      <w:r w:rsidR="00E70197" w:rsidRPr="00D06686">
        <w:t xml:space="preserve"> </w:t>
      </w:r>
    </w:p>
    <w:p w14:paraId="58EE9663" w14:textId="77777777" w:rsidR="00DA4753" w:rsidRDefault="00DA4753" w:rsidP="00DA4753"/>
    <w:p w14:paraId="6879F192" w14:textId="1EE605E2" w:rsidR="00EB76B2" w:rsidRDefault="00DA4753" w:rsidP="00FC3979">
      <w:pPr>
        <w:pStyle w:val="TableCaption"/>
        <w:keepNext/>
        <w:keepLines/>
        <w:rPr>
          <w:i/>
        </w:rPr>
      </w:pPr>
      <w:bookmarkStart w:id="249" w:name="_Toc383598026"/>
      <w:bookmarkStart w:id="250" w:name="_Toc508800243"/>
      <w:r w:rsidRPr="00376F46">
        <w:t xml:space="preserve">Table </w:t>
      </w:r>
      <w:r>
        <w:t>6</w:t>
      </w:r>
      <w:r w:rsidRPr="00376F46">
        <w:t>.</w:t>
      </w:r>
      <w:r>
        <w:t>1</w:t>
      </w:r>
      <w:r w:rsidR="00372CA5">
        <w:t>2</w:t>
      </w:r>
      <w:r w:rsidRPr="00376F46">
        <w:t xml:space="preserve">: Comparison of </w:t>
      </w:r>
      <w:r w:rsidR="00861095" w:rsidRPr="00295A23">
        <w:rPr>
          <w:i/>
        </w:rPr>
        <w:t>Ex-</w:t>
      </w:r>
      <w:r w:rsidR="00295A23" w:rsidRPr="00295A23">
        <w:rPr>
          <w:i/>
        </w:rPr>
        <w:t>a</w:t>
      </w:r>
      <w:r w:rsidRPr="00295A23">
        <w:rPr>
          <w:i/>
        </w:rPr>
        <w:t>nte</w:t>
      </w:r>
      <w:r>
        <w:t xml:space="preserve"> </w:t>
      </w:r>
      <w:r w:rsidRPr="00376F46">
        <w:t xml:space="preserve">Impacts </w:t>
      </w:r>
      <w:r>
        <w:t xml:space="preserve">from </w:t>
      </w:r>
      <w:r w:rsidRPr="00376F46">
        <w:t>PY201</w:t>
      </w:r>
      <w:r w:rsidR="001D3191">
        <w:t>6</w:t>
      </w:r>
      <w:r>
        <w:t xml:space="preserve"> and</w:t>
      </w:r>
      <w:r w:rsidRPr="00376F46">
        <w:t xml:space="preserve"> PY201</w:t>
      </w:r>
      <w:r w:rsidR="001D3191">
        <w:t>7</w:t>
      </w:r>
      <w:r>
        <w:t xml:space="preserve"> Studies</w:t>
      </w:r>
      <w:r w:rsidRPr="00376F46">
        <w:t xml:space="preserve">, </w:t>
      </w:r>
      <w:r>
        <w:rPr>
          <w:i/>
        </w:rPr>
        <w:t>SDG&amp;</w:t>
      </w:r>
      <w:r w:rsidRPr="00376F46">
        <w:rPr>
          <w:i/>
        </w:rPr>
        <w:t>E</w:t>
      </w:r>
      <w:bookmarkEnd w:id="249"/>
      <w:bookmarkEnd w:id="250"/>
    </w:p>
    <w:tbl>
      <w:tblPr>
        <w:tblW w:w="8254" w:type="dxa"/>
        <w:jc w:val="center"/>
        <w:tblLook w:val="04A0" w:firstRow="1" w:lastRow="0" w:firstColumn="1" w:lastColumn="0" w:noHBand="0" w:noVBand="1"/>
      </w:tblPr>
      <w:tblGrid>
        <w:gridCol w:w="1306"/>
        <w:gridCol w:w="2168"/>
        <w:gridCol w:w="2439"/>
        <w:gridCol w:w="2341"/>
      </w:tblGrid>
      <w:tr w:rsidR="00FC3979" w:rsidRPr="00FC3979" w14:paraId="5A226440" w14:textId="77777777" w:rsidTr="006B55F6">
        <w:trPr>
          <w:trHeight w:val="242"/>
          <w:jc w:val="center"/>
        </w:trPr>
        <w:tc>
          <w:tcPr>
            <w:tcW w:w="1306" w:type="dxa"/>
            <w:vMerge w:val="restart"/>
            <w:tcBorders>
              <w:top w:val="single" w:sz="4" w:space="0" w:color="auto"/>
              <w:left w:val="single" w:sz="4" w:space="0" w:color="auto"/>
              <w:bottom w:val="single" w:sz="4" w:space="0" w:color="auto"/>
              <w:right w:val="single" w:sz="4" w:space="0" w:color="FFFFFF"/>
            </w:tcBorders>
            <w:shd w:val="clear" w:color="auto" w:fill="0C2577"/>
            <w:vAlign w:val="center"/>
            <w:hideMark/>
          </w:tcPr>
          <w:p w14:paraId="019201D2" w14:textId="77777777" w:rsidR="00FC3979" w:rsidRPr="00FC3979" w:rsidRDefault="00FC3979" w:rsidP="00ED3E97">
            <w:pPr>
              <w:keepNext/>
              <w:jc w:val="center"/>
              <w:rPr>
                <w:rFonts w:ascii="Arial" w:hAnsi="Arial" w:cs="Arial"/>
                <w:b/>
                <w:bCs/>
                <w:color w:val="FFFFFF"/>
                <w:sz w:val="20"/>
                <w:szCs w:val="20"/>
              </w:rPr>
            </w:pPr>
            <w:r w:rsidRPr="00FC3979">
              <w:rPr>
                <w:rFonts w:ascii="Arial" w:hAnsi="Arial" w:cs="Arial"/>
                <w:b/>
                <w:bCs/>
                <w:color w:val="FFFFFF"/>
                <w:sz w:val="20"/>
                <w:szCs w:val="20"/>
              </w:rPr>
              <w:t>Level</w:t>
            </w:r>
          </w:p>
        </w:tc>
        <w:tc>
          <w:tcPr>
            <w:tcW w:w="2168" w:type="dxa"/>
            <w:vMerge w:val="restart"/>
            <w:tcBorders>
              <w:top w:val="single" w:sz="4" w:space="0" w:color="auto"/>
              <w:left w:val="nil"/>
              <w:bottom w:val="single" w:sz="4" w:space="0" w:color="auto"/>
              <w:right w:val="nil"/>
            </w:tcBorders>
            <w:shd w:val="clear" w:color="auto" w:fill="0C2577"/>
            <w:vAlign w:val="center"/>
            <w:hideMark/>
          </w:tcPr>
          <w:p w14:paraId="595C938E" w14:textId="77777777" w:rsidR="00FC3979" w:rsidRPr="00FC3979" w:rsidRDefault="00FC3979" w:rsidP="00ED3E97">
            <w:pPr>
              <w:keepNext/>
              <w:jc w:val="center"/>
              <w:rPr>
                <w:rFonts w:ascii="Arial" w:hAnsi="Arial" w:cs="Arial"/>
                <w:b/>
                <w:bCs/>
                <w:color w:val="FFFFFF"/>
                <w:sz w:val="20"/>
                <w:szCs w:val="20"/>
              </w:rPr>
            </w:pPr>
            <w:r w:rsidRPr="00FC3979">
              <w:rPr>
                <w:rFonts w:ascii="Arial" w:hAnsi="Arial" w:cs="Arial"/>
                <w:b/>
                <w:bCs/>
                <w:color w:val="FFFFFF"/>
                <w:sz w:val="20"/>
                <w:szCs w:val="20"/>
              </w:rPr>
              <w:t>Outcome</w:t>
            </w:r>
          </w:p>
        </w:tc>
        <w:tc>
          <w:tcPr>
            <w:tcW w:w="2439" w:type="dxa"/>
            <w:vMerge w:val="restart"/>
            <w:tcBorders>
              <w:top w:val="single" w:sz="4" w:space="0" w:color="auto"/>
              <w:left w:val="single" w:sz="4" w:space="0" w:color="FFFFFF"/>
              <w:bottom w:val="single" w:sz="4" w:space="0" w:color="auto"/>
              <w:right w:val="nil"/>
            </w:tcBorders>
            <w:shd w:val="clear" w:color="auto" w:fill="0C2577"/>
            <w:vAlign w:val="center"/>
            <w:hideMark/>
          </w:tcPr>
          <w:p w14:paraId="4F959D40" w14:textId="77777777" w:rsidR="00FC3979" w:rsidRPr="00FC3979" w:rsidRDefault="00FC3979" w:rsidP="00ED3E97">
            <w:pPr>
              <w:keepNext/>
              <w:jc w:val="center"/>
              <w:rPr>
                <w:rFonts w:ascii="Arial" w:hAnsi="Arial" w:cs="Arial"/>
                <w:b/>
                <w:bCs/>
                <w:color w:val="FFFFFF"/>
                <w:sz w:val="20"/>
                <w:szCs w:val="20"/>
              </w:rPr>
            </w:pPr>
            <w:r w:rsidRPr="00936051">
              <w:rPr>
                <w:rFonts w:ascii="Arial" w:hAnsi="Arial" w:cs="Arial"/>
                <w:b/>
                <w:bCs/>
                <w:i/>
                <w:color w:val="FFFFFF"/>
                <w:sz w:val="20"/>
                <w:szCs w:val="20"/>
              </w:rPr>
              <w:t>Ex-ante</w:t>
            </w:r>
            <w:r w:rsidRPr="00FC3979">
              <w:rPr>
                <w:rFonts w:ascii="Arial" w:hAnsi="Arial" w:cs="Arial"/>
                <w:b/>
                <w:bCs/>
                <w:color w:val="FFFFFF"/>
                <w:sz w:val="20"/>
                <w:szCs w:val="20"/>
              </w:rPr>
              <w:t xml:space="preserve"> 2018 Typical Event Day, </w:t>
            </w:r>
            <w:r w:rsidRPr="00FC3979">
              <w:rPr>
                <w:rFonts w:ascii="Arial" w:hAnsi="Arial" w:cs="Arial"/>
                <w:b/>
                <w:bCs/>
                <w:i/>
                <w:iCs/>
                <w:color w:val="FFFFFF"/>
                <w:sz w:val="20"/>
                <w:szCs w:val="20"/>
              </w:rPr>
              <w:t>Previous Study</w:t>
            </w:r>
            <w:r w:rsidRPr="00FC3979">
              <w:rPr>
                <w:rFonts w:ascii="Arial" w:hAnsi="Arial" w:cs="Arial"/>
                <w:b/>
                <w:bCs/>
                <w:color w:val="FFFFFF"/>
                <w:sz w:val="20"/>
                <w:szCs w:val="20"/>
              </w:rPr>
              <w:t xml:space="preserve"> </w:t>
            </w:r>
          </w:p>
        </w:tc>
        <w:tc>
          <w:tcPr>
            <w:tcW w:w="2341" w:type="dxa"/>
            <w:vMerge w:val="restart"/>
            <w:tcBorders>
              <w:top w:val="single" w:sz="4" w:space="0" w:color="auto"/>
              <w:left w:val="single" w:sz="4" w:space="0" w:color="FFFFFF"/>
              <w:bottom w:val="single" w:sz="4" w:space="0" w:color="auto"/>
              <w:right w:val="single" w:sz="4" w:space="0" w:color="auto"/>
            </w:tcBorders>
            <w:shd w:val="clear" w:color="auto" w:fill="0C2577"/>
            <w:vAlign w:val="center"/>
            <w:hideMark/>
          </w:tcPr>
          <w:p w14:paraId="39BE71D9" w14:textId="77777777" w:rsidR="00FC3979" w:rsidRPr="00FC3979" w:rsidRDefault="00FC3979" w:rsidP="00ED3E97">
            <w:pPr>
              <w:keepNext/>
              <w:jc w:val="center"/>
              <w:rPr>
                <w:rFonts w:ascii="Arial" w:hAnsi="Arial" w:cs="Arial"/>
                <w:b/>
                <w:bCs/>
                <w:color w:val="FFFFFF"/>
                <w:sz w:val="20"/>
                <w:szCs w:val="20"/>
              </w:rPr>
            </w:pPr>
            <w:r w:rsidRPr="00936051">
              <w:rPr>
                <w:rFonts w:ascii="Arial" w:hAnsi="Arial" w:cs="Arial"/>
                <w:b/>
                <w:bCs/>
                <w:i/>
                <w:color w:val="FFFFFF"/>
                <w:sz w:val="20"/>
                <w:szCs w:val="20"/>
              </w:rPr>
              <w:t>Ex-ante</w:t>
            </w:r>
            <w:r w:rsidRPr="00FC3979">
              <w:rPr>
                <w:rFonts w:ascii="Arial" w:hAnsi="Arial" w:cs="Arial"/>
                <w:b/>
                <w:bCs/>
                <w:color w:val="FFFFFF"/>
                <w:sz w:val="20"/>
                <w:szCs w:val="20"/>
              </w:rPr>
              <w:t xml:space="preserve"> 2018 Typical Event Day, </w:t>
            </w:r>
            <w:r w:rsidRPr="00FC3979">
              <w:rPr>
                <w:rFonts w:ascii="Arial" w:hAnsi="Arial" w:cs="Arial"/>
                <w:b/>
                <w:bCs/>
                <w:i/>
                <w:iCs/>
                <w:color w:val="FFFFFF"/>
                <w:sz w:val="20"/>
                <w:szCs w:val="20"/>
              </w:rPr>
              <w:t>Current Study</w:t>
            </w:r>
          </w:p>
        </w:tc>
      </w:tr>
      <w:tr w:rsidR="00FC3979" w:rsidRPr="00FC3979" w14:paraId="4E34E748" w14:textId="77777777" w:rsidTr="006B55F6">
        <w:trPr>
          <w:trHeight w:val="293"/>
          <w:jc w:val="center"/>
        </w:trPr>
        <w:tc>
          <w:tcPr>
            <w:tcW w:w="1306" w:type="dxa"/>
            <w:vMerge/>
            <w:tcBorders>
              <w:top w:val="single" w:sz="4" w:space="0" w:color="auto"/>
              <w:left w:val="single" w:sz="4" w:space="0" w:color="auto"/>
              <w:bottom w:val="single" w:sz="4" w:space="0" w:color="auto"/>
              <w:right w:val="single" w:sz="4" w:space="0" w:color="FFFFFF"/>
            </w:tcBorders>
            <w:shd w:val="clear" w:color="auto" w:fill="0C2577"/>
            <w:vAlign w:val="center"/>
            <w:hideMark/>
          </w:tcPr>
          <w:p w14:paraId="746CE3F5" w14:textId="77777777" w:rsidR="00FC3979" w:rsidRPr="00FC3979" w:rsidRDefault="00FC3979" w:rsidP="00ED3E97">
            <w:pPr>
              <w:keepNext/>
              <w:rPr>
                <w:rFonts w:ascii="Arial" w:hAnsi="Arial" w:cs="Arial"/>
                <w:b/>
                <w:bCs/>
                <w:color w:val="FFFFFF"/>
                <w:sz w:val="20"/>
                <w:szCs w:val="20"/>
              </w:rPr>
            </w:pPr>
          </w:p>
        </w:tc>
        <w:tc>
          <w:tcPr>
            <w:tcW w:w="2168" w:type="dxa"/>
            <w:vMerge/>
            <w:tcBorders>
              <w:top w:val="single" w:sz="4" w:space="0" w:color="auto"/>
              <w:left w:val="nil"/>
              <w:bottom w:val="single" w:sz="4" w:space="0" w:color="auto"/>
              <w:right w:val="nil"/>
            </w:tcBorders>
            <w:shd w:val="clear" w:color="auto" w:fill="0C2577"/>
            <w:vAlign w:val="center"/>
            <w:hideMark/>
          </w:tcPr>
          <w:p w14:paraId="10721FC0" w14:textId="77777777" w:rsidR="00FC3979" w:rsidRPr="00FC3979" w:rsidRDefault="00FC3979" w:rsidP="00ED3E97">
            <w:pPr>
              <w:keepNext/>
              <w:rPr>
                <w:rFonts w:ascii="Arial" w:hAnsi="Arial" w:cs="Arial"/>
                <w:b/>
                <w:bCs/>
                <w:color w:val="FFFFFF"/>
                <w:sz w:val="20"/>
                <w:szCs w:val="20"/>
              </w:rPr>
            </w:pPr>
          </w:p>
        </w:tc>
        <w:tc>
          <w:tcPr>
            <w:tcW w:w="2439" w:type="dxa"/>
            <w:vMerge/>
            <w:tcBorders>
              <w:top w:val="single" w:sz="4" w:space="0" w:color="auto"/>
              <w:left w:val="single" w:sz="4" w:space="0" w:color="FFFFFF"/>
              <w:bottom w:val="single" w:sz="4" w:space="0" w:color="auto"/>
              <w:right w:val="nil"/>
            </w:tcBorders>
            <w:shd w:val="clear" w:color="auto" w:fill="0C2577"/>
            <w:vAlign w:val="center"/>
            <w:hideMark/>
          </w:tcPr>
          <w:p w14:paraId="0538B20A" w14:textId="77777777" w:rsidR="00FC3979" w:rsidRPr="00FC3979" w:rsidRDefault="00FC3979" w:rsidP="00ED3E97">
            <w:pPr>
              <w:keepNext/>
              <w:rPr>
                <w:rFonts w:ascii="Arial" w:hAnsi="Arial" w:cs="Arial"/>
                <w:b/>
                <w:bCs/>
                <w:color w:val="FFFFFF"/>
                <w:sz w:val="20"/>
                <w:szCs w:val="20"/>
              </w:rPr>
            </w:pPr>
          </w:p>
        </w:tc>
        <w:tc>
          <w:tcPr>
            <w:tcW w:w="2341" w:type="dxa"/>
            <w:vMerge/>
            <w:tcBorders>
              <w:top w:val="single" w:sz="4" w:space="0" w:color="auto"/>
              <w:left w:val="single" w:sz="4" w:space="0" w:color="FFFFFF"/>
              <w:bottom w:val="single" w:sz="4" w:space="0" w:color="auto"/>
              <w:right w:val="single" w:sz="4" w:space="0" w:color="auto"/>
            </w:tcBorders>
            <w:shd w:val="clear" w:color="auto" w:fill="0C2577"/>
            <w:vAlign w:val="center"/>
            <w:hideMark/>
          </w:tcPr>
          <w:p w14:paraId="6B12E054" w14:textId="77777777" w:rsidR="00FC3979" w:rsidRPr="00FC3979" w:rsidRDefault="00FC3979" w:rsidP="00ED3E97">
            <w:pPr>
              <w:keepNext/>
              <w:rPr>
                <w:rFonts w:ascii="Arial" w:hAnsi="Arial" w:cs="Arial"/>
                <w:b/>
                <w:bCs/>
                <w:color w:val="FFFFFF"/>
                <w:sz w:val="20"/>
                <w:szCs w:val="20"/>
              </w:rPr>
            </w:pPr>
          </w:p>
        </w:tc>
      </w:tr>
      <w:tr w:rsidR="00FC3979" w:rsidRPr="00FC3979" w14:paraId="56FA7E24" w14:textId="77777777" w:rsidTr="006B55F6">
        <w:trPr>
          <w:trHeight w:val="293"/>
          <w:jc w:val="center"/>
        </w:trPr>
        <w:tc>
          <w:tcPr>
            <w:tcW w:w="1306" w:type="dxa"/>
            <w:vMerge/>
            <w:tcBorders>
              <w:top w:val="single" w:sz="4" w:space="0" w:color="auto"/>
              <w:left w:val="single" w:sz="4" w:space="0" w:color="auto"/>
              <w:bottom w:val="single" w:sz="4" w:space="0" w:color="auto"/>
              <w:right w:val="single" w:sz="4" w:space="0" w:color="FFFFFF"/>
            </w:tcBorders>
            <w:shd w:val="clear" w:color="auto" w:fill="0C2577"/>
            <w:vAlign w:val="center"/>
            <w:hideMark/>
          </w:tcPr>
          <w:p w14:paraId="5E999D3B" w14:textId="77777777" w:rsidR="00FC3979" w:rsidRPr="00FC3979" w:rsidRDefault="00FC3979" w:rsidP="00ED3E97">
            <w:pPr>
              <w:keepNext/>
              <w:rPr>
                <w:rFonts w:ascii="Arial" w:hAnsi="Arial" w:cs="Arial"/>
                <w:b/>
                <w:bCs/>
                <w:color w:val="FFFFFF"/>
                <w:sz w:val="20"/>
                <w:szCs w:val="20"/>
              </w:rPr>
            </w:pPr>
          </w:p>
        </w:tc>
        <w:tc>
          <w:tcPr>
            <w:tcW w:w="2168" w:type="dxa"/>
            <w:vMerge/>
            <w:tcBorders>
              <w:top w:val="single" w:sz="4" w:space="0" w:color="auto"/>
              <w:left w:val="nil"/>
              <w:bottom w:val="single" w:sz="4" w:space="0" w:color="auto"/>
              <w:right w:val="nil"/>
            </w:tcBorders>
            <w:shd w:val="clear" w:color="auto" w:fill="0C2577"/>
            <w:vAlign w:val="center"/>
            <w:hideMark/>
          </w:tcPr>
          <w:p w14:paraId="4631C5BD" w14:textId="77777777" w:rsidR="00FC3979" w:rsidRPr="00FC3979" w:rsidRDefault="00FC3979" w:rsidP="00ED3E97">
            <w:pPr>
              <w:keepNext/>
              <w:rPr>
                <w:rFonts w:ascii="Arial" w:hAnsi="Arial" w:cs="Arial"/>
                <w:b/>
                <w:bCs/>
                <w:color w:val="FFFFFF"/>
                <w:sz w:val="20"/>
                <w:szCs w:val="20"/>
              </w:rPr>
            </w:pPr>
          </w:p>
        </w:tc>
        <w:tc>
          <w:tcPr>
            <w:tcW w:w="2439" w:type="dxa"/>
            <w:vMerge/>
            <w:tcBorders>
              <w:top w:val="single" w:sz="4" w:space="0" w:color="auto"/>
              <w:left w:val="single" w:sz="4" w:space="0" w:color="FFFFFF"/>
              <w:bottom w:val="single" w:sz="4" w:space="0" w:color="auto"/>
              <w:right w:val="nil"/>
            </w:tcBorders>
            <w:shd w:val="clear" w:color="auto" w:fill="0C2577"/>
            <w:vAlign w:val="center"/>
            <w:hideMark/>
          </w:tcPr>
          <w:p w14:paraId="7E7BAD50" w14:textId="77777777" w:rsidR="00FC3979" w:rsidRPr="00FC3979" w:rsidRDefault="00FC3979" w:rsidP="00ED3E97">
            <w:pPr>
              <w:keepNext/>
              <w:rPr>
                <w:rFonts w:ascii="Arial" w:hAnsi="Arial" w:cs="Arial"/>
                <w:b/>
                <w:bCs/>
                <w:color w:val="FFFFFF"/>
                <w:sz w:val="20"/>
                <w:szCs w:val="20"/>
              </w:rPr>
            </w:pPr>
          </w:p>
        </w:tc>
        <w:tc>
          <w:tcPr>
            <w:tcW w:w="2341" w:type="dxa"/>
            <w:vMerge/>
            <w:tcBorders>
              <w:top w:val="single" w:sz="4" w:space="0" w:color="auto"/>
              <w:left w:val="single" w:sz="4" w:space="0" w:color="FFFFFF"/>
              <w:bottom w:val="single" w:sz="4" w:space="0" w:color="auto"/>
              <w:right w:val="single" w:sz="4" w:space="0" w:color="auto"/>
            </w:tcBorders>
            <w:shd w:val="clear" w:color="auto" w:fill="0C2577"/>
            <w:vAlign w:val="center"/>
            <w:hideMark/>
          </w:tcPr>
          <w:p w14:paraId="69B4C51B" w14:textId="77777777" w:rsidR="00FC3979" w:rsidRPr="00FC3979" w:rsidRDefault="00FC3979" w:rsidP="00ED3E97">
            <w:pPr>
              <w:keepNext/>
              <w:rPr>
                <w:rFonts w:ascii="Arial" w:hAnsi="Arial" w:cs="Arial"/>
                <w:b/>
                <w:bCs/>
                <w:color w:val="FFFFFF"/>
                <w:sz w:val="20"/>
                <w:szCs w:val="20"/>
              </w:rPr>
            </w:pPr>
          </w:p>
        </w:tc>
      </w:tr>
      <w:tr w:rsidR="00FC3979" w:rsidRPr="00FC3979" w14:paraId="6523D754" w14:textId="77777777" w:rsidTr="006B55F6">
        <w:trPr>
          <w:trHeight w:val="293"/>
          <w:jc w:val="center"/>
        </w:trPr>
        <w:tc>
          <w:tcPr>
            <w:tcW w:w="1306" w:type="dxa"/>
            <w:vMerge/>
            <w:tcBorders>
              <w:top w:val="single" w:sz="4" w:space="0" w:color="auto"/>
              <w:left w:val="single" w:sz="4" w:space="0" w:color="auto"/>
              <w:bottom w:val="single" w:sz="4" w:space="0" w:color="auto"/>
              <w:right w:val="single" w:sz="4" w:space="0" w:color="FFFFFF"/>
            </w:tcBorders>
            <w:shd w:val="clear" w:color="auto" w:fill="0C2577"/>
            <w:vAlign w:val="center"/>
            <w:hideMark/>
          </w:tcPr>
          <w:p w14:paraId="62C6030B" w14:textId="77777777" w:rsidR="00FC3979" w:rsidRPr="00FC3979" w:rsidRDefault="00FC3979" w:rsidP="00ED3E97">
            <w:pPr>
              <w:keepNext/>
              <w:rPr>
                <w:rFonts w:ascii="Arial" w:hAnsi="Arial" w:cs="Arial"/>
                <w:b/>
                <w:bCs/>
                <w:color w:val="FFFFFF"/>
                <w:sz w:val="20"/>
                <w:szCs w:val="20"/>
              </w:rPr>
            </w:pPr>
          </w:p>
        </w:tc>
        <w:tc>
          <w:tcPr>
            <w:tcW w:w="2168" w:type="dxa"/>
            <w:vMerge/>
            <w:tcBorders>
              <w:top w:val="single" w:sz="4" w:space="0" w:color="auto"/>
              <w:left w:val="nil"/>
              <w:bottom w:val="single" w:sz="4" w:space="0" w:color="auto"/>
              <w:right w:val="nil"/>
            </w:tcBorders>
            <w:shd w:val="clear" w:color="auto" w:fill="0C2577"/>
            <w:vAlign w:val="center"/>
            <w:hideMark/>
          </w:tcPr>
          <w:p w14:paraId="616FA046" w14:textId="77777777" w:rsidR="00FC3979" w:rsidRPr="00FC3979" w:rsidRDefault="00FC3979" w:rsidP="00ED3E97">
            <w:pPr>
              <w:keepNext/>
              <w:rPr>
                <w:rFonts w:ascii="Arial" w:hAnsi="Arial" w:cs="Arial"/>
                <w:b/>
                <w:bCs/>
                <w:color w:val="FFFFFF"/>
                <w:sz w:val="20"/>
                <w:szCs w:val="20"/>
              </w:rPr>
            </w:pPr>
          </w:p>
        </w:tc>
        <w:tc>
          <w:tcPr>
            <w:tcW w:w="2439" w:type="dxa"/>
            <w:vMerge/>
            <w:tcBorders>
              <w:top w:val="single" w:sz="4" w:space="0" w:color="auto"/>
              <w:left w:val="single" w:sz="4" w:space="0" w:color="FFFFFF"/>
              <w:bottom w:val="single" w:sz="4" w:space="0" w:color="auto"/>
              <w:right w:val="nil"/>
            </w:tcBorders>
            <w:shd w:val="clear" w:color="auto" w:fill="0C2577"/>
            <w:vAlign w:val="center"/>
            <w:hideMark/>
          </w:tcPr>
          <w:p w14:paraId="1264911F" w14:textId="77777777" w:rsidR="00FC3979" w:rsidRPr="00FC3979" w:rsidRDefault="00FC3979" w:rsidP="00ED3E97">
            <w:pPr>
              <w:keepNext/>
              <w:rPr>
                <w:rFonts w:ascii="Arial" w:hAnsi="Arial" w:cs="Arial"/>
                <w:b/>
                <w:bCs/>
                <w:color w:val="FFFFFF"/>
                <w:sz w:val="20"/>
                <w:szCs w:val="20"/>
              </w:rPr>
            </w:pPr>
          </w:p>
        </w:tc>
        <w:tc>
          <w:tcPr>
            <w:tcW w:w="2341" w:type="dxa"/>
            <w:vMerge/>
            <w:tcBorders>
              <w:top w:val="single" w:sz="4" w:space="0" w:color="auto"/>
              <w:left w:val="single" w:sz="4" w:space="0" w:color="FFFFFF"/>
              <w:bottom w:val="single" w:sz="4" w:space="0" w:color="auto"/>
              <w:right w:val="single" w:sz="4" w:space="0" w:color="auto"/>
            </w:tcBorders>
            <w:shd w:val="clear" w:color="auto" w:fill="0C2577"/>
            <w:vAlign w:val="center"/>
            <w:hideMark/>
          </w:tcPr>
          <w:p w14:paraId="3720171F" w14:textId="77777777" w:rsidR="00FC3979" w:rsidRPr="00FC3979" w:rsidRDefault="00FC3979" w:rsidP="00ED3E97">
            <w:pPr>
              <w:keepNext/>
              <w:rPr>
                <w:rFonts w:ascii="Arial" w:hAnsi="Arial" w:cs="Arial"/>
                <w:b/>
                <w:bCs/>
                <w:color w:val="FFFFFF"/>
                <w:sz w:val="20"/>
                <w:szCs w:val="20"/>
              </w:rPr>
            </w:pPr>
          </w:p>
        </w:tc>
      </w:tr>
      <w:tr w:rsidR="0097104A" w:rsidRPr="00FC3979" w14:paraId="349C628A" w14:textId="77777777" w:rsidTr="0086367A">
        <w:trPr>
          <w:trHeight w:val="242"/>
          <w:jc w:val="center"/>
        </w:trPr>
        <w:tc>
          <w:tcPr>
            <w:tcW w:w="1306" w:type="dxa"/>
            <w:vMerge w:val="restart"/>
            <w:tcBorders>
              <w:top w:val="nil"/>
              <w:left w:val="single" w:sz="4" w:space="0" w:color="auto"/>
              <w:bottom w:val="single" w:sz="4" w:space="0" w:color="auto"/>
              <w:right w:val="nil"/>
            </w:tcBorders>
            <w:shd w:val="clear" w:color="auto" w:fill="auto"/>
            <w:vAlign w:val="center"/>
            <w:hideMark/>
          </w:tcPr>
          <w:p w14:paraId="2B088DE7" w14:textId="77777777" w:rsidR="0097104A" w:rsidRPr="00FC3979" w:rsidRDefault="0097104A" w:rsidP="0097104A">
            <w:pPr>
              <w:keepNext/>
              <w:rPr>
                <w:rFonts w:ascii="Arial" w:hAnsi="Arial" w:cs="Arial"/>
                <w:b/>
                <w:bCs/>
                <w:color w:val="000000"/>
                <w:sz w:val="20"/>
                <w:szCs w:val="20"/>
              </w:rPr>
            </w:pPr>
            <w:r w:rsidRPr="00FC3979">
              <w:rPr>
                <w:rFonts w:ascii="Arial" w:hAnsi="Arial" w:cs="Arial"/>
                <w:b/>
                <w:bCs/>
                <w:color w:val="000000"/>
                <w:sz w:val="20"/>
                <w:szCs w:val="20"/>
              </w:rPr>
              <w:t>Total</w:t>
            </w:r>
          </w:p>
        </w:tc>
        <w:tc>
          <w:tcPr>
            <w:tcW w:w="2168" w:type="dxa"/>
            <w:tcBorders>
              <w:top w:val="single" w:sz="4" w:space="0" w:color="auto"/>
              <w:left w:val="single" w:sz="4" w:space="0" w:color="auto"/>
              <w:bottom w:val="nil"/>
              <w:right w:val="single" w:sz="4" w:space="0" w:color="auto"/>
            </w:tcBorders>
            <w:shd w:val="clear" w:color="000000" w:fill="FFFFFF"/>
            <w:vAlign w:val="center"/>
            <w:hideMark/>
          </w:tcPr>
          <w:p w14:paraId="0238AF56" w14:textId="3B751B2B" w:rsidR="0097104A" w:rsidRPr="00FC3979" w:rsidRDefault="0097104A" w:rsidP="0097104A">
            <w:pPr>
              <w:keepNext/>
              <w:rPr>
                <w:rFonts w:ascii="Arial" w:hAnsi="Arial" w:cs="Arial"/>
                <w:color w:val="000000"/>
                <w:sz w:val="20"/>
                <w:szCs w:val="20"/>
              </w:rPr>
            </w:pPr>
            <w:r w:rsidRPr="00FC3979">
              <w:rPr>
                <w:rFonts w:ascii="Arial" w:hAnsi="Arial" w:cs="Arial"/>
                <w:color w:val="000000"/>
                <w:sz w:val="20"/>
                <w:szCs w:val="20"/>
              </w:rPr>
              <w:t xml:space="preserve"># </w:t>
            </w:r>
            <w:r w:rsidR="00DF5A48">
              <w:rPr>
                <w:rFonts w:ascii="Arial" w:hAnsi="Arial" w:cs="Arial"/>
                <w:color w:val="000000"/>
                <w:sz w:val="20"/>
                <w:szCs w:val="20"/>
              </w:rPr>
              <w:t>Customers</w:t>
            </w:r>
          </w:p>
        </w:tc>
        <w:tc>
          <w:tcPr>
            <w:tcW w:w="2439" w:type="dxa"/>
            <w:tcBorders>
              <w:top w:val="nil"/>
              <w:left w:val="nil"/>
              <w:bottom w:val="nil"/>
              <w:right w:val="single" w:sz="4" w:space="0" w:color="auto"/>
            </w:tcBorders>
            <w:shd w:val="clear" w:color="auto" w:fill="auto"/>
            <w:vAlign w:val="center"/>
            <w:hideMark/>
          </w:tcPr>
          <w:p w14:paraId="53AB369B" w14:textId="3C0789F9" w:rsidR="0097104A" w:rsidRPr="00FC3979" w:rsidRDefault="0097104A" w:rsidP="0097104A">
            <w:pPr>
              <w:keepNext/>
              <w:jc w:val="center"/>
              <w:rPr>
                <w:rFonts w:ascii="Arial" w:hAnsi="Arial" w:cs="Arial"/>
                <w:color w:val="000000"/>
                <w:sz w:val="20"/>
                <w:szCs w:val="20"/>
              </w:rPr>
            </w:pPr>
            <w:r>
              <w:rPr>
                <w:rFonts w:ascii="Arial" w:hAnsi="Arial" w:cs="Arial"/>
                <w:color w:val="000000"/>
                <w:sz w:val="20"/>
                <w:szCs w:val="20"/>
              </w:rPr>
              <w:t>8</w:t>
            </w:r>
          </w:p>
        </w:tc>
        <w:tc>
          <w:tcPr>
            <w:tcW w:w="2341" w:type="dxa"/>
            <w:tcBorders>
              <w:top w:val="nil"/>
              <w:left w:val="nil"/>
              <w:bottom w:val="nil"/>
              <w:right w:val="single" w:sz="4" w:space="0" w:color="auto"/>
            </w:tcBorders>
            <w:shd w:val="clear" w:color="auto" w:fill="auto"/>
            <w:vAlign w:val="center"/>
            <w:hideMark/>
          </w:tcPr>
          <w:p w14:paraId="6A5AB346" w14:textId="0B45D7E4" w:rsidR="0097104A" w:rsidRPr="00FC3979" w:rsidRDefault="0097104A" w:rsidP="0097104A">
            <w:pPr>
              <w:keepNext/>
              <w:jc w:val="center"/>
              <w:rPr>
                <w:rFonts w:ascii="Arial" w:hAnsi="Arial" w:cs="Arial"/>
                <w:color w:val="000000"/>
                <w:sz w:val="20"/>
                <w:szCs w:val="20"/>
              </w:rPr>
            </w:pPr>
            <w:r>
              <w:rPr>
                <w:rFonts w:ascii="Arial" w:hAnsi="Arial" w:cs="Arial"/>
                <w:color w:val="000000"/>
                <w:sz w:val="20"/>
                <w:szCs w:val="20"/>
              </w:rPr>
              <w:t>7</w:t>
            </w:r>
          </w:p>
        </w:tc>
      </w:tr>
      <w:tr w:rsidR="0097104A" w:rsidRPr="00FC3979" w14:paraId="7A91A054" w14:textId="77777777" w:rsidTr="0086367A">
        <w:trPr>
          <w:trHeight w:val="242"/>
          <w:jc w:val="center"/>
        </w:trPr>
        <w:tc>
          <w:tcPr>
            <w:tcW w:w="1306" w:type="dxa"/>
            <w:vMerge/>
            <w:tcBorders>
              <w:top w:val="nil"/>
              <w:left w:val="single" w:sz="4" w:space="0" w:color="auto"/>
              <w:bottom w:val="single" w:sz="4" w:space="0" w:color="auto"/>
              <w:right w:val="nil"/>
            </w:tcBorders>
            <w:vAlign w:val="center"/>
            <w:hideMark/>
          </w:tcPr>
          <w:p w14:paraId="6E7D275D" w14:textId="77777777" w:rsidR="0097104A" w:rsidRPr="00FC3979" w:rsidRDefault="0097104A" w:rsidP="0097104A">
            <w:pPr>
              <w:keepNext/>
              <w:rPr>
                <w:rFonts w:ascii="Arial" w:hAnsi="Arial" w:cs="Arial"/>
                <w:b/>
                <w:bCs/>
                <w:color w:val="000000"/>
                <w:sz w:val="20"/>
                <w:szCs w:val="20"/>
              </w:rPr>
            </w:pPr>
          </w:p>
        </w:tc>
        <w:tc>
          <w:tcPr>
            <w:tcW w:w="2168" w:type="dxa"/>
            <w:tcBorders>
              <w:top w:val="nil"/>
              <w:left w:val="single" w:sz="4" w:space="0" w:color="auto"/>
              <w:bottom w:val="nil"/>
              <w:right w:val="single" w:sz="4" w:space="0" w:color="auto"/>
            </w:tcBorders>
            <w:shd w:val="clear" w:color="000000" w:fill="FFFFFF"/>
            <w:vAlign w:val="center"/>
            <w:hideMark/>
          </w:tcPr>
          <w:p w14:paraId="525C15D1" w14:textId="04EC257E" w:rsidR="0097104A" w:rsidRPr="00FC3979" w:rsidRDefault="0097104A" w:rsidP="0097104A">
            <w:pPr>
              <w:keepNext/>
              <w:rPr>
                <w:rFonts w:ascii="Arial" w:hAnsi="Arial" w:cs="Arial"/>
                <w:color w:val="000000"/>
                <w:sz w:val="20"/>
                <w:szCs w:val="20"/>
              </w:rPr>
            </w:pPr>
            <w:r w:rsidRPr="00FC3979">
              <w:rPr>
                <w:rFonts w:ascii="Arial" w:hAnsi="Arial" w:cs="Arial"/>
                <w:color w:val="000000"/>
                <w:sz w:val="20"/>
                <w:szCs w:val="20"/>
              </w:rPr>
              <w:t>Reference (MW</w:t>
            </w:r>
            <w:r w:rsidR="004A5FCA">
              <w:rPr>
                <w:rFonts w:ascii="Arial" w:hAnsi="Arial" w:cs="Arial"/>
                <w:color w:val="000000"/>
                <w:sz w:val="20"/>
                <w:szCs w:val="20"/>
              </w:rPr>
              <w:t>h/h</w:t>
            </w:r>
            <w:r w:rsidRPr="00FC3979">
              <w:rPr>
                <w:rFonts w:ascii="Arial" w:hAnsi="Arial" w:cs="Arial"/>
                <w:color w:val="000000"/>
                <w:sz w:val="20"/>
                <w:szCs w:val="20"/>
              </w:rPr>
              <w:t>)</w:t>
            </w:r>
          </w:p>
        </w:tc>
        <w:tc>
          <w:tcPr>
            <w:tcW w:w="2439" w:type="dxa"/>
            <w:tcBorders>
              <w:top w:val="nil"/>
              <w:left w:val="nil"/>
              <w:bottom w:val="nil"/>
              <w:right w:val="single" w:sz="4" w:space="0" w:color="auto"/>
            </w:tcBorders>
            <w:shd w:val="clear" w:color="auto" w:fill="auto"/>
            <w:vAlign w:val="center"/>
            <w:hideMark/>
          </w:tcPr>
          <w:p w14:paraId="31BDD6A8" w14:textId="0844E6AF" w:rsidR="0097104A" w:rsidRPr="00FC3979" w:rsidRDefault="0097104A" w:rsidP="0097104A">
            <w:pPr>
              <w:keepNext/>
              <w:jc w:val="center"/>
              <w:rPr>
                <w:rFonts w:ascii="Arial" w:hAnsi="Arial" w:cs="Arial"/>
                <w:color w:val="000000"/>
                <w:sz w:val="20"/>
                <w:szCs w:val="20"/>
              </w:rPr>
            </w:pPr>
            <w:r>
              <w:rPr>
                <w:rFonts w:ascii="Arial" w:hAnsi="Arial" w:cs="Arial"/>
                <w:color w:val="000000"/>
                <w:sz w:val="20"/>
                <w:szCs w:val="20"/>
              </w:rPr>
              <w:t>9.2</w:t>
            </w:r>
          </w:p>
        </w:tc>
        <w:tc>
          <w:tcPr>
            <w:tcW w:w="2341" w:type="dxa"/>
            <w:tcBorders>
              <w:top w:val="nil"/>
              <w:left w:val="nil"/>
              <w:bottom w:val="nil"/>
              <w:right w:val="single" w:sz="4" w:space="0" w:color="auto"/>
            </w:tcBorders>
            <w:shd w:val="clear" w:color="auto" w:fill="auto"/>
            <w:vAlign w:val="center"/>
            <w:hideMark/>
          </w:tcPr>
          <w:p w14:paraId="5AE0BBCD" w14:textId="45951520" w:rsidR="0097104A" w:rsidRPr="00FC3979" w:rsidRDefault="0097104A" w:rsidP="0097104A">
            <w:pPr>
              <w:keepNext/>
              <w:jc w:val="center"/>
              <w:rPr>
                <w:rFonts w:ascii="Arial" w:hAnsi="Arial" w:cs="Arial"/>
                <w:color w:val="000000"/>
                <w:sz w:val="20"/>
                <w:szCs w:val="20"/>
              </w:rPr>
            </w:pPr>
            <w:r>
              <w:rPr>
                <w:rFonts w:ascii="Arial" w:hAnsi="Arial" w:cs="Arial"/>
                <w:color w:val="000000"/>
                <w:sz w:val="20"/>
                <w:szCs w:val="20"/>
              </w:rPr>
              <w:t>2.4</w:t>
            </w:r>
          </w:p>
        </w:tc>
      </w:tr>
      <w:tr w:rsidR="0097104A" w:rsidRPr="00FC3979" w14:paraId="7AC79F55" w14:textId="77777777" w:rsidTr="0086367A">
        <w:trPr>
          <w:trHeight w:val="242"/>
          <w:jc w:val="center"/>
        </w:trPr>
        <w:tc>
          <w:tcPr>
            <w:tcW w:w="1306" w:type="dxa"/>
            <w:vMerge/>
            <w:tcBorders>
              <w:top w:val="nil"/>
              <w:left w:val="single" w:sz="4" w:space="0" w:color="auto"/>
              <w:bottom w:val="single" w:sz="4" w:space="0" w:color="auto"/>
              <w:right w:val="nil"/>
            </w:tcBorders>
            <w:vAlign w:val="center"/>
            <w:hideMark/>
          </w:tcPr>
          <w:p w14:paraId="3FC0B632" w14:textId="77777777" w:rsidR="0097104A" w:rsidRPr="00FC3979" w:rsidRDefault="0097104A" w:rsidP="0097104A">
            <w:pPr>
              <w:keepNext/>
              <w:rPr>
                <w:rFonts w:ascii="Arial" w:hAnsi="Arial" w:cs="Arial"/>
                <w:b/>
                <w:bCs/>
                <w:color w:val="000000"/>
                <w:sz w:val="20"/>
                <w:szCs w:val="20"/>
              </w:rPr>
            </w:pPr>
          </w:p>
        </w:tc>
        <w:tc>
          <w:tcPr>
            <w:tcW w:w="2168" w:type="dxa"/>
            <w:tcBorders>
              <w:top w:val="nil"/>
              <w:left w:val="single" w:sz="4" w:space="0" w:color="auto"/>
              <w:bottom w:val="nil"/>
              <w:right w:val="single" w:sz="4" w:space="0" w:color="auto"/>
            </w:tcBorders>
            <w:shd w:val="clear" w:color="000000" w:fill="FFFFFF"/>
            <w:vAlign w:val="center"/>
            <w:hideMark/>
          </w:tcPr>
          <w:p w14:paraId="5F1A636B" w14:textId="3A1B6BF8" w:rsidR="0097104A" w:rsidRPr="00FC3979" w:rsidRDefault="0097104A" w:rsidP="0097104A">
            <w:pPr>
              <w:keepNext/>
              <w:rPr>
                <w:rFonts w:ascii="Arial" w:hAnsi="Arial" w:cs="Arial"/>
                <w:color w:val="000000"/>
                <w:sz w:val="20"/>
                <w:szCs w:val="20"/>
              </w:rPr>
            </w:pPr>
            <w:r w:rsidRPr="00FC3979">
              <w:rPr>
                <w:rFonts w:ascii="Arial" w:hAnsi="Arial" w:cs="Arial"/>
                <w:color w:val="000000"/>
                <w:sz w:val="20"/>
                <w:szCs w:val="20"/>
              </w:rPr>
              <w:t>Load Impact (MW</w:t>
            </w:r>
            <w:r w:rsidR="004A5FCA">
              <w:rPr>
                <w:rFonts w:ascii="Arial" w:hAnsi="Arial" w:cs="Arial"/>
                <w:color w:val="000000"/>
                <w:sz w:val="20"/>
                <w:szCs w:val="20"/>
              </w:rPr>
              <w:t>h/h</w:t>
            </w:r>
            <w:r w:rsidRPr="00FC3979">
              <w:rPr>
                <w:rFonts w:ascii="Arial" w:hAnsi="Arial" w:cs="Arial"/>
                <w:color w:val="000000"/>
                <w:sz w:val="20"/>
                <w:szCs w:val="20"/>
              </w:rPr>
              <w:t>)</w:t>
            </w:r>
          </w:p>
        </w:tc>
        <w:tc>
          <w:tcPr>
            <w:tcW w:w="2439" w:type="dxa"/>
            <w:tcBorders>
              <w:top w:val="nil"/>
              <w:left w:val="nil"/>
              <w:bottom w:val="nil"/>
              <w:right w:val="single" w:sz="4" w:space="0" w:color="auto"/>
            </w:tcBorders>
            <w:shd w:val="clear" w:color="auto" w:fill="auto"/>
            <w:vAlign w:val="center"/>
            <w:hideMark/>
          </w:tcPr>
          <w:p w14:paraId="1264F61C" w14:textId="56527727" w:rsidR="0097104A" w:rsidRPr="00FC3979" w:rsidRDefault="0097104A" w:rsidP="0097104A">
            <w:pPr>
              <w:keepNext/>
              <w:jc w:val="center"/>
              <w:rPr>
                <w:rFonts w:ascii="Arial" w:hAnsi="Arial" w:cs="Arial"/>
                <w:color w:val="000000"/>
                <w:sz w:val="20"/>
                <w:szCs w:val="20"/>
              </w:rPr>
            </w:pPr>
            <w:r>
              <w:rPr>
                <w:rFonts w:ascii="Arial" w:hAnsi="Arial" w:cs="Arial"/>
                <w:color w:val="000000"/>
                <w:sz w:val="20"/>
                <w:szCs w:val="20"/>
              </w:rPr>
              <w:t>6.1</w:t>
            </w:r>
          </w:p>
        </w:tc>
        <w:tc>
          <w:tcPr>
            <w:tcW w:w="2341" w:type="dxa"/>
            <w:tcBorders>
              <w:top w:val="nil"/>
              <w:left w:val="nil"/>
              <w:bottom w:val="nil"/>
              <w:right w:val="single" w:sz="4" w:space="0" w:color="auto"/>
            </w:tcBorders>
            <w:shd w:val="clear" w:color="auto" w:fill="auto"/>
            <w:vAlign w:val="center"/>
            <w:hideMark/>
          </w:tcPr>
          <w:p w14:paraId="46425BC6" w14:textId="6BAE1F3F" w:rsidR="0097104A" w:rsidRPr="00FC3979" w:rsidRDefault="0097104A" w:rsidP="0097104A">
            <w:pPr>
              <w:keepNext/>
              <w:jc w:val="center"/>
              <w:rPr>
                <w:rFonts w:ascii="Arial" w:hAnsi="Arial" w:cs="Arial"/>
                <w:color w:val="000000"/>
                <w:sz w:val="20"/>
                <w:szCs w:val="20"/>
              </w:rPr>
            </w:pPr>
            <w:r>
              <w:rPr>
                <w:rFonts w:ascii="Arial" w:hAnsi="Arial" w:cs="Arial"/>
                <w:color w:val="000000"/>
                <w:sz w:val="20"/>
                <w:szCs w:val="20"/>
              </w:rPr>
              <w:t>1.3</w:t>
            </w:r>
          </w:p>
        </w:tc>
      </w:tr>
      <w:tr w:rsidR="0097104A" w:rsidRPr="00FC3979" w14:paraId="1FE68566" w14:textId="77777777" w:rsidTr="0086367A">
        <w:trPr>
          <w:trHeight w:val="242"/>
          <w:jc w:val="center"/>
        </w:trPr>
        <w:tc>
          <w:tcPr>
            <w:tcW w:w="1306" w:type="dxa"/>
            <w:vMerge/>
            <w:tcBorders>
              <w:top w:val="nil"/>
              <w:left w:val="single" w:sz="4" w:space="0" w:color="auto"/>
              <w:bottom w:val="single" w:sz="4" w:space="0" w:color="auto"/>
              <w:right w:val="nil"/>
            </w:tcBorders>
            <w:vAlign w:val="center"/>
            <w:hideMark/>
          </w:tcPr>
          <w:p w14:paraId="57386901" w14:textId="77777777" w:rsidR="0097104A" w:rsidRPr="00FC3979" w:rsidRDefault="0097104A" w:rsidP="0097104A">
            <w:pPr>
              <w:keepNext/>
              <w:rPr>
                <w:rFonts w:ascii="Arial" w:hAnsi="Arial" w:cs="Arial"/>
                <w:b/>
                <w:bCs/>
                <w:color w:val="000000"/>
                <w:sz w:val="20"/>
                <w:szCs w:val="20"/>
              </w:rPr>
            </w:pPr>
          </w:p>
        </w:tc>
        <w:tc>
          <w:tcPr>
            <w:tcW w:w="2168" w:type="dxa"/>
            <w:tcBorders>
              <w:top w:val="nil"/>
              <w:left w:val="single" w:sz="4" w:space="0" w:color="auto"/>
              <w:bottom w:val="single" w:sz="4" w:space="0" w:color="auto"/>
              <w:right w:val="single" w:sz="4" w:space="0" w:color="auto"/>
            </w:tcBorders>
            <w:shd w:val="clear" w:color="000000" w:fill="FFFFFF"/>
            <w:vAlign w:val="center"/>
            <w:hideMark/>
          </w:tcPr>
          <w:p w14:paraId="2A211F36" w14:textId="295B07F7" w:rsidR="0097104A" w:rsidRPr="00FC3979" w:rsidRDefault="0097104A" w:rsidP="0097104A">
            <w:pPr>
              <w:keepNext/>
              <w:rPr>
                <w:rFonts w:ascii="Arial" w:hAnsi="Arial" w:cs="Arial"/>
                <w:color w:val="000000"/>
                <w:sz w:val="20"/>
                <w:szCs w:val="20"/>
              </w:rPr>
            </w:pPr>
            <w:r w:rsidRPr="00FC3979">
              <w:rPr>
                <w:rFonts w:ascii="Arial" w:hAnsi="Arial" w:cs="Arial"/>
                <w:color w:val="000000"/>
                <w:sz w:val="20"/>
                <w:szCs w:val="20"/>
              </w:rPr>
              <w:t>FSL (MW</w:t>
            </w:r>
            <w:r w:rsidR="004A5FCA">
              <w:rPr>
                <w:rFonts w:ascii="Arial" w:hAnsi="Arial" w:cs="Arial"/>
                <w:color w:val="000000"/>
                <w:sz w:val="20"/>
                <w:szCs w:val="20"/>
              </w:rPr>
              <w:t>h/h</w:t>
            </w:r>
            <w:r w:rsidRPr="00FC3979">
              <w:rPr>
                <w:rFonts w:ascii="Arial" w:hAnsi="Arial" w:cs="Arial"/>
                <w:color w:val="000000"/>
                <w:sz w:val="20"/>
                <w:szCs w:val="20"/>
              </w:rPr>
              <w:t>)</w:t>
            </w:r>
          </w:p>
        </w:tc>
        <w:tc>
          <w:tcPr>
            <w:tcW w:w="2439" w:type="dxa"/>
            <w:tcBorders>
              <w:top w:val="nil"/>
              <w:left w:val="nil"/>
              <w:bottom w:val="single" w:sz="4" w:space="0" w:color="auto"/>
              <w:right w:val="single" w:sz="4" w:space="0" w:color="auto"/>
            </w:tcBorders>
            <w:shd w:val="clear" w:color="auto" w:fill="auto"/>
            <w:vAlign w:val="center"/>
            <w:hideMark/>
          </w:tcPr>
          <w:p w14:paraId="53B717E8" w14:textId="34B1FA1F" w:rsidR="0097104A" w:rsidRPr="00FC3979" w:rsidRDefault="0097104A" w:rsidP="0097104A">
            <w:pPr>
              <w:keepNext/>
              <w:jc w:val="center"/>
              <w:rPr>
                <w:rFonts w:ascii="Arial" w:hAnsi="Arial" w:cs="Arial"/>
                <w:color w:val="000000"/>
                <w:sz w:val="20"/>
                <w:szCs w:val="20"/>
              </w:rPr>
            </w:pPr>
            <w:r>
              <w:rPr>
                <w:rFonts w:ascii="Arial" w:hAnsi="Arial" w:cs="Arial"/>
                <w:color w:val="000000"/>
                <w:sz w:val="20"/>
                <w:szCs w:val="20"/>
              </w:rPr>
              <w:t>3.2</w:t>
            </w:r>
          </w:p>
        </w:tc>
        <w:tc>
          <w:tcPr>
            <w:tcW w:w="2341" w:type="dxa"/>
            <w:tcBorders>
              <w:top w:val="nil"/>
              <w:left w:val="nil"/>
              <w:bottom w:val="single" w:sz="4" w:space="0" w:color="auto"/>
              <w:right w:val="single" w:sz="4" w:space="0" w:color="auto"/>
            </w:tcBorders>
            <w:shd w:val="clear" w:color="auto" w:fill="auto"/>
            <w:vAlign w:val="center"/>
            <w:hideMark/>
          </w:tcPr>
          <w:p w14:paraId="321D0F73" w14:textId="7E2F83C6" w:rsidR="0097104A" w:rsidRPr="00FC3979" w:rsidRDefault="0097104A" w:rsidP="0097104A">
            <w:pPr>
              <w:keepNext/>
              <w:jc w:val="center"/>
              <w:rPr>
                <w:rFonts w:ascii="Arial" w:hAnsi="Arial" w:cs="Arial"/>
                <w:color w:val="000000"/>
                <w:sz w:val="20"/>
                <w:szCs w:val="20"/>
              </w:rPr>
            </w:pPr>
            <w:r>
              <w:rPr>
                <w:rFonts w:ascii="Arial" w:hAnsi="Arial" w:cs="Arial"/>
                <w:color w:val="000000"/>
                <w:sz w:val="20"/>
                <w:szCs w:val="20"/>
              </w:rPr>
              <w:t>1.4</w:t>
            </w:r>
          </w:p>
        </w:tc>
      </w:tr>
      <w:tr w:rsidR="005F61E2" w:rsidRPr="00FC3979" w14:paraId="02533A4E" w14:textId="77777777" w:rsidTr="0086367A">
        <w:trPr>
          <w:trHeight w:val="242"/>
          <w:jc w:val="center"/>
        </w:trPr>
        <w:tc>
          <w:tcPr>
            <w:tcW w:w="1306" w:type="dxa"/>
            <w:vMerge w:val="restart"/>
            <w:tcBorders>
              <w:top w:val="nil"/>
              <w:left w:val="single" w:sz="4" w:space="0" w:color="auto"/>
              <w:bottom w:val="single" w:sz="4" w:space="0" w:color="auto"/>
              <w:right w:val="nil"/>
            </w:tcBorders>
            <w:shd w:val="clear" w:color="auto" w:fill="auto"/>
            <w:vAlign w:val="center"/>
            <w:hideMark/>
          </w:tcPr>
          <w:p w14:paraId="69984CA1" w14:textId="6D586135" w:rsidR="005F61E2" w:rsidRPr="00FC3979" w:rsidRDefault="005F61E2" w:rsidP="005F61E2">
            <w:pPr>
              <w:keepNext/>
              <w:rPr>
                <w:rFonts w:ascii="Arial" w:hAnsi="Arial" w:cs="Arial"/>
                <w:b/>
                <w:bCs/>
                <w:color w:val="000000"/>
                <w:sz w:val="20"/>
                <w:szCs w:val="20"/>
              </w:rPr>
            </w:pPr>
            <w:r w:rsidRPr="00FC3979">
              <w:rPr>
                <w:rFonts w:ascii="Arial" w:hAnsi="Arial" w:cs="Arial"/>
                <w:b/>
                <w:bCs/>
                <w:color w:val="000000"/>
                <w:sz w:val="20"/>
                <w:szCs w:val="20"/>
              </w:rPr>
              <w:t xml:space="preserve">Per </w:t>
            </w:r>
            <w:r w:rsidR="00DF5A48">
              <w:rPr>
                <w:rFonts w:ascii="Arial" w:hAnsi="Arial" w:cs="Arial"/>
                <w:b/>
                <w:bCs/>
                <w:color w:val="000000"/>
                <w:sz w:val="20"/>
                <w:szCs w:val="20"/>
              </w:rPr>
              <w:t>Customer</w:t>
            </w:r>
          </w:p>
        </w:tc>
        <w:tc>
          <w:tcPr>
            <w:tcW w:w="2168" w:type="dxa"/>
            <w:tcBorders>
              <w:top w:val="nil"/>
              <w:left w:val="single" w:sz="4" w:space="0" w:color="auto"/>
              <w:bottom w:val="nil"/>
              <w:right w:val="single" w:sz="4" w:space="0" w:color="auto"/>
            </w:tcBorders>
            <w:shd w:val="clear" w:color="000000" w:fill="FFFFFF"/>
            <w:vAlign w:val="center"/>
            <w:hideMark/>
          </w:tcPr>
          <w:p w14:paraId="12C0ADA2" w14:textId="2DCBE799" w:rsidR="005F61E2" w:rsidRPr="00FC3979" w:rsidRDefault="005F61E2" w:rsidP="005F61E2">
            <w:pPr>
              <w:keepNext/>
              <w:rPr>
                <w:rFonts w:ascii="Arial" w:hAnsi="Arial" w:cs="Arial"/>
                <w:color w:val="000000"/>
                <w:sz w:val="20"/>
                <w:szCs w:val="20"/>
              </w:rPr>
            </w:pPr>
            <w:r w:rsidRPr="00FC3979">
              <w:rPr>
                <w:rFonts w:ascii="Arial" w:hAnsi="Arial" w:cs="Arial"/>
                <w:color w:val="000000"/>
                <w:sz w:val="20"/>
                <w:szCs w:val="20"/>
              </w:rPr>
              <w:t>Reference (kW</w:t>
            </w:r>
            <w:r>
              <w:rPr>
                <w:rFonts w:ascii="Arial" w:hAnsi="Arial" w:cs="Arial"/>
                <w:color w:val="000000"/>
                <w:sz w:val="20"/>
                <w:szCs w:val="20"/>
              </w:rPr>
              <w:t>h/h</w:t>
            </w:r>
            <w:r w:rsidRPr="00FC3979">
              <w:rPr>
                <w:rFonts w:ascii="Arial" w:hAnsi="Arial" w:cs="Arial"/>
                <w:color w:val="000000"/>
                <w:sz w:val="20"/>
                <w:szCs w:val="20"/>
              </w:rPr>
              <w:t>)</w:t>
            </w:r>
          </w:p>
        </w:tc>
        <w:tc>
          <w:tcPr>
            <w:tcW w:w="2439" w:type="dxa"/>
            <w:tcBorders>
              <w:top w:val="nil"/>
              <w:left w:val="nil"/>
              <w:bottom w:val="nil"/>
              <w:right w:val="single" w:sz="4" w:space="0" w:color="auto"/>
            </w:tcBorders>
            <w:shd w:val="clear" w:color="auto" w:fill="auto"/>
            <w:vAlign w:val="center"/>
            <w:hideMark/>
          </w:tcPr>
          <w:p w14:paraId="04D1DDF9" w14:textId="2AD540C5" w:rsidR="005F61E2" w:rsidRPr="00FC3979" w:rsidRDefault="005F61E2" w:rsidP="005F61E2">
            <w:pPr>
              <w:keepNext/>
              <w:jc w:val="center"/>
              <w:rPr>
                <w:rFonts w:ascii="Arial" w:hAnsi="Arial" w:cs="Arial"/>
                <w:color w:val="000000"/>
                <w:sz w:val="20"/>
                <w:szCs w:val="20"/>
              </w:rPr>
            </w:pPr>
            <w:r>
              <w:rPr>
                <w:rFonts w:ascii="Arial" w:hAnsi="Arial" w:cs="Arial"/>
                <w:color w:val="000000"/>
                <w:sz w:val="20"/>
                <w:szCs w:val="20"/>
              </w:rPr>
              <w:t>1,153.6</w:t>
            </w:r>
          </w:p>
        </w:tc>
        <w:tc>
          <w:tcPr>
            <w:tcW w:w="2341" w:type="dxa"/>
            <w:tcBorders>
              <w:top w:val="nil"/>
              <w:left w:val="nil"/>
              <w:bottom w:val="nil"/>
              <w:right w:val="single" w:sz="4" w:space="0" w:color="auto"/>
            </w:tcBorders>
            <w:shd w:val="clear" w:color="auto" w:fill="auto"/>
            <w:vAlign w:val="center"/>
            <w:hideMark/>
          </w:tcPr>
          <w:p w14:paraId="023D3CD4" w14:textId="5222804F" w:rsidR="005F61E2" w:rsidRPr="00FC3979" w:rsidRDefault="005F61E2" w:rsidP="005F61E2">
            <w:pPr>
              <w:keepNext/>
              <w:jc w:val="center"/>
              <w:rPr>
                <w:rFonts w:ascii="Arial" w:hAnsi="Arial" w:cs="Arial"/>
                <w:color w:val="000000"/>
                <w:sz w:val="20"/>
                <w:szCs w:val="20"/>
              </w:rPr>
            </w:pPr>
            <w:r>
              <w:rPr>
                <w:rFonts w:ascii="Arial" w:hAnsi="Arial" w:cs="Arial"/>
                <w:color w:val="000000"/>
                <w:sz w:val="20"/>
                <w:szCs w:val="20"/>
              </w:rPr>
              <w:t>340.7</w:t>
            </w:r>
          </w:p>
        </w:tc>
      </w:tr>
      <w:tr w:rsidR="005F61E2" w:rsidRPr="00FC3979" w14:paraId="37B18FC3" w14:textId="77777777" w:rsidTr="0086367A">
        <w:trPr>
          <w:trHeight w:val="242"/>
          <w:jc w:val="center"/>
        </w:trPr>
        <w:tc>
          <w:tcPr>
            <w:tcW w:w="1306" w:type="dxa"/>
            <w:vMerge/>
            <w:tcBorders>
              <w:top w:val="nil"/>
              <w:left w:val="single" w:sz="4" w:space="0" w:color="auto"/>
              <w:bottom w:val="single" w:sz="4" w:space="0" w:color="auto"/>
              <w:right w:val="nil"/>
            </w:tcBorders>
            <w:vAlign w:val="center"/>
            <w:hideMark/>
          </w:tcPr>
          <w:p w14:paraId="4DF07909" w14:textId="77777777" w:rsidR="005F61E2" w:rsidRPr="00FC3979" w:rsidRDefault="005F61E2" w:rsidP="005F61E2">
            <w:pPr>
              <w:keepNext/>
              <w:rPr>
                <w:rFonts w:ascii="Arial" w:hAnsi="Arial" w:cs="Arial"/>
                <w:b/>
                <w:bCs/>
                <w:color w:val="000000"/>
                <w:sz w:val="20"/>
                <w:szCs w:val="20"/>
              </w:rPr>
            </w:pPr>
          </w:p>
        </w:tc>
        <w:tc>
          <w:tcPr>
            <w:tcW w:w="2168" w:type="dxa"/>
            <w:tcBorders>
              <w:top w:val="nil"/>
              <w:left w:val="single" w:sz="4" w:space="0" w:color="auto"/>
              <w:bottom w:val="nil"/>
              <w:right w:val="single" w:sz="4" w:space="0" w:color="auto"/>
            </w:tcBorders>
            <w:shd w:val="clear" w:color="000000" w:fill="FFFFFF"/>
            <w:vAlign w:val="center"/>
            <w:hideMark/>
          </w:tcPr>
          <w:p w14:paraId="1D602FAD" w14:textId="6E323248" w:rsidR="005F61E2" w:rsidRPr="00FC3979" w:rsidRDefault="005F61E2" w:rsidP="005F61E2">
            <w:pPr>
              <w:keepNext/>
              <w:rPr>
                <w:rFonts w:ascii="Arial" w:hAnsi="Arial" w:cs="Arial"/>
                <w:color w:val="000000"/>
                <w:sz w:val="20"/>
                <w:szCs w:val="20"/>
              </w:rPr>
            </w:pPr>
            <w:r w:rsidRPr="00FC3979">
              <w:rPr>
                <w:rFonts w:ascii="Arial" w:hAnsi="Arial" w:cs="Arial"/>
                <w:color w:val="000000"/>
                <w:sz w:val="20"/>
                <w:szCs w:val="20"/>
              </w:rPr>
              <w:t>Load Impact (kW</w:t>
            </w:r>
            <w:r>
              <w:rPr>
                <w:rFonts w:ascii="Arial" w:hAnsi="Arial" w:cs="Arial"/>
                <w:color w:val="000000"/>
                <w:sz w:val="20"/>
                <w:szCs w:val="20"/>
              </w:rPr>
              <w:t>h/h</w:t>
            </w:r>
            <w:r w:rsidRPr="00FC3979">
              <w:rPr>
                <w:rFonts w:ascii="Arial" w:hAnsi="Arial" w:cs="Arial"/>
                <w:color w:val="000000"/>
                <w:sz w:val="20"/>
                <w:szCs w:val="20"/>
              </w:rPr>
              <w:t>)</w:t>
            </w:r>
          </w:p>
        </w:tc>
        <w:tc>
          <w:tcPr>
            <w:tcW w:w="2439" w:type="dxa"/>
            <w:tcBorders>
              <w:top w:val="nil"/>
              <w:left w:val="nil"/>
              <w:bottom w:val="nil"/>
              <w:right w:val="single" w:sz="4" w:space="0" w:color="auto"/>
            </w:tcBorders>
            <w:shd w:val="clear" w:color="auto" w:fill="auto"/>
            <w:vAlign w:val="center"/>
            <w:hideMark/>
          </w:tcPr>
          <w:p w14:paraId="0E11B0C7" w14:textId="10A14020" w:rsidR="005F61E2" w:rsidRPr="00FC3979" w:rsidRDefault="005F61E2" w:rsidP="005F61E2">
            <w:pPr>
              <w:keepNext/>
              <w:jc w:val="center"/>
              <w:rPr>
                <w:rFonts w:ascii="Arial" w:hAnsi="Arial" w:cs="Arial"/>
                <w:color w:val="000000"/>
                <w:sz w:val="20"/>
                <w:szCs w:val="20"/>
              </w:rPr>
            </w:pPr>
            <w:r>
              <w:rPr>
                <w:rFonts w:ascii="Arial" w:hAnsi="Arial" w:cs="Arial"/>
                <w:color w:val="000000"/>
                <w:sz w:val="20"/>
                <w:szCs w:val="20"/>
              </w:rPr>
              <w:t>765.6</w:t>
            </w:r>
          </w:p>
        </w:tc>
        <w:tc>
          <w:tcPr>
            <w:tcW w:w="2341" w:type="dxa"/>
            <w:tcBorders>
              <w:top w:val="nil"/>
              <w:left w:val="nil"/>
              <w:bottom w:val="nil"/>
              <w:right w:val="single" w:sz="4" w:space="0" w:color="auto"/>
            </w:tcBorders>
            <w:shd w:val="clear" w:color="auto" w:fill="auto"/>
            <w:vAlign w:val="center"/>
            <w:hideMark/>
          </w:tcPr>
          <w:p w14:paraId="57B78D38" w14:textId="1525D4E8" w:rsidR="005F61E2" w:rsidRPr="00FC3979" w:rsidRDefault="005F61E2" w:rsidP="005F61E2">
            <w:pPr>
              <w:keepNext/>
              <w:jc w:val="center"/>
              <w:rPr>
                <w:rFonts w:ascii="Arial" w:hAnsi="Arial" w:cs="Arial"/>
                <w:color w:val="000000"/>
                <w:sz w:val="20"/>
                <w:szCs w:val="20"/>
              </w:rPr>
            </w:pPr>
            <w:r>
              <w:rPr>
                <w:rFonts w:ascii="Arial" w:hAnsi="Arial" w:cs="Arial"/>
                <w:color w:val="000000"/>
                <w:sz w:val="20"/>
                <w:szCs w:val="20"/>
              </w:rPr>
              <w:t>178.8</w:t>
            </w:r>
          </w:p>
        </w:tc>
      </w:tr>
      <w:tr w:rsidR="0097104A" w:rsidRPr="00FC3979" w14:paraId="742588D3" w14:textId="77777777" w:rsidTr="0086367A">
        <w:trPr>
          <w:trHeight w:val="242"/>
          <w:jc w:val="center"/>
        </w:trPr>
        <w:tc>
          <w:tcPr>
            <w:tcW w:w="1306" w:type="dxa"/>
            <w:vMerge/>
            <w:tcBorders>
              <w:top w:val="nil"/>
              <w:left w:val="single" w:sz="4" w:space="0" w:color="auto"/>
              <w:bottom w:val="single" w:sz="4" w:space="0" w:color="auto"/>
              <w:right w:val="nil"/>
            </w:tcBorders>
            <w:vAlign w:val="center"/>
            <w:hideMark/>
          </w:tcPr>
          <w:p w14:paraId="31E4ED54" w14:textId="77777777" w:rsidR="0097104A" w:rsidRPr="00FC3979" w:rsidRDefault="0097104A" w:rsidP="0097104A">
            <w:pPr>
              <w:keepNext/>
              <w:rPr>
                <w:rFonts w:ascii="Arial" w:hAnsi="Arial" w:cs="Arial"/>
                <w:b/>
                <w:bCs/>
                <w:color w:val="000000"/>
                <w:sz w:val="20"/>
                <w:szCs w:val="20"/>
              </w:rPr>
            </w:pPr>
          </w:p>
        </w:tc>
        <w:tc>
          <w:tcPr>
            <w:tcW w:w="2168" w:type="dxa"/>
            <w:tcBorders>
              <w:top w:val="nil"/>
              <w:left w:val="single" w:sz="4" w:space="0" w:color="auto"/>
              <w:bottom w:val="single" w:sz="4" w:space="0" w:color="auto"/>
              <w:right w:val="single" w:sz="4" w:space="0" w:color="auto"/>
            </w:tcBorders>
            <w:shd w:val="clear" w:color="000000" w:fill="FFFFFF"/>
            <w:vAlign w:val="center"/>
            <w:hideMark/>
          </w:tcPr>
          <w:p w14:paraId="36717FEA" w14:textId="77777777" w:rsidR="0097104A" w:rsidRPr="00FC3979" w:rsidRDefault="0097104A" w:rsidP="0097104A">
            <w:pPr>
              <w:keepNext/>
              <w:rPr>
                <w:rFonts w:ascii="Arial" w:hAnsi="Arial" w:cs="Arial"/>
                <w:color w:val="000000"/>
                <w:sz w:val="20"/>
                <w:szCs w:val="20"/>
              </w:rPr>
            </w:pPr>
            <w:r w:rsidRPr="00FC3979">
              <w:rPr>
                <w:rFonts w:ascii="Arial" w:hAnsi="Arial" w:cs="Arial"/>
                <w:color w:val="000000"/>
                <w:sz w:val="20"/>
                <w:szCs w:val="20"/>
              </w:rPr>
              <w:t>% Load Impact</w:t>
            </w:r>
          </w:p>
        </w:tc>
        <w:tc>
          <w:tcPr>
            <w:tcW w:w="2439" w:type="dxa"/>
            <w:tcBorders>
              <w:top w:val="nil"/>
              <w:left w:val="nil"/>
              <w:bottom w:val="single" w:sz="4" w:space="0" w:color="auto"/>
              <w:right w:val="single" w:sz="4" w:space="0" w:color="auto"/>
            </w:tcBorders>
            <w:shd w:val="clear" w:color="auto" w:fill="auto"/>
            <w:vAlign w:val="center"/>
            <w:hideMark/>
          </w:tcPr>
          <w:p w14:paraId="3B450A07" w14:textId="334B0C34" w:rsidR="0097104A" w:rsidRPr="00FC3979" w:rsidRDefault="0097104A" w:rsidP="0097104A">
            <w:pPr>
              <w:keepNext/>
              <w:jc w:val="center"/>
              <w:rPr>
                <w:rFonts w:ascii="Arial" w:hAnsi="Arial" w:cs="Arial"/>
                <w:color w:val="000000"/>
                <w:sz w:val="20"/>
                <w:szCs w:val="20"/>
              </w:rPr>
            </w:pPr>
            <w:r>
              <w:rPr>
                <w:rFonts w:ascii="Arial" w:hAnsi="Arial" w:cs="Arial"/>
                <w:color w:val="000000"/>
                <w:sz w:val="20"/>
                <w:szCs w:val="20"/>
              </w:rPr>
              <w:t>66.</w:t>
            </w:r>
            <w:r w:rsidR="00936051">
              <w:rPr>
                <w:rFonts w:ascii="Arial" w:hAnsi="Arial" w:cs="Arial"/>
                <w:color w:val="000000"/>
                <w:sz w:val="20"/>
                <w:szCs w:val="20"/>
              </w:rPr>
              <w:t>4</w:t>
            </w:r>
            <w:r>
              <w:rPr>
                <w:rFonts w:ascii="Arial" w:hAnsi="Arial" w:cs="Arial"/>
                <w:color w:val="000000"/>
                <w:sz w:val="20"/>
                <w:szCs w:val="20"/>
              </w:rPr>
              <w:t>%</w:t>
            </w:r>
          </w:p>
        </w:tc>
        <w:tc>
          <w:tcPr>
            <w:tcW w:w="2341" w:type="dxa"/>
            <w:tcBorders>
              <w:top w:val="nil"/>
              <w:left w:val="nil"/>
              <w:bottom w:val="single" w:sz="4" w:space="0" w:color="auto"/>
              <w:right w:val="single" w:sz="4" w:space="0" w:color="auto"/>
            </w:tcBorders>
            <w:shd w:val="clear" w:color="auto" w:fill="auto"/>
            <w:vAlign w:val="center"/>
            <w:hideMark/>
          </w:tcPr>
          <w:p w14:paraId="629E7619" w14:textId="1DF646D2" w:rsidR="0097104A" w:rsidRPr="00FC3979" w:rsidRDefault="0097104A" w:rsidP="0097104A">
            <w:pPr>
              <w:keepNext/>
              <w:jc w:val="center"/>
              <w:rPr>
                <w:rFonts w:ascii="Arial" w:hAnsi="Arial" w:cs="Arial"/>
                <w:color w:val="000000"/>
                <w:sz w:val="20"/>
                <w:szCs w:val="20"/>
              </w:rPr>
            </w:pPr>
            <w:r>
              <w:rPr>
                <w:rFonts w:ascii="Arial" w:hAnsi="Arial" w:cs="Arial"/>
                <w:color w:val="000000"/>
                <w:sz w:val="20"/>
                <w:szCs w:val="20"/>
              </w:rPr>
              <w:t>52.</w:t>
            </w:r>
            <w:r w:rsidR="00936051">
              <w:rPr>
                <w:rFonts w:ascii="Arial" w:hAnsi="Arial" w:cs="Arial"/>
                <w:color w:val="000000"/>
                <w:sz w:val="20"/>
                <w:szCs w:val="20"/>
              </w:rPr>
              <w:t>5</w:t>
            </w:r>
            <w:r>
              <w:rPr>
                <w:rFonts w:ascii="Arial" w:hAnsi="Arial" w:cs="Arial"/>
                <w:color w:val="000000"/>
                <w:sz w:val="20"/>
                <w:szCs w:val="20"/>
              </w:rPr>
              <w:t>%</w:t>
            </w:r>
          </w:p>
        </w:tc>
      </w:tr>
    </w:tbl>
    <w:p w14:paraId="26A74EA9" w14:textId="77777777" w:rsidR="00FC3979" w:rsidRDefault="00FC3979" w:rsidP="00FC3979">
      <w:pPr>
        <w:pStyle w:val="TableCaption"/>
        <w:keepNext/>
        <w:keepLines/>
      </w:pPr>
    </w:p>
    <w:p w14:paraId="5DC8620A" w14:textId="708DB63E" w:rsidR="00DA4753" w:rsidRDefault="00DA4753" w:rsidP="00DA4753">
      <w:pPr>
        <w:pStyle w:val="Heading3"/>
      </w:pPr>
      <w:bookmarkStart w:id="251" w:name="_Toc383597964"/>
      <w:bookmarkStart w:id="252" w:name="_Toc510091143"/>
      <w:r>
        <w:t xml:space="preserve">6.3.3 Previous </w:t>
      </w:r>
      <w:r w:rsidRPr="000F1678">
        <w:rPr>
          <w:i/>
        </w:rPr>
        <w:t>ex</w:t>
      </w:r>
      <w:r w:rsidR="000F1678" w:rsidRPr="000F1678">
        <w:rPr>
          <w:i/>
        </w:rPr>
        <w:t>-</w:t>
      </w:r>
      <w:r w:rsidRPr="000F1678">
        <w:rPr>
          <w:i/>
        </w:rPr>
        <w:t>ante</w:t>
      </w:r>
      <w:r>
        <w:t xml:space="preserve"> versus current </w:t>
      </w:r>
      <w:r w:rsidRPr="000F1678">
        <w:rPr>
          <w:i/>
        </w:rPr>
        <w:t>ex</w:t>
      </w:r>
      <w:r w:rsidR="000F1678" w:rsidRPr="000F1678">
        <w:rPr>
          <w:i/>
        </w:rPr>
        <w:t>-</w:t>
      </w:r>
      <w:r w:rsidRPr="000F1678">
        <w:rPr>
          <w:i/>
        </w:rPr>
        <w:t>post</w:t>
      </w:r>
      <w:bookmarkEnd w:id="251"/>
      <w:bookmarkEnd w:id="252"/>
    </w:p>
    <w:p w14:paraId="35B4B842" w14:textId="6777F99B" w:rsidR="00DA4753" w:rsidRDefault="00DA4753" w:rsidP="00DA4753">
      <w:r w:rsidRPr="001551FC">
        <w:t>Table 6.1</w:t>
      </w:r>
      <w:r w:rsidR="00372CA5" w:rsidRPr="001551FC">
        <w:t>3</w:t>
      </w:r>
      <w:r w:rsidR="001551FC">
        <w:t xml:space="preserve"> compares the </w:t>
      </w:r>
      <w:r w:rsidR="001551FC" w:rsidRPr="00496592">
        <w:rPr>
          <w:i/>
        </w:rPr>
        <w:t>ex-</w:t>
      </w:r>
      <w:r w:rsidRPr="00496592">
        <w:rPr>
          <w:i/>
        </w:rPr>
        <w:t>ante</w:t>
      </w:r>
      <w:r w:rsidRPr="001551FC">
        <w:t xml:space="preserve"> fo</w:t>
      </w:r>
      <w:r w:rsidR="003945C4">
        <w:t>recast prepared following PY2016</w:t>
      </w:r>
      <w:r w:rsidRPr="001551FC">
        <w:t xml:space="preserve"> to the </w:t>
      </w:r>
      <w:r w:rsidR="003945C4">
        <w:t xml:space="preserve">PY2017 </w:t>
      </w:r>
      <w:r w:rsidRPr="00496592">
        <w:rPr>
          <w:i/>
        </w:rPr>
        <w:t>ex</w:t>
      </w:r>
      <w:r w:rsidR="001551FC" w:rsidRPr="00496592">
        <w:rPr>
          <w:i/>
        </w:rPr>
        <w:t>-</w:t>
      </w:r>
      <w:r w:rsidRPr="00496592">
        <w:rPr>
          <w:i/>
        </w:rPr>
        <w:t>post</w:t>
      </w:r>
      <w:r w:rsidRPr="001551FC">
        <w:t xml:space="preserve"> load impact estimates contained in this report</w:t>
      </w:r>
      <w:r w:rsidR="001551FC">
        <w:t xml:space="preserve"> for the August </w:t>
      </w:r>
      <w:r w:rsidR="003945C4">
        <w:t>31</w:t>
      </w:r>
      <w:r w:rsidR="001551FC">
        <w:t>,</w:t>
      </w:r>
      <w:r w:rsidR="003945C4">
        <w:t xml:space="preserve"> 2017</w:t>
      </w:r>
      <w:r w:rsidR="001551FC">
        <w:t xml:space="preserve"> event day</w:t>
      </w:r>
      <w:r w:rsidRPr="001551FC">
        <w:t xml:space="preserve">. </w:t>
      </w:r>
      <w:r w:rsidR="001551FC">
        <w:t xml:space="preserve">The </w:t>
      </w:r>
      <w:r w:rsidR="001551FC" w:rsidRPr="00496592">
        <w:rPr>
          <w:i/>
        </w:rPr>
        <w:t>ex-</w:t>
      </w:r>
      <w:r w:rsidR="0071083D" w:rsidRPr="00496592">
        <w:rPr>
          <w:i/>
        </w:rPr>
        <w:t>ante</w:t>
      </w:r>
      <w:r w:rsidR="0071083D" w:rsidRPr="001551FC">
        <w:t xml:space="preserve"> load impacts are based on the typical event day in a utility-specific 1-in-2 weather year</w:t>
      </w:r>
      <w:r w:rsidR="0071083D" w:rsidRPr="00D767FD">
        <w:rPr>
          <w:shd w:val="clear" w:color="auto" w:fill="FFFFFF" w:themeFill="background1"/>
        </w:rPr>
        <w:t xml:space="preserve">. </w:t>
      </w:r>
      <w:r w:rsidR="0097104A" w:rsidRPr="0086367A">
        <w:rPr>
          <w:shd w:val="clear" w:color="auto" w:fill="FFFFFF" w:themeFill="background1"/>
        </w:rPr>
        <w:t xml:space="preserve">The differences in reference loads and load impacts occur because of </w:t>
      </w:r>
      <w:r w:rsidR="004A5FCA" w:rsidRPr="0086367A">
        <w:rPr>
          <w:shd w:val="clear" w:color="auto" w:fill="FFFFFF" w:themeFill="background1"/>
        </w:rPr>
        <w:t xml:space="preserve">the different event hours represented. For example, the average reference load for the current </w:t>
      </w:r>
      <w:r w:rsidR="004A5FCA" w:rsidRPr="0086367A">
        <w:rPr>
          <w:i/>
          <w:shd w:val="clear" w:color="auto" w:fill="FFFFFF" w:themeFill="background1"/>
        </w:rPr>
        <w:t xml:space="preserve">ex-post </w:t>
      </w:r>
      <w:r w:rsidR="004A5FCA" w:rsidRPr="0086367A">
        <w:rPr>
          <w:shd w:val="clear" w:color="auto" w:fill="FFFFFF" w:themeFill="background1"/>
        </w:rPr>
        <w:t xml:space="preserve">analysis </w:t>
      </w:r>
      <w:r w:rsidR="005F61E2" w:rsidRPr="0086367A">
        <w:rPr>
          <w:shd w:val="clear" w:color="auto" w:fill="FFFFFF" w:themeFill="background1"/>
        </w:rPr>
        <w:t xml:space="preserve">over the previous study </w:t>
      </w:r>
      <w:r w:rsidR="005F61E2" w:rsidRPr="0086367A">
        <w:rPr>
          <w:i/>
          <w:shd w:val="clear" w:color="auto" w:fill="FFFFFF" w:themeFill="background1"/>
        </w:rPr>
        <w:t xml:space="preserve">ex-ante </w:t>
      </w:r>
      <w:r w:rsidR="005F61E2" w:rsidRPr="0086367A">
        <w:rPr>
          <w:shd w:val="clear" w:color="auto" w:fill="FFFFFF" w:themeFill="background1"/>
        </w:rPr>
        <w:t xml:space="preserve">period (HE 14-18) is </w:t>
      </w:r>
      <w:r w:rsidR="004A5FCA" w:rsidRPr="0086367A">
        <w:rPr>
          <w:shd w:val="clear" w:color="auto" w:fill="FFFFFF" w:themeFill="background1"/>
        </w:rPr>
        <w:t>2 MW</w:t>
      </w:r>
      <w:r w:rsidR="005F61E2" w:rsidRPr="0086367A">
        <w:rPr>
          <w:shd w:val="clear" w:color="auto" w:fill="FFFFFF" w:themeFill="background1"/>
        </w:rPr>
        <w:t>, which is equivalent to the previous study.</w:t>
      </w:r>
      <w:r w:rsidR="005F61E2">
        <w:rPr>
          <w:shd w:val="clear" w:color="auto" w:fill="FFFFFF" w:themeFill="background1"/>
        </w:rPr>
        <w:t xml:space="preserve"> </w:t>
      </w:r>
    </w:p>
    <w:p w14:paraId="710D8302" w14:textId="77777777" w:rsidR="00DA4753" w:rsidRDefault="00DA4753" w:rsidP="00DA4753"/>
    <w:p w14:paraId="66E3CF5E" w14:textId="48C5D4AA" w:rsidR="00FC3979" w:rsidRDefault="00DA4753" w:rsidP="008D13D0">
      <w:pPr>
        <w:pStyle w:val="TableCaption"/>
        <w:keepNext/>
        <w:keepLines/>
        <w:rPr>
          <w:i/>
        </w:rPr>
      </w:pPr>
      <w:bookmarkStart w:id="253" w:name="_Toc508800244"/>
      <w:r w:rsidRPr="00CC435E">
        <w:lastRenderedPageBreak/>
        <w:t>Table 6.1</w:t>
      </w:r>
      <w:r w:rsidR="00372CA5">
        <w:t>3</w:t>
      </w:r>
      <w:r w:rsidRPr="00376F46">
        <w:t xml:space="preserve">: Comparison of </w:t>
      </w:r>
      <w:r w:rsidR="00861095">
        <w:t xml:space="preserve">Previous </w:t>
      </w:r>
      <w:r w:rsidR="00861095" w:rsidRPr="00496592">
        <w:rPr>
          <w:i/>
        </w:rPr>
        <w:t>Ex-</w:t>
      </w:r>
      <w:r w:rsidR="00496592" w:rsidRPr="00496592">
        <w:rPr>
          <w:i/>
        </w:rPr>
        <w:t>a</w:t>
      </w:r>
      <w:r w:rsidRPr="00496592">
        <w:rPr>
          <w:i/>
        </w:rPr>
        <w:t>nte</w:t>
      </w:r>
      <w:r>
        <w:t xml:space="preserve"> and Current </w:t>
      </w:r>
      <w:r w:rsidRPr="00496592">
        <w:rPr>
          <w:i/>
        </w:rPr>
        <w:t>Ex</w:t>
      </w:r>
      <w:r w:rsidR="00861095" w:rsidRPr="00496592">
        <w:rPr>
          <w:i/>
        </w:rPr>
        <w:t>-</w:t>
      </w:r>
      <w:r w:rsidR="00496592" w:rsidRPr="00496592">
        <w:rPr>
          <w:i/>
        </w:rPr>
        <w:t>p</w:t>
      </w:r>
      <w:r w:rsidRPr="00496592">
        <w:rPr>
          <w:i/>
        </w:rPr>
        <w:t>ost</w:t>
      </w:r>
      <w:r>
        <w:t xml:space="preserve"> </w:t>
      </w:r>
      <w:r w:rsidRPr="00376F46">
        <w:t xml:space="preserve">Impacts, </w:t>
      </w:r>
      <w:r>
        <w:rPr>
          <w:i/>
        </w:rPr>
        <w:t>SD</w:t>
      </w:r>
      <w:r w:rsidRPr="00376F46">
        <w:rPr>
          <w:i/>
        </w:rPr>
        <w:t>G&amp;E</w:t>
      </w:r>
      <w:bookmarkEnd w:id="253"/>
    </w:p>
    <w:tbl>
      <w:tblPr>
        <w:tblW w:w="7289" w:type="dxa"/>
        <w:jc w:val="center"/>
        <w:tblLook w:val="04A0" w:firstRow="1" w:lastRow="0" w:firstColumn="1" w:lastColumn="0" w:noHBand="0" w:noVBand="1"/>
      </w:tblPr>
      <w:tblGrid>
        <w:gridCol w:w="1153"/>
        <w:gridCol w:w="1915"/>
        <w:gridCol w:w="2154"/>
        <w:gridCol w:w="2067"/>
      </w:tblGrid>
      <w:tr w:rsidR="008D13D0" w:rsidRPr="008D13D0" w14:paraId="2FFA8B9F" w14:textId="77777777" w:rsidTr="006B55F6">
        <w:trPr>
          <w:trHeight w:val="390"/>
          <w:jc w:val="center"/>
        </w:trPr>
        <w:tc>
          <w:tcPr>
            <w:tcW w:w="1153" w:type="dxa"/>
            <w:vMerge w:val="restart"/>
            <w:tcBorders>
              <w:top w:val="single" w:sz="4" w:space="0" w:color="auto"/>
              <w:left w:val="single" w:sz="4" w:space="0" w:color="auto"/>
              <w:bottom w:val="single" w:sz="4" w:space="0" w:color="auto"/>
              <w:right w:val="nil"/>
            </w:tcBorders>
            <w:shd w:val="clear" w:color="auto" w:fill="0C2577"/>
            <w:vAlign w:val="center"/>
            <w:hideMark/>
          </w:tcPr>
          <w:p w14:paraId="20B110AB" w14:textId="77777777" w:rsidR="008D13D0" w:rsidRPr="008D13D0" w:rsidRDefault="008D13D0" w:rsidP="00936051">
            <w:pPr>
              <w:keepNext/>
              <w:jc w:val="center"/>
              <w:rPr>
                <w:rFonts w:ascii="Arial" w:hAnsi="Arial" w:cs="Arial"/>
                <w:b/>
                <w:bCs/>
                <w:color w:val="FFFFFF"/>
                <w:sz w:val="20"/>
                <w:szCs w:val="20"/>
              </w:rPr>
            </w:pPr>
            <w:r w:rsidRPr="008D13D0">
              <w:rPr>
                <w:rFonts w:ascii="Arial" w:hAnsi="Arial" w:cs="Arial"/>
                <w:b/>
                <w:bCs/>
                <w:color w:val="FFFFFF"/>
                <w:sz w:val="20"/>
                <w:szCs w:val="20"/>
              </w:rPr>
              <w:t>Level</w:t>
            </w:r>
          </w:p>
        </w:tc>
        <w:tc>
          <w:tcPr>
            <w:tcW w:w="1915" w:type="dxa"/>
            <w:vMerge w:val="restart"/>
            <w:tcBorders>
              <w:top w:val="single" w:sz="4" w:space="0" w:color="auto"/>
              <w:left w:val="single" w:sz="4" w:space="0" w:color="FFFFFF"/>
              <w:bottom w:val="single" w:sz="4" w:space="0" w:color="auto"/>
              <w:right w:val="nil"/>
            </w:tcBorders>
            <w:shd w:val="clear" w:color="auto" w:fill="0C2577"/>
            <w:vAlign w:val="center"/>
            <w:hideMark/>
          </w:tcPr>
          <w:p w14:paraId="43D925C5" w14:textId="77777777" w:rsidR="008D13D0" w:rsidRPr="008D13D0" w:rsidRDefault="008D13D0" w:rsidP="00936051">
            <w:pPr>
              <w:keepNext/>
              <w:jc w:val="center"/>
              <w:rPr>
                <w:rFonts w:ascii="Arial" w:hAnsi="Arial" w:cs="Arial"/>
                <w:b/>
                <w:bCs/>
                <w:color w:val="FFFFFF"/>
                <w:sz w:val="20"/>
                <w:szCs w:val="20"/>
              </w:rPr>
            </w:pPr>
            <w:r w:rsidRPr="008D13D0">
              <w:rPr>
                <w:rFonts w:ascii="Arial" w:hAnsi="Arial" w:cs="Arial"/>
                <w:b/>
                <w:bCs/>
                <w:color w:val="FFFFFF"/>
                <w:sz w:val="20"/>
                <w:szCs w:val="20"/>
              </w:rPr>
              <w:t>Outcome</w:t>
            </w:r>
          </w:p>
        </w:tc>
        <w:tc>
          <w:tcPr>
            <w:tcW w:w="2154" w:type="dxa"/>
            <w:vMerge w:val="restart"/>
            <w:tcBorders>
              <w:top w:val="single" w:sz="4" w:space="0" w:color="auto"/>
              <w:left w:val="single" w:sz="4" w:space="0" w:color="FFFFFF"/>
              <w:bottom w:val="single" w:sz="4" w:space="0" w:color="auto"/>
              <w:right w:val="nil"/>
            </w:tcBorders>
            <w:shd w:val="clear" w:color="auto" w:fill="0C2577"/>
            <w:vAlign w:val="center"/>
            <w:hideMark/>
          </w:tcPr>
          <w:p w14:paraId="7C8AD280" w14:textId="77777777" w:rsidR="008D13D0" w:rsidRPr="008D13D0" w:rsidRDefault="008D13D0" w:rsidP="00936051">
            <w:pPr>
              <w:keepNext/>
              <w:jc w:val="center"/>
              <w:rPr>
                <w:rFonts w:ascii="Arial" w:hAnsi="Arial" w:cs="Arial"/>
                <w:b/>
                <w:bCs/>
                <w:color w:val="FFFFFF"/>
                <w:sz w:val="20"/>
                <w:szCs w:val="20"/>
              </w:rPr>
            </w:pPr>
            <w:r w:rsidRPr="008D13D0">
              <w:rPr>
                <w:rFonts w:ascii="Arial" w:hAnsi="Arial" w:cs="Arial"/>
                <w:b/>
                <w:bCs/>
                <w:i/>
                <w:iCs/>
                <w:color w:val="FFFFFF"/>
                <w:sz w:val="20"/>
                <w:szCs w:val="20"/>
              </w:rPr>
              <w:t xml:space="preserve">Ex-ante </w:t>
            </w:r>
            <w:r w:rsidRPr="008D13D0">
              <w:rPr>
                <w:rFonts w:ascii="Arial" w:hAnsi="Arial" w:cs="Arial"/>
                <w:b/>
                <w:bCs/>
                <w:color w:val="FFFFFF"/>
                <w:sz w:val="20"/>
                <w:szCs w:val="20"/>
              </w:rPr>
              <w:t xml:space="preserve">2017 Typical Event Day, Previous Study </w:t>
            </w:r>
          </w:p>
        </w:tc>
        <w:tc>
          <w:tcPr>
            <w:tcW w:w="2067" w:type="dxa"/>
            <w:tcBorders>
              <w:top w:val="single" w:sz="4" w:space="0" w:color="auto"/>
              <w:left w:val="single" w:sz="4" w:space="0" w:color="FFFFFF"/>
              <w:bottom w:val="nil"/>
              <w:right w:val="single" w:sz="4" w:space="0" w:color="auto"/>
            </w:tcBorders>
            <w:shd w:val="clear" w:color="auto" w:fill="0C2577"/>
            <w:vAlign w:val="bottom"/>
            <w:hideMark/>
          </w:tcPr>
          <w:p w14:paraId="74BA73D4" w14:textId="77777777" w:rsidR="008D13D0" w:rsidRPr="008D13D0" w:rsidRDefault="008D13D0" w:rsidP="00936051">
            <w:pPr>
              <w:keepNext/>
              <w:jc w:val="center"/>
              <w:rPr>
                <w:rFonts w:ascii="Arial" w:hAnsi="Arial" w:cs="Arial"/>
                <w:b/>
                <w:bCs/>
                <w:i/>
                <w:iCs/>
                <w:color w:val="FFFFFF"/>
                <w:sz w:val="20"/>
                <w:szCs w:val="20"/>
              </w:rPr>
            </w:pPr>
            <w:r w:rsidRPr="008D13D0">
              <w:rPr>
                <w:rFonts w:ascii="Arial" w:hAnsi="Arial" w:cs="Arial"/>
                <w:b/>
                <w:bCs/>
                <w:i/>
                <w:iCs/>
                <w:color w:val="FFFFFF"/>
                <w:sz w:val="20"/>
                <w:szCs w:val="20"/>
              </w:rPr>
              <w:t xml:space="preserve">Ex-post </w:t>
            </w:r>
          </w:p>
        </w:tc>
      </w:tr>
      <w:tr w:rsidR="008D13D0" w:rsidRPr="008D13D0" w14:paraId="10C7A4F8" w14:textId="77777777" w:rsidTr="006B55F6">
        <w:trPr>
          <w:trHeight w:val="293"/>
          <w:jc w:val="center"/>
        </w:trPr>
        <w:tc>
          <w:tcPr>
            <w:tcW w:w="1153" w:type="dxa"/>
            <w:vMerge/>
            <w:tcBorders>
              <w:top w:val="single" w:sz="4" w:space="0" w:color="auto"/>
              <w:left w:val="single" w:sz="4" w:space="0" w:color="auto"/>
              <w:bottom w:val="single" w:sz="4" w:space="0" w:color="auto"/>
              <w:right w:val="nil"/>
            </w:tcBorders>
            <w:shd w:val="clear" w:color="auto" w:fill="0C2577"/>
            <w:vAlign w:val="center"/>
            <w:hideMark/>
          </w:tcPr>
          <w:p w14:paraId="39CB1320" w14:textId="77777777" w:rsidR="008D13D0" w:rsidRPr="008D13D0" w:rsidRDefault="008D13D0" w:rsidP="00936051">
            <w:pPr>
              <w:keepNext/>
              <w:rPr>
                <w:rFonts w:ascii="Arial" w:hAnsi="Arial" w:cs="Arial"/>
                <w:b/>
                <w:bCs/>
                <w:color w:val="FFFFFF"/>
                <w:sz w:val="20"/>
                <w:szCs w:val="20"/>
              </w:rPr>
            </w:pPr>
          </w:p>
        </w:tc>
        <w:tc>
          <w:tcPr>
            <w:tcW w:w="1915" w:type="dxa"/>
            <w:vMerge/>
            <w:tcBorders>
              <w:top w:val="single" w:sz="4" w:space="0" w:color="auto"/>
              <w:left w:val="single" w:sz="4" w:space="0" w:color="FFFFFF"/>
              <w:bottom w:val="single" w:sz="4" w:space="0" w:color="auto"/>
              <w:right w:val="nil"/>
            </w:tcBorders>
            <w:shd w:val="clear" w:color="auto" w:fill="0C2577"/>
            <w:vAlign w:val="center"/>
            <w:hideMark/>
          </w:tcPr>
          <w:p w14:paraId="3EA98D97" w14:textId="77777777" w:rsidR="008D13D0" w:rsidRPr="008D13D0" w:rsidRDefault="008D13D0" w:rsidP="00936051">
            <w:pPr>
              <w:keepNext/>
              <w:rPr>
                <w:rFonts w:ascii="Arial" w:hAnsi="Arial" w:cs="Arial"/>
                <w:b/>
                <w:bCs/>
                <w:color w:val="FFFFFF"/>
                <w:sz w:val="20"/>
                <w:szCs w:val="20"/>
              </w:rPr>
            </w:pPr>
          </w:p>
        </w:tc>
        <w:tc>
          <w:tcPr>
            <w:tcW w:w="2154" w:type="dxa"/>
            <w:vMerge/>
            <w:tcBorders>
              <w:top w:val="single" w:sz="4" w:space="0" w:color="auto"/>
              <w:left w:val="single" w:sz="4" w:space="0" w:color="FFFFFF"/>
              <w:bottom w:val="single" w:sz="4" w:space="0" w:color="auto"/>
              <w:right w:val="nil"/>
            </w:tcBorders>
            <w:shd w:val="clear" w:color="auto" w:fill="0C2577"/>
            <w:vAlign w:val="center"/>
            <w:hideMark/>
          </w:tcPr>
          <w:p w14:paraId="09A9A0F7" w14:textId="77777777" w:rsidR="008D13D0" w:rsidRPr="008D13D0" w:rsidRDefault="008D13D0" w:rsidP="00936051">
            <w:pPr>
              <w:keepNext/>
              <w:rPr>
                <w:rFonts w:ascii="Arial" w:hAnsi="Arial" w:cs="Arial"/>
                <w:b/>
                <w:bCs/>
                <w:color w:val="FFFFFF"/>
                <w:sz w:val="20"/>
                <w:szCs w:val="20"/>
              </w:rPr>
            </w:pPr>
          </w:p>
        </w:tc>
        <w:tc>
          <w:tcPr>
            <w:tcW w:w="2067" w:type="dxa"/>
            <w:vMerge w:val="restart"/>
            <w:tcBorders>
              <w:top w:val="nil"/>
              <w:left w:val="single" w:sz="4" w:space="0" w:color="FFFFFF"/>
              <w:bottom w:val="single" w:sz="4" w:space="0" w:color="auto"/>
              <w:right w:val="single" w:sz="4" w:space="0" w:color="auto"/>
            </w:tcBorders>
            <w:shd w:val="clear" w:color="auto" w:fill="0C2577"/>
            <w:hideMark/>
          </w:tcPr>
          <w:p w14:paraId="4B90E5AB" w14:textId="77777777" w:rsidR="008D13D0" w:rsidRPr="008D13D0" w:rsidRDefault="008D13D0" w:rsidP="00936051">
            <w:pPr>
              <w:keepNext/>
              <w:jc w:val="center"/>
              <w:rPr>
                <w:rFonts w:ascii="Arial" w:hAnsi="Arial" w:cs="Arial"/>
                <w:b/>
                <w:bCs/>
                <w:i/>
                <w:iCs/>
                <w:color w:val="FFFFFF"/>
                <w:sz w:val="20"/>
                <w:szCs w:val="20"/>
              </w:rPr>
            </w:pPr>
            <w:r w:rsidRPr="008D13D0">
              <w:rPr>
                <w:rFonts w:ascii="Arial" w:hAnsi="Arial" w:cs="Arial"/>
                <w:b/>
                <w:bCs/>
                <w:i/>
                <w:iCs/>
                <w:color w:val="FFFFFF"/>
                <w:sz w:val="20"/>
                <w:szCs w:val="20"/>
              </w:rPr>
              <w:t>PY2017</w:t>
            </w:r>
          </w:p>
        </w:tc>
      </w:tr>
      <w:tr w:rsidR="008D13D0" w:rsidRPr="008D13D0" w14:paraId="1100FA3C" w14:textId="77777777" w:rsidTr="006B55F6">
        <w:trPr>
          <w:trHeight w:val="293"/>
          <w:jc w:val="center"/>
        </w:trPr>
        <w:tc>
          <w:tcPr>
            <w:tcW w:w="1153" w:type="dxa"/>
            <w:vMerge/>
            <w:tcBorders>
              <w:top w:val="single" w:sz="4" w:space="0" w:color="auto"/>
              <w:left w:val="single" w:sz="4" w:space="0" w:color="auto"/>
              <w:bottom w:val="single" w:sz="4" w:space="0" w:color="auto"/>
              <w:right w:val="nil"/>
            </w:tcBorders>
            <w:shd w:val="clear" w:color="auto" w:fill="0C2577"/>
            <w:vAlign w:val="center"/>
            <w:hideMark/>
          </w:tcPr>
          <w:p w14:paraId="56107B62" w14:textId="77777777" w:rsidR="008D13D0" w:rsidRPr="008D13D0" w:rsidRDefault="008D13D0" w:rsidP="00936051">
            <w:pPr>
              <w:keepNext/>
              <w:rPr>
                <w:rFonts w:ascii="Arial" w:hAnsi="Arial" w:cs="Arial"/>
                <w:b/>
                <w:bCs/>
                <w:color w:val="FFFFFF"/>
                <w:sz w:val="20"/>
                <w:szCs w:val="20"/>
              </w:rPr>
            </w:pPr>
          </w:p>
        </w:tc>
        <w:tc>
          <w:tcPr>
            <w:tcW w:w="1915" w:type="dxa"/>
            <w:vMerge/>
            <w:tcBorders>
              <w:top w:val="single" w:sz="4" w:space="0" w:color="auto"/>
              <w:left w:val="single" w:sz="4" w:space="0" w:color="FFFFFF"/>
              <w:bottom w:val="single" w:sz="4" w:space="0" w:color="auto"/>
              <w:right w:val="nil"/>
            </w:tcBorders>
            <w:shd w:val="clear" w:color="auto" w:fill="0C2577"/>
            <w:vAlign w:val="center"/>
            <w:hideMark/>
          </w:tcPr>
          <w:p w14:paraId="515A4EC5" w14:textId="77777777" w:rsidR="008D13D0" w:rsidRPr="008D13D0" w:rsidRDefault="008D13D0" w:rsidP="00936051">
            <w:pPr>
              <w:keepNext/>
              <w:rPr>
                <w:rFonts w:ascii="Arial" w:hAnsi="Arial" w:cs="Arial"/>
                <w:b/>
                <w:bCs/>
                <w:color w:val="FFFFFF"/>
                <w:sz w:val="20"/>
                <w:szCs w:val="20"/>
              </w:rPr>
            </w:pPr>
          </w:p>
        </w:tc>
        <w:tc>
          <w:tcPr>
            <w:tcW w:w="2154" w:type="dxa"/>
            <w:vMerge/>
            <w:tcBorders>
              <w:top w:val="single" w:sz="4" w:space="0" w:color="auto"/>
              <w:left w:val="single" w:sz="4" w:space="0" w:color="FFFFFF"/>
              <w:bottom w:val="single" w:sz="4" w:space="0" w:color="auto"/>
              <w:right w:val="nil"/>
            </w:tcBorders>
            <w:shd w:val="clear" w:color="auto" w:fill="0C2577"/>
            <w:vAlign w:val="center"/>
            <w:hideMark/>
          </w:tcPr>
          <w:p w14:paraId="108CB230" w14:textId="77777777" w:rsidR="008D13D0" w:rsidRPr="008D13D0" w:rsidRDefault="008D13D0" w:rsidP="00936051">
            <w:pPr>
              <w:keepNext/>
              <w:rPr>
                <w:rFonts w:ascii="Arial" w:hAnsi="Arial" w:cs="Arial"/>
                <w:b/>
                <w:bCs/>
                <w:color w:val="FFFFFF"/>
                <w:sz w:val="20"/>
                <w:szCs w:val="20"/>
              </w:rPr>
            </w:pPr>
          </w:p>
        </w:tc>
        <w:tc>
          <w:tcPr>
            <w:tcW w:w="2067" w:type="dxa"/>
            <w:vMerge/>
            <w:tcBorders>
              <w:top w:val="nil"/>
              <w:left w:val="single" w:sz="4" w:space="0" w:color="FFFFFF"/>
              <w:bottom w:val="single" w:sz="4" w:space="0" w:color="auto"/>
              <w:right w:val="single" w:sz="4" w:space="0" w:color="auto"/>
            </w:tcBorders>
            <w:shd w:val="clear" w:color="auto" w:fill="0C2577"/>
            <w:vAlign w:val="center"/>
            <w:hideMark/>
          </w:tcPr>
          <w:p w14:paraId="009C8E05" w14:textId="77777777" w:rsidR="008D13D0" w:rsidRPr="008D13D0" w:rsidRDefault="008D13D0" w:rsidP="00936051">
            <w:pPr>
              <w:keepNext/>
              <w:rPr>
                <w:rFonts w:ascii="Arial" w:hAnsi="Arial" w:cs="Arial"/>
                <w:b/>
                <w:bCs/>
                <w:i/>
                <w:iCs/>
                <w:color w:val="FFFFFF"/>
                <w:sz w:val="20"/>
                <w:szCs w:val="20"/>
              </w:rPr>
            </w:pPr>
          </w:p>
        </w:tc>
      </w:tr>
      <w:tr w:rsidR="0097104A" w:rsidRPr="008D13D0" w14:paraId="53396750" w14:textId="77777777" w:rsidTr="0086367A">
        <w:trPr>
          <w:trHeight w:val="229"/>
          <w:jc w:val="center"/>
        </w:trPr>
        <w:tc>
          <w:tcPr>
            <w:tcW w:w="1153" w:type="dxa"/>
            <w:vMerge w:val="restart"/>
            <w:tcBorders>
              <w:top w:val="nil"/>
              <w:left w:val="single" w:sz="4" w:space="0" w:color="auto"/>
              <w:bottom w:val="single" w:sz="4" w:space="0" w:color="auto"/>
              <w:right w:val="nil"/>
            </w:tcBorders>
            <w:shd w:val="clear" w:color="auto" w:fill="auto"/>
            <w:vAlign w:val="center"/>
            <w:hideMark/>
          </w:tcPr>
          <w:p w14:paraId="6D8C8DE9" w14:textId="77777777" w:rsidR="0097104A" w:rsidRPr="008D13D0" w:rsidRDefault="0097104A" w:rsidP="00936051">
            <w:pPr>
              <w:keepNext/>
              <w:rPr>
                <w:rFonts w:ascii="Arial" w:hAnsi="Arial" w:cs="Arial"/>
                <w:b/>
                <w:bCs/>
                <w:color w:val="000000"/>
                <w:sz w:val="20"/>
                <w:szCs w:val="20"/>
              </w:rPr>
            </w:pPr>
            <w:r w:rsidRPr="008D13D0">
              <w:rPr>
                <w:rFonts w:ascii="Arial" w:hAnsi="Arial" w:cs="Arial"/>
                <w:b/>
                <w:bCs/>
                <w:color w:val="000000"/>
                <w:sz w:val="20"/>
                <w:szCs w:val="20"/>
              </w:rPr>
              <w:t>Total</w:t>
            </w:r>
          </w:p>
        </w:tc>
        <w:tc>
          <w:tcPr>
            <w:tcW w:w="1915" w:type="dxa"/>
            <w:tcBorders>
              <w:top w:val="nil"/>
              <w:left w:val="single" w:sz="4" w:space="0" w:color="auto"/>
              <w:bottom w:val="nil"/>
              <w:right w:val="single" w:sz="4" w:space="0" w:color="auto"/>
            </w:tcBorders>
            <w:shd w:val="clear" w:color="000000" w:fill="FFFFFF"/>
            <w:vAlign w:val="center"/>
            <w:hideMark/>
          </w:tcPr>
          <w:p w14:paraId="442D1F3D" w14:textId="5292021F" w:rsidR="0097104A" w:rsidRPr="008D13D0" w:rsidRDefault="0097104A" w:rsidP="00936051">
            <w:pPr>
              <w:keepNext/>
              <w:rPr>
                <w:rFonts w:ascii="Arial" w:hAnsi="Arial" w:cs="Arial"/>
                <w:color w:val="000000"/>
                <w:sz w:val="20"/>
                <w:szCs w:val="20"/>
              </w:rPr>
            </w:pPr>
            <w:r w:rsidRPr="008D13D0">
              <w:rPr>
                <w:rFonts w:ascii="Arial" w:hAnsi="Arial" w:cs="Arial"/>
                <w:color w:val="000000"/>
                <w:sz w:val="20"/>
                <w:szCs w:val="20"/>
              </w:rPr>
              <w:t xml:space="preserve"># </w:t>
            </w:r>
            <w:r w:rsidR="00DF5A48">
              <w:rPr>
                <w:rFonts w:ascii="Arial" w:hAnsi="Arial" w:cs="Arial"/>
                <w:color w:val="000000"/>
                <w:sz w:val="20"/>
                <w:szCs w:val="20"/>
              </w:rPr>
              <w:t>Customers</w:t>
            </w:r>
          </w:p>
        </w:tc>
        <w:tc>
          <w:tcPr>
            <w:tcW w:w="2154" w:type="dxa"/>
            <w:tcBorders>
              <w:top w:val="nil"/>
              <w:left w:val="nil"/>
              <w:bottom w:val="nil"/>
              <w:right w:val="single" w:sz="4" w:space="0" w:color="auto"/>
            </w:tcBorders>
            <w:shd w:val="clear" w:color="auto" w:fill="auto"/>
            <w:vAlign w:val="center"/>
            <w:hideMark/>
          </w:tcPr>
          <w:p w14:paraId="1214457F" w14:textId="1A97E3FD" w:rsidR="0097104A" w:rsidRPr="008D13D0" w:rsidRDefault="0097104A" w:rsidP="00936051">
            <w:pPr>
              <w:keepNext/>
              <w:jc w:val="center"/>
              <w:rPr>
                <w:rFonts w:ascii="Arial" w:hAnsi="Arial" w:cs="Arial"/>
                <w:color w:val="000000"/>
                <w:sz w:val="20"/>
                <w:szCs w:val="20"/>
              </w:rPr>
            </w:pPr>
            <w:r>
              <w:rPr>
                <w:rFonts w:ascii="Arial" w:hAnsi="Arial" w:cs="Arial"/>
                <w:color w:val="000000"/>
                <w:sz w:val="20"/>
                <w:szCs w:val="20"/>
              </w:rPr>
              <w:t>6</w:t>
            </w:r>
          </w:p>
        </w:tc>
        <w:tc>
          <w:tcPr>
            <w:tcW w:w="2067" w:type="dxa"/>
            <w:tcBorders>
              <w:top w:val="nil"/>
              <w:left w:val="nil"/>
              <w:bottom w:val="nil"/>
              <w:right w:val="single" w:sz="4" w:space="0" w:color="auto"/>
            </w:tcBorders>
            <w:shd w:val="clear" w:color="auto" w:fill="auto"/>
            <w:vAlign w:val="center"/>
            <w:hideMark/>
          </w:tcPr>
          <w:p w14:paraId="2EBAE6EA" w14:textId="77777777" w:rsidR="0097104A" w:rsidRPr="008D13D0" w:rsidRDefault="0097104A" w:rsidP="00936051">
            <w:pPr>
              <w:keepNext/>
              <w:jc w:val="center"/>
              <w:rPr>
                <w:rFonts w:ascii="Arial" w:hAnsi="Arial" w:cs="Arial"/>
                <w:color w:val="000000"/>
                <w:sz w:val="20"/>
                <w:szCs w:val="20"/>
              </w:rPr>
            </w:pPr>
            <w:r w:rsidRPr="008D13D0">
              <w:rPr>
                <w:rFonts w:ascii="Arial" w:hAnsi="Arial" w:cs="Arial"/>
                <w:color w:val="000000"/>
                <w:sz w:val="20"/>
                <w:szCs w:val="20"/>
              </w:rPr>
              <w:t>6</w:t>
            </w:r>
          </w:p>
        </w:tc>
      </w:tr>
      <w:tr w:rsidR="0097104A" w:rsidRPr="008D13D0" w14:paraId="2D5509CB" w14:textId="77777777" w:rsidTr="0086367A">
        <w:trPr>
          <w:trHeight w:val="229"/>
          <w:jc w:val="center"/>
        </w:trPr>
        <w:tc>
          <w:tcPr>
            <w:tcW w:w="1153" w:type="dxa"/>
            <w:vMerge/>
            <w:tcBorders>
              <w:top w:val="nil"/>
              <w:left w:val="single" w:sz="4" w:space="0" w:color="auto"/>
              <w:bottom w:val="single" w:sz="4" w:space="0" w:color="auto"/>
              <w:right w:val="nil"/>
            </w:tcBorders>
            <w:vAlign w:val="center"/>
            <w:hideMark/>
          </w:tcPr>
          <w:p w14:paraId="5C3D4CC4" w14:textId="77777777" w:rsidR="0097104A" w:rsidRPr="008D13D0" w:rsidRDefault="0097104A" w:rsidP="00936051">
            <w:pPr>
              <w:keepNext/>
              <w:rPr>
                <w:rFonts w:ascii="Arial" w:hAnsi="Arial" w:cs="Arial"/>
                <w:b/>
                <w:bCs/>
                <w:color w:val="000000"/>
                <w:sz w:val="20"/>
                <w:szCs w:val="20"/>
              </w:rPr>
            </w:pPr>
          </w:p>
        </w:tc>
        <w:tc>
          <w:tcPr>
            <w:tcW w:w="1915" w:type="dxa"/>
            <w:tcBorders>
              <w:top w:val="nil"/>
              <w:left w:val="single" w:sz="4" w:space="0" w:color="auto"/>
              <w:bottom w:val="nil"/>
              <w:right w:val="single" w:sz="4" w:space="0" w:color="auto"/>
            </w:tcBorders>
            <w:shd w:val="clear" w:color="000000" w:fill="FFFFFF"/>
            <w:vAlign w:val="center"/>
            <w:hideMark/>
          </w:tcPr>
          <w:p w14:paraId="36B6D9D7" w14:textId="77777777" w:rsidR="0097104A" w:rsidRPr="008D13D0" w:rsidRDefault="0097104A" w:rsidP="00936051">
            <w:pPr>
              <w:keepNext/>
              <w:rPr>
                <w:rFonts w:ascii="Arial" w:hAnsi="Arial" w:cs="Arial"/>
                <w:color w:val="000000"/>
                <w:sz w:val="20"/>
                <w:szCs w:val="20"/>
              </w:rPr>
            </w:pPr>
            <w:r w:rsidRPr="008D13D0">
              <w:rPr>
                <w:rFonts w:ascii="Arial" w:hAnsi="Arial" w:cs="Arial"/>
                <w:color w:val="000000"/>
                <w:sz w:val="20"/>
                <w:szCs w:val="20"/>
              </w:rPr>
              <w:t>Reference (MW)</w:t>
            </w:r>
          </w:p>
        </w:tc>
        <w:tc>
          <w:tcPr>
            <w:tcW w:w="2154" w:type="dxa"/>
            <w:tcBorders>
              <w:top w:val="nil"/>
              <w:left w:val="nil"/>
              <w:bottom w:val="nil"/>
              <w:right w:val="single" w:sz="4" w:space="0" w:color="auto"/>
            </w:tcBorders>
            <w:shd w:val="clear" w:color="auto" w:fill="auto"/>
            <w:vAlign w:val="center"/>
            <w:hideMark/>
          </w:tcPr>
          <w:p w14:paraId="1FCFD065" w14:textId="50122CE3" w:rsidR="0097104A" w:rsidRPr="008D13D0" w:rsidRDefault="0097104A" w:rsidP="00936051">
            <w:pPr>
              <w:keepNext/>
              <w:jc w:val="center"/>
              <w:rPr>
                <w:rFonts w:ascii="Arial" w:hAnsi="Arial" w:cs="Arial"/>
                <w:color w:val="000000"/>
                <w:sz w:val="20"/>
                <w:szCs w:val="20"/>
              </w:rPr>
            </w:pPr>
            <w:r>
              <w:rPr>
                <w:rFonts w:ascii="Arial" w:hAnsi="Arial" w:cs="Arial"/>
                <w:color w:val="000000"/>
                <w:sz w:val="20"/>
                <w:szCs w:val="20"/>
              </w:rPr>
              <w:t>2.0</w:t>
            </w:r>
          </w:p>
        </w:tc>
        <w:tc>
          <w:tcPr>
            <w:tcW w:w="2067" w:type="dxa"/>
            <w:tcBorders>
              <w:top w:val="nil"/>
              <w:left w:val="nil"/>
              <w:bottom w:val="nil"/>
              <w:right w:val="single" w:sz="4" w:space="0" w:color="auto"/>
            </w:tcBorders>
            <w:shd w:val="clear" w:color="auto" w:fill="auto"/>
            <w:vAlign w:val="center"/>
            <w:hideMark/>
          </w:tcPr>
          <w:p w14:paraId="027A6A84" w14:textId="77777777" w:rsidR="0097104A" w:rsidRPr="008D13D0" w:rsidRDefault="0097104A" w:rsidP="00936051">
            <w:pPr>
              <w:keepNext/>
              <w:jc w:val="center"/>
              <w:rPr>
                <w:rFonts w:ascii="Arial" w:hAnsi="Arial" w:cs="Arial"/>
                <w:color w:val="000000"/>
                <w:sz w:val="20"/>
                <w:szCs w:val="20"/>
              </w:rPr>
            </w:pPr>
            <w:r w:rsidRPr="008D13D0">
              <w:rPr>
                <w:rFonts w:ascii="Arial" w:hAnsi="Arial" w:cs="Arial"/>
                <w:color w:val="000000"/>
                <w:sz w:val="20"/>
                <w:szCs w:val="20"/>
              </w:rPr>
              <w:t>3.6</w:t>
            </w:r>
          </w:p>
        </w:tc>
      </w:tr>
      <w:tr w:rsidR="0097104A" w:rsidRPr="008D13D0" w14:paraId="0C58A9A8" w14:textId="77777777" w:rsidTr="0086367A">
        <w:trPr>
          <w:trHeight w:val="229"/>
          <w:jc w:val="center"/>
        </w:trPr>
        <w:tc>
          <w:tcPr>
            <w:tcW w:w="1153" w:type="dxa"/>
            <w:vMerge/>
            <w:tcBorders>
              <w:top w:val="nil"/>
              <w:left w:val="single" w:sz="4" w:space="0" w:color="auto"/>
              <w:bottom w:val="single" w:sz="4" w:space="0" w:color="auto"/>
              <w:right w:val="nil"/>
            </w:tcBorders>
            <w:vAlign w:val="center"/>
            <w:hideMark/>
          </w:tcPr>
          <w:p w14:paraId="3265814C" w14:textId="77777777" w:rsidR="0097104A" w:rsidRPr="008D13D0" w:rsidRDefault="0097104A" w:rsidP="00936051">
            <w:pPr>
              <w:keepNext/>
              <w:rPr>
                <w:rFonts w:ascii="Arial" w:hAnsi="Arial" w:cs="Arial"/>
                <w:b/>
                <w:bCs/>
                <w:color w:val="000000"/>
                <w:sz w:val="20"/>
                <w:szCs w:val="20"/>
              </w:rPr>
            </w:pPr>
          </w:p>
        </w:tc>
        <w:tc>
          <w:tcPr>
            <w:tcW w:w="1915" w:type="dxa"/>
            <w:tcBorders>
              <w:top w:val="nil"/>
              <w:left w:val="single" w:sz="4" w:space="0" w:color="auto"/>
              <w:bottom w:val="single" w:sz="4" w:space="0" w:color="auto"/>
              <w:right w:val="single" w:sz="4" w:space="0" w:color="auto"/>
            </w:tcBorders>
            <w:shd w:val="clear" w:color="000000" w:fill="FFFFFF"/>
            <w:vAlign w:val="center"/>
            <w:hideMark/>
          </w:tcPr>
          <w:p w14:paraId="7B1E1533" w14:textId="77777777" w:rsidR="0097104A" w:rsidRPr="008D13D0" w:rsidRDefault="0097104A" w:rsidP="00936051">
            <w:pPr>
              <w:keepNext/>
              <w:rPr>
                <w:rFonts w:ascii="Arial" w:hAnsi="Arial" w:cs="Arial"/>
                <w:color w:val="000000"/>
                <w:sz w:val="20"/>
                <w:szCs w:val="20"/>
              </w:rPr>
            </w:pPr>
            <w:r w:rsidRPr="008D13D0">
              <w:rPr>
                <w:rFonts w:ascii="Arial" w:hAnsi="Arial" w:cs="Arial"/>
                <w:color w:val="000000"/>
                <w:sz w:val="20"/>
                <w:szCs w:val="20"/>
              </w:rPr>
              <w:t>Load Impact (MW)</w:t>
            </w:r>
          </w:p>
        </w:tc>
        <w:tc>
          <w:tcPr>
            <w:tcW w:w="2154" w:type="dxa"/>
            <w:tcBorders>
              <w:top w:val="nil"/>
              <w:left w:val="nil"/>
              <w:bottom w:val="single" w:sz="4" w:space="0" w:color="auto"/>
              <w:right w:val="single" w:sz="4" w:space="0" w:color="auto"/>
            </w:tcBorders>
            <w:shd w:val="clear" w:color="auto" w:fill="auto"/>
            <w:vAlign w:val="center"/>
            <w:hideMark/>
          </w:tcPr>
          <w:p w14:paraId="4C204880" w14:textId="6450E158" w:rsidR="0097104A" w:rsidRPr="008D13D0" w:rsidRDefault="0097104A" w:rsidP="00936051">
            <w:pPr>
              <w:keepNext/>
              <w:jc w:val="center"/>
              <w:rPr>
                <w:rFonts w:ascii="Arial" w:hAnsi="Arial" w:cs="Arial"/>
                <w:color w:val="000000"/>
                <w:sz w:val="20"/>
                <w:szCs w:val="20"/>
              </w:rPr>
            </w:pPr>
            <w:r>
              <w:rPr>
                <w:rFonts w:ascii="Arial" w:hAnsi="Arial" w:cs="Arial"/>
                <w:color w:val="000000"/>
                <w:sz w:val="20"/>
                <w:szCs w:val="20"/>
              </w:rPr>
              <w:t>0.7</w:t>
            </w:r>
          </w:p>
        </w:tc>
        <w:tc>
          <w:tcPr>
            <w:tcW w:w="2067" w:type="dxa"/>
            <w:tcBorders>
              <w:top w:val="nil"/>
              <w:left w:val="nil"/>
              <w:bottom w:val="single" w:sz="4" w:space="0" w:color="auto"/>
              <w:right w:val="single" w:sz="4" w:space="0" w:color="auto"/>
            </w:tcBorders>
            <w:shd w:val="clear" w:color="auto" w:fill="auto"/>
            <w:vAlign w:val="center"/>
            <w:hideMark/>
          </w:tcPr>
          <w:p w14:paraId="0D8A43D3" w14:textId="77777777" w:rsidR="0097104A" w:rsidRPr="008D13D0" w:rsidRDefault="0097104A" w:rsidP="00936051">
            <w:pPr>
              <w:keepNext/>
              <w:jc w:val="center"/>
              <w:rPr>
                <w:rFonts w:ascii="Arial" w:hAnsi="Arial" w:cs="Arial"/>
                <w:color w:val="000000"/>
                <w:sz w:val="20"/>
                <w:szCs w:val="20"/>
              </w:rPr>
            </w:pPr>
            <w:r w:rsidRPr="008D13D0">
              <w:rPr>
                <w:rFonts w:ascii="Arial" w:hAnsi="Arial" w:cs="Arial"/>
                <w:color w:val="000000"/>
                <w:sz w:val="20"/>
                <w:szCs w:val="20"/>
              </w:rPr>
              <w:t>2.5</w:t>
            </w:r>
          </w:p>
        </w:tc>
      </w:tr>
      <w:tr w:rsidR="0097104A" w:rsidRPr="008D13D0" w14:paraId="37DE98E7" w14:textId="77777777" w:rsidTr="0086367A">
        <w:trPr>
          <w:trHeight w:val="229"/>
          <w:jc w:val="center"/>
        </w:trPr>
        <w:tc>
          <w:tcPr>
            <w:tcW w:w="1153" w:type="dxa"/>
            <w:vMerge w:val="restart"/>
            <w:tcBorders>
              <w:top w:val="nil"/>
              <w:left w:val="single" w:sz="4" w:space="0" w:color="auto"/>
              <w:bottom w:val="single" w:sz="4" w:space="0" w:color="auto"/>
              <w:right w:val="nil"/>
            </w:tcBorders>
            <w:shd w:val="clear" w:color="auto" w:fill="auto"/>
            <w:vAlign w:val="center"/>
            <w:hideMark/>
          </w:tcPr>
          <w:p w14:paraId="407147C1" w14:textId="393E1B3C" w:rsidR="0097104A" w:rsidRPr="008D13D0" w:rsidRDefault="0097104A" w:rsidP="00936051">
            <w:pPr>
              <w:keepNext/>
              <w:rPr>
                <w:rFonts w:ascii="Arial" w:hAnsi="Arial" w:cs="Arial"/>
                <w:b/>
                <w:bCs/>
                <w:color w:val="000000"/>
                <w:sz w:val="20"/>
                <w:szCs w:val="20"/>
              </w:rPr>
            </w:pPr>
            <w:r w:rsidRPr="008D13D0">
              <w:rPr>
                <w:rFonts w:ascii="Arial" w:hAnsi="Arial" w:cs="Arial"/>
                <w:b/>
                <w:bCs/>
                <w:color w:val="000000"/>
                <w:sz w:val="20"/>
                <w:szCs w:val="20"/>
              </w:rPr>
              <w:t xml:space="preserve">Per </w:t>
            </w:r>
            <w:r w:rsidR="00DF5A48">
              <w:rPr>
                <w:rFonts w:ascii="Arial" w:hAnsi="Arial" w:cs="Arial"/>
                <w:b/>
                <w:bCs/>
                <w:color w:val="000000"/>
                <w:sz w:val="20"/>
                <w:szCs w:val="20"/>
              </w:rPr>
              <w:t>Customer</w:t>
            </w:r>
          </w:p>
        </w:tc>
        <w:tc>
          <w:tcPr>
            <w:tcW w:w="1915" w:type="dxa"/>
            <w:tcBorders>
              <w:top w:val="nil"/>
              <w:left w:val="single" w:sz="4" w:space="0" w:color="auto"/>
              <w:bottom w:val="nil"/>
              <w:right w:val="single" w:sz="4" w:space="0" w:color="auto"/>
            </w:tcBorders>
            <w:shd w:val="clear" w:color="000000" w:fill="FFFFFF"/>
            <w:vAlign w:val="center"/>
            <w:hideMark/>
          </w:tcPr>
          <w:p w14:paraId="54DA9A05" w14:textId="77777777" w:rsidR="0097104A" w:rsidRPr="008D13D0" w:rsidRDefault="0097104A" w:rsidP="00936051">
            <w:pPr>
              <w:keepNext/>
              <w:rPr>
                <w:rFonts w:ascii="Arial" w:hAnsi="Arial" w:cs="Arial"/>
                <w:color w:val="000000"/>
                <w:sz w:val="20"/>
                <w:szCs w:val="20"/>
              </w:rPr>
            </w:pPr>
            <w:r w:rsidRPr="008D13D0">
              <w:rPr>
                <w:rFonts w:ascii="Arial" w:hAnsi="Arial" w:cs="Arial"/>
                <w:color w:val="000000"/>
                <w:sz w:val="20"/>
                <w:szCs w:val="20"/>
              </w:rPr>
              <w:t>Reference (kW)</w:t>
            </w:r>
          </w:p>
        </w:tc>
        <w:tc>
          <w:tcPr>
            <w:tcW w:w="2154" w:type="dxa"/>
            <w:tcBorders>
              <w:top w:val="nil"/>
              <w:left w:val="nil"/>
              <w:bottom w:val="nil"/>
              <w:right w:val="single" w:sz="4" w:space="0" w:color="auto"/>
            </w:tcBorders>
            <w:shd w:val="clear" w:color="auto" w:fill="auto"/>
            <w:vAlign w:val="center"/>
            <w:hideMark/>
          </w:tcPr>
          <w:p w14:paraId="615382AA" w14:textId="0DE1E7DB" w:rsidR="0097104A" w:rsidRPr="008D13D0" w:rsidRDefault="0097104A" w:rsidP="00936051">
            <w:pPr>
              <w:keepNext/>
              <w:jc w:val="center"/>
              <w:rPr>
                <w:rFonts w:ascii="Arial" w:hAnsi="Arial" w:cs="Arial"/>
                <w:color w:val="000000"/>
                <w:sz w:val="20"/>
                <w:szCs w:val="20"/>
              </w:rPr>
            </w:pPr>
            <w:r>
              <w:rPr>
                <w:rFonts w:ascii="Arial" w:hAnsi="Arial" w:cs="Arial"/>
                <w:color w:val="000000"/>
                <w:sz w:val="20"/>
                <w:szCs w:val="20"/>
              </w:rPr>
              <w:t>327.5</w:t>
            </w:r>
          </w:p>
        </w:tc>
        <w:tc>
          <w:tcPr>
            <w:tcW w:w="2067" w:type="dxa"/>
            <w:tcBorders>
              <w:top w:val="nil"/>
              <w:left w:val="nil"/>
              <w:bottom w:val="nil"/>
              <w:right w:val="single" w:sz="4" w:space="0" w:color="auto"/>
            </w:tcBorders>
            <w:shd w:val="clear" w:color="auto" w:fill="auto"/>
            <w:vAlign w:val="center"/>
            <w:hideMark/>
          </w:tcPr>
          <w:p w14:paraId="5BC88D39" w14:textId="77777777" w:rsidR="0097104A" w:rsidRPr="008D13D0" w:rsidRDefault="0097104A" w:rsidP="00936051">
            <w:pPr>
              <w:keepNext/>
              <w:jc w:val="center"/>
              <w:rPr>
                <w:rFonts w:ascii="Arial" w:hAnsi="Arial" w:cs="Arial"/>
                <w:color w:val="000000"/>
                <w:sz w:val="20"/>
                <w:szCs w:val="20"/>
              </w:rPr>
            </w:pPr>
            <w:r w:rsidRPr="008D13D0">
              <w:rPr>
                <w:rFonts w:ascii="Arial" w:hAnsi="Arial" w:cs="Arial"/>
                <w:color w:val="000000"/>
                <w:sz w:val="20"/>
                <w:szCs w:val="20"/>
              </w:rPr>
              <w:t>596.5</w:t>
            </w:r>
          </w:p>
        </w:tc>
      </w:tr>
      <w:tr w:rsidR="0097104A" w:rsidRPr="008D13D0" w14:paraId="18D0D575" w14:textId="77777777" w:rsidTr="0086367A">
        <w:trPr>
          <w:trHeight w:val="229"/>
          <w:jc w:val="center"/>
        </w:trPr>
        <w:tc>
          <w:tcPr>
            <w:tcW w:w="1153" w:type="dxa"/>
            <w:vMerge/>
            <w:tcBorders>
              <w:top w:val="nil"/>
              <w:left w:val="single" w:sz="4" w:space="0" w:color="auto"/>
              <w:bottom w:val="single" w:sz="4" w:space="0" w:color="auto"/>
              <w:right w:val="nil"/>
            </w:tcBorders>
            <w:vAlign w:val="center"/>
            <w:hideMark/>
          </w:tcPr>
          <w:p w14:paraId="719C9D8C" w14:textId="77777777" w:rsidR="0097104A" w:rsidRPr="008D13D0" w:rsidRDefault="0097104A" w:rsidP="00936051">
            <w:pPr>
              <w:keepNext/>
              <w:rPr>
                <w:rFonts w:ascii="Arial" w:hAnsi="Arial" w:cs="Arial"/>
                <w:b/>
                <w:bCs/>
                <w:color w:val="000000"/>
                <w:sz w:val="20"/>
                <w:szCs w:val="20"/>
              </w:rPr>
            </w:pPr>
          </w:p>
        </w:tc>
        <w:tc>
          <w:tcPr>
            <w:tcW w:w="1915" w:type="dxa"/>
            <w:tcBorders>
              <w:top w:val="nil"/>
              <w:left w:val="single" w:sz="4" w:space="0" w:color="auto"/>
              <w:bottom w:val="nil"/>
              <w:right w:val="single" w:sz="4" w:space="0" w:color="auto"/>
            </w:tcBorders>
            <w:shd w:val="clear" w:color="000000" w:fill="FFFFFF"/>
            <w:vAlign w:val="center"/>
            <w:hideMark/>
          </w:tcPr>
          <w:p w14:paraId="2054F694" w14:textId="77777777" w:rsidR="0097104A" w:rsidRPr="008D13D0" w:rsidRDefault="0097104A" w:rsidP="00936051">
            <w:pPr>
              <w:keepNext/>
              <w:rPr>
                <w:rFonts w:ascii="Arial" w:hAnsi="Arial" w:cs="Arial"/>
                <w:color w:val="000000"/>
                <w:sz w:val="20"/>
                <w:szCs w:val="20"/>
              </w:rPr>
            </w:pPr>
            <w:r w:rsidRPr="008D13D0">
              <w:rPr>
                <w:rFonts w:ascii="Arial" w:hAnsi="Arial" w:cs="Arial"/>
                <w:color w:val="000000"/>
                <w:sz w:val="20"/>
                <w:szCs w:val="20"/>
              </w:rPr>
              <w:t>Load Impact (kW)</w:t>
            </w:r>
          </w:p>
        </w:tc>
        <w:tc>
          <w:tcPr>
            <w:tcW w:w="2154" w:type="dxa"/>
            <w:tcBorders>
              <w:top w:val="nil"/>
              <w:left w:val="nil"/>
              <w:bottom w:val="nil"/>
              <w:right w:val="single" w:sz="4" w:space="0" w:color="auto"/>
            </w:tcBorders>
            <w:shd w:val="clear" w:color="auto" w:fill="auto"/>
            <w:vAlign w:val="center"/>
            <w:hideMark/>
          </w:tcPr>
          <w:p w14:paraId="768442D6" w14:textId="2E886BD7" w:rsidR="0097104A" w:rsidRPr="008D13D0" w:rsidRDefault="0097104A" w:rsidP="00936051">
            <w:pPr>
              <w:keepNext/>
              <w:jc w:val="center"/>
              <w:rPr>
                <w:rFonts w:ascii="Arial" w:hAnsi="Arial" w:cs="Arial"/>
                <w:color w:val="000000"/>
                <w:sz w:val="20"/>
                <w:szCs w:val="20"/>
              </w:rPr>
            </w:pPr>
            <w:r>
              <w:rPr>
                <w:rFonts w:ascii="Arial" w:hAnsi="Arial" w:cs="Arial"/>
                <w:color w:val="000000"/>
                <w:sz w:val="20"/>
                <w:szCs w:val="20"/>
              </w:rPr>
              <w:t>122.5</w:t>
            </w:r>
          </w:p>
        </w:tc>
        <w:tc>
          <w:tcPr>
            <w:tcW w:w="2067" w:type="dxa"/>
            <w:tcBorders>
              <w:top w:val="nil"/>
              <w:left w:val="nil"/>
              <w:bottom w:val="nil"/>
              <w:right w:val="single" w:sz="4" w:space="0" w:color="auto"/>
            </w:tcBorders>
            <w:shd w:val="clear" w:color="auto" w:fill="auto"/>
            <w:vAlign w:val="center"/>
            <w:hideMark/>
          </w:tcPr>
          <w:p w14:paraId="4B04F8FD" w14:textId="77777777" w:rsidR="0097104A" w:rsidRPr="008D13D0" w:rsidRDefault="0097104A" w:rsidP="00936051">
            <w:pPr>
              <w:keepNext/>
              <w:jc w:val="center"/>
              <w:rPr>
                <w:rFonts w:ascii="Arial" w:hAnsi="Arial" w:cs="Arial"/>
                <w:color w:val="000000"/>
                <w:sz w:val="20"/>
                <w:szCs w:val="20"/>
              </w:rPr>
            </w:pPr>
            <w:r w:rsidRPr="008D13D0">
              <w:rPr>
                <w:rFonts w:ascii="Arial" w:hAnsi="Arial" w:cs="Arial"/>
                <w:color w:val="000000"/>
                <w:sz w:val="20"/>
                <w:szCs w:val="20"/>
              </w:rPr>
              <w:t>423.8</w:t>
            </w:r>
          </w:p>
        </w:tc>
      </w:tr>
      <w:tr w:rsidR="0097104A" w:rsidRPr="008D13D0" w14:paraId="130A719E" w14:textId="77777777" w:rsidTr="0086367A">
        <w:trPr>
          <w:trHeight w:val="229"/>
          <w:jc w:val="center"/>
        </w:trPr>
        <w:tc>
          <w:tcPr>
            <w:tcW w:w="1153" w:type="dxa"/>
            <w:vMerge/>
            <w:tcBorders>
              <w:top w:val="nil"/>
              <w:left w:val="single" w:sz="4" w:space="0" w:color="auto"/>
              <w:bottom w:val="single" w:sz="4" w:space="0" w:color="auto"/>
              <w:right w:val="nil"/>
            </w:tcBorders>
            <w:vAlign w:val="center"/>
            <w:hideMark/>
          </w:tcPr>
          <w:p w14:paraId="1E99B14A" w14:textId="77777777" w:rsidR="0097104A" w:rsidRPr="008D13D0" w:rsidRDefault="0097104A" w:rsidP="00936051">
            <w:pPr>
              <w:keepNext/>
              <w:rPr>
                <w:rFonts w:ascii="Arial" w:hAnsi="Arial" w:cs="Arial"/>
                <w:b/>
                <w:bCs/>
                <w:color w:val="000000"/>
                <w:sz w:val="20"/>
                <w:szCs w:val="20"/>
              </w:rPr>
            </w:pPr>
          </w:p>
        </w:tc>
        <w:tc>
          <w:tcPr>
            <w:tcW w:w="1915" w:type="dxa"/>
            <w:tcBorders>
              <w:top w:val="nil"/>
              <w:left w:val="single" w:sz="4" w:space="0" w:color="auto"/>
              <w:bottom w:val="single" w:sz="4" w:space="0" w:color="auto"/>
              <w:right w:val="single" w:sz="4" w:space="0" w:color="auto"/>
            </w:tcBorders>
            <w:shd w:val="clear" w:color="000000" w:fill="FFFFFF"/>
            <w:vAlign w:val="center"/>
            <w:hideMark/>
          </w:tcPr>
          <w:p w14:paraId="093317D0" w14:textId="77777777" w:rsidR="0097104A" w:rsidRPr="008D13D0" w:rsidRDefault="0097104A" w:rsidP="00936051">
            <w:pPr>
              <w:keepNext/>
              <w:rPr>
                <w:rFonts w:ascii="Arial" w:hAnsi="Arial" w:cs="Arial"/>
                <w:color w:val="000000"/>
                <w:sz w:val="20"/>
                <w:szCs w:val="20"/>
              </w:rPr>
            </w:pPr>
            <w:r w:rsidRPr="008D13D0">
              <w:rPr>
                <w:rFonts w:ascii="Arial" w:hAnsi="Arial" w:cs="Arial"/>
                <w:color w:val="000000"/>
                <w:sz w:val="20"/>
                <w:szCs w:val="20"/>
              </w:rPr>
              <w:t>% Load Impact</w:t>
            </w:r>
          </w:p>
        </w:tc>
        <w:tc>
          <w:tcPr>
            <w:tcW w:w="2154" w:type="dxa"/>
            <w:tcBorders>
              <w:top w:val="nil"/>
              <w:left w:val="nil"/>
              <w:bottom w:val="single" w:sz="4" w:space="0" w:color="auto"/>
              <w:right w:val="single" w:sz="4" w:space="0" w:color="auto"/>
            </w:tcBorders>
            <w:shd w:val="clear" w:color="auto" w:fill="auto"/>
            <w:vAlign w:val="center"/>
            <w:hideMark/>
          </w:tcPr>
          <w:p w14:paraId="08253552" w14:textId="46C83392" w:rsidR="0097104A" w:rsidRPr="008D13D0" w:rsidRDefault="0097104A" w:rsidP="00936051">
            <w:pPr>
              <w:keepNext/>
              <w:jc w:val="center"/>
              <w:rPr>
                <w:rFonts w:ascii="Arial" w:hAnsi="Arial" w:cs="Arial"/>
                <w:color w:val="000000"/>
                <w:sz w:val="20"/>
                <w:szCs w:val="20"/>
              </w:rPr>
            </w:pPr>
            <w:r>
              <w:rPr>
                <w:rFonts w:ascii="Arial" w:hAnsi="Arial" w:cs="Arial"/>
                <w:color w:val="000000"/>
                <w:sz w:val="20"/>
                <w:szCs w:val="20"/>
              </w:rPr>
              <w:t>37.4%</w:t>
            </w:r>
          </w:p>
        </w:tc>
        <w:tc>
          <w:tcPr>
            <w:tcW w:w="2067" w:type="dxa"/>
            <w:tcBorders>
              <w:top w:val="nil"/>
              <w:left w:val="nil"/>
              <w:bottom w:val="single" w:sz="4" w:space="0" w:color="auto"/>
              <w:right w:val="single" w:sz="4" w:space="0" w:color="auto"/>
            </w:tcBorders>
            <w:shd w:val="clear" w:color="auto" w:fill="auto"/>
            <w:vAlign w:val="center"/>
            <w:hideMark/>
          </w:tcPr>
          <w:p w14:paraId="167B4B74" w14:textId="7B8267F2" w:rsidR="0097104A" w:rsidRPr="008D13D0" w:rsidRDefault="0097104A" w:rsidP="00936051">
            <w:pPr>
              <w:keepNext/>
              <w:jc w:val="center"/>
              <w:rPr>
                <w:rFonts w:ascii="Arial" w:hAnsi="Arial" w:cs="Arial"/>
                <w:color w:val="000000"/>
                <w:sz w:val="20"/>
                <w:szCs w:val="20"/>
              </w:rPr>
            </w:pPr>
            <w:r w:rsidRPr="008D13D0">
              <w:rPr>
                <w:rFonts w:ascii="Arial" w:hAnsi="Arial" w:cs="Arial"/>
                <w:color w:val="000000"/>
                <w:sz w:val="20"/>
                <w:szCs w:val="20"/>
              </w:rPr>
              <w:t>71.</w:t>
            </w:r>
            <w:r w:rsidR="00936051">
              <w:rPr>
                <w:rFonts w:ascii="Arial" w:hAnsi="Arial" w:cs="Arial"/>
                <w:color w:val="000000"/>
                <w:sz w:val="20"/>
                <w:szCs w:val="20"/>
              </w:rPr>
              <w:t>1</w:t>
            </w:r>
            <w:r w:rsidRPr="008D13D0">
              <w:rPr>
                <w:rFonts w:ascii="Arial" w:hAnsi="Arial" w:cs="Arial"/>
                <w:color w:val="000000"/>
                <w:sz w:val="20"/>
                <w:szCs w:val="20"/>
              </w:rPr>
              <w:t>%</w:t>
            </w:r>
          </w:p>
        </w:tc>
      </w:tr>
    </w:tbl>
    <w:p w14:paraId="687C6562" w14:textId="77777777" w:rsidR="008D13D0" w:rsidRDefault="008D13D0" w:rsidP="008D13D0">
      <w:pPr>
        <w:pStyle w:val="TableCaption"/>
        <w:keepNext/>
        <w:keepLines/>
      </w:pPr>
    </w:p>
    <w:p w14:paraId="70FAECDD" w14:textId="15C797CD" w:rsidR="00DA4753" w:rsidRDefault="00DA4753" w:rsidP="00DA4753">
      <w:pPr>
        <w:pStyle w:val="Heading3"/>
      </w:pPr>
      <w:bookmarkStart w:id="254" w:name="_Toc383597965"/>
      <w:bookmarkStart w:id="255" w:name="_Toc510091144"/>
      <w:r>
        <w:t xml:space="preserve">6.3.4 Current </w:t>
      </w:r>
      <w:r w:rsidRPr="000F1678">
        <w:rPr>
          <w:i/>
        </w:rPr>
        <w:t>ex</w:t>
      </w:r>
      <w:r w:rsidR="000F1678" w:rsidRPr="000F1678">
        <w:rPr>
          <w:i/>
        </w:rPr>
        <w:t>-</w:t>
      </w:r>
      <w:r w:rsidRPr="000F1678">
        <w:rPr>
          <w:i/>
        </w:rPr>
        <w:t>post</w:t>
      </w:r>
      <w:r>
        <w:t xml:space="preserve"> versus current </w:t>
      </w:r>
      <w:r w:rsidRPr="000F1678">
        <w:rPr>
          <w:i/>
        </w:rPr>
        <w:t>ex</w:t>
      </w:r>
      <w:r w:rsidR="000F1678" w:rsidRPr="000F1678">
        <w:rPr>
          <w:i/>
        </w:rPr>
        <w:t>-</w:t>
      </w:r>
      <w:r w:rsidRPr="000F1678">
        <w:rPr>
          <w:i/>
        </w:rPr>
        <w:t>ante</w:t>
      </w:r>
      <w:bookmarkEnd w:id="254"/>
      <w:bookmarkEnd w:id="255"/>
    </w:p>
    <w:p w14:paraId="655DBFA9" w14:textId="49D11208" w:rsidR="00DA4753" w:rsidRDefault="00834CE6" w:rsidP="00DA4753">
      <w:r>
        <w:t xml:space="preserve">Table 6.14 shows a comparison of </w:t>
      </w:r>
      <w:r w:rsidRPr="00496592">
        <w:rPr>
          <w:i/>
        </w:rPr>
        <w:t>ex</w:t>
      </w:r>
      <w:r w:rsidR="00496592" w:rsidRPr="00496592">
        <w:rPr>
          <w:i/>
        </w:rPr>
        <w:t>-</w:t>
      </w:r>
      <w:r w:rsidRPr="00496592">
        <w:rPr>
          <w:i/>
        </w:rPr>
        <w:t>post</w:t>
      </w:r>
      <w:r>
        <w:t xml:space="preserve"> and </w:t>
      </w:r>
      <w:r w:rsidRPr="00496592">
        <w:rPr>
          <w:i/>
        </w:rPr>
        <w:t>ex</w:t>
      </w:r>
      <w:r w:rsidR="00496592" w:rsidRPr="00496592">
        <w:rPr>
          <w:i/>
        </w:rPr>
        <w:t>-</w:t>
      </w:r>
      <w:r w:rsidRPr="00496592">
        <w:rPr>
          <w:i/>
        </w:rPr>
        <w:t>ante</w:t>
      </w:r>
      <w:r>
        <w:t xml:space="preserve"> load impacts. Enrollment </w:t>
      </w:r>
      <w:r w:rsidR="007C63C0">
        <w:t>increases</w:t>
      </w:r>
      <w:r>
        <w:t xml:space="preserve">, but </w:t>
      </w:r>
      <w:r w:rsidR="007C63C0">
        <w:t>the aggregate</w:t>
      </w:r>
      <w:r>
        <w:t xml:space="preserve"> load impact </w:t>
      </w:r>
      <w:r w:rsidR="007C63C0">
        <w:t>is nonetheless</w:t>
      </w:r>
      <w:r>
        <w:t xml:space="preserve"> forecast to be </w:t>
      </w:r>
      <w:r w:rsidR="00BA70FB">
        <w:t>lower in the forecast period</w:t>
      </w:r>
      <w:r>
        <w:t>.</w:t>
      </w:r>
    </w:p>
    <w:p w14:paraId="346C4F64" w14:textId="77777777" w:rsidR="00C9343D" w:rsidRDefault="00C9343D" w:rsidP="00DA4753"/>
    <w:p w14:paraId="6284D8E6" w14:textId="4FDA5BB7" w:rsidR="006F6D54" w:rsidRDefault="00C9343D" w:rsidP="00FC3979">
      <w:pPr>
        <w:pStyle w:val="TableCaption"/>
        <w:keepNext/>
        <w:keepLines/>
        <w:rPr>
          <w:i/>
        </w:rPr>
      </w:pPr>
      <w:bookmarkStart w:id="256" w:name="_Toc508800245"/>
      <w:r w:rsidRPr="00376F46">
        <w:t xml:space="preserve">Table </w:t>
      </w:r>
      <w:r>
        <w:t>6</w:t>
      </w:r>
      <w:r w:rsidRPr="00376F46">
        <w:t>.</w:t>
      </w:r>
      <w:r w:rsidR="00BA70FB">
        <w:t>14</w:t>
      </w:r>
      <w:r w:rsidR="007030CD">
        <w:t>:</w:t>
      </w:r>
      <w:r w:rsidRPr="00376F46">
        <w:t xml:space="preserve"> Comparison of </w:t>
      </w:r>
      <w:r>
        <w:t xml:space="preserve">Current </w:t>
      </w:r>
      <w:r w:rsidRPr="00BA70FB">
        <w:rPr>
          <w:i/>
        </w:rPr>
        <w:t>Ex</w:t>
      </w:r>
      <w:r w:rsidR="00F14E5A" w:rsidRPr="00BA70FB">
        <w:rPr>
          <w:i/>
        </w:rPr>
        <w:t>-</w:t>
      </w:r>
      <w:r w:rsidR="00BA70FB" w:rsidRPr="00BA70FB">
        <w:rPr>
          <w:i/>
        </w:rPr>
        <w:t>p</w:t>
      </w:r>
      <w:r w:rsidRPr="00BA70FB">
        <w:rPr>
          <w:i/>
        </w:rPr>
        <w:t>ost</w:t>
      </w:r>
      <w:r>
        <w:t xml:space="preserve"> and Current </w:t>
      </w:r>
      <w:r w:rsidRPr="00BA70FB">
        <w:rPr>
          <w:i/>
        </w:rPr>
        <w:t>Ex</w:t>
      </w:r>
      <w:r w:rsidR="00F14E5A" w:rsidRPr="00BA70FB">
        <w:rPr>
          <w:i/>
        </w:rPr>
        <w:t>-</w:t>
      </w:r>
      <w:r w:rsidR="00BA70FB" w:rsidRPr="00BA70FB">
        <w:rPr>
          <w:i/>
        </w:rPr>
        <w:t>a</w:t>
      </w:r>
      <w:r w:rsidRPr="00BA70FB">
        <w:rPr>
          <w:i/>
        </w:rPr>
        <w:t>nte</w:t>
      </w:r>
      <w:r>
        <w:t xml:space="preserve"> </w:t>
      </w:r>
      <w:r w:rsidRPr="00376F46">
        <w:t>Impacts</w:t>
      </w:r>
      <w:r>
        <w:t>,</w:t>
      </w:r>
      <w:r w:rsidRPr="00376F46">
        <w:t xml:space="preserve"> </w:t>
      </w:r>
      <w:r>
        <w:rPr>
          <w:i/>
        </w:rPr>
        <w:t>SDG&amp;E</w:t>
      </w:r>
      <w:bookmarkEnd w:id="256"/>
    </w:p>
    <w:tbl>
      <w:tblPr>
        <w:tblW w:w="7762" w:type="dxa"/>
        <w:jc w:val="center"/>
        <w:tblLook w:val="04A0" w:firstRow="1" w:lastRow="0" w:firstColumn="1" w:lastColumn="0" w:noHBand="0" w:noVBand="1"/>
      </w:tblPr>
      <w:tblGrid>
        <w:gridCol w:w="1228"/>
        <w:gridCol w:w="2039"/>
        <w:gridCol w:w="2293"/>
        <w:gridCol w:w="2202"/>
      </w:tblGrid>
      <w:tr w:rsidR="00FC3979" w:rsidRPr="00FC3979" w14:paraId="3AB8C8D7" w14:textId="77777777" w:rsidTr="006B55F6">
        <w:trPr>
          <w:trHeight w:val="380"/>
          <w:jc w:val="center"/>
        </w:trPr>
        <w:tc>
          <w:tcPr>
            <w:tcW w:w="1228" w:type="dxa"/>
            <w:vMerge w:val="restart"/>
            <w:tcBorders>
              <w:top w:val="single" w:sz="4" w:space="0" w:color="auto"/>
              <w:left w:val="single" w:sz="4" w:space="0" w:color="auto"/>
              <w:bottom w:val="single" w:sz="4" w:space="0" w:color="auto"/>
              <w:right w:val="single" w:sz="4" w:space="0" w:color="FFFFFF"/>
            </w:tcBorders>
            <w:shd w:val="clear" w:color="auto" w:fill="0C2577"/>
            <w:vAlign w:val="center"/>
            <w:hideMark/>
          </w:tcPr>
          <w:p w14:paraId="0179B917" w14:textId="77777777" w:rsidR="00FC3979" w:rsidRPr="00FC3979" w:rsidRDefault="00FC3979" w:rsidP="00FC3979">
            <w:pPr>
              <w:jc w:val="center"/>
              <w:rPr>
                <w:rFonts w:ascii="Arial" w:hAnsi="Arial" w:cs="Arial"/>
                <w:b/>
                <w:bCs/>
                <w:color w:val="FFFFFF"/>
                <w:sz w:val="20"/>
                <w:szCs w:val="20"/>
              </w:rPr>
            </w:pPr>
            <w:r w:rsidRPr="00FC3979">
              <w:rPr>
                <w:rFonts w:ascii="Arial" w:hAnsi="Arial" w:cs="Arial"/>
                <w:b/>
                <w:bCs/>
                <w:color w:val="FFFFFF"/>
                <w:sz w:val="20"/>
                <w:szCs w:val="20"/>
              </w:rPr>
              <w:t>Level</w:t>
            </w:r>
          </w:p>
        </w:tc>
        <w:tc>
          <w:tcPr>
            <w:tcW w:w="2039" w:type="dxa"/>
            <w:vMerge w:val="restart"/>
            <w:tcBorders>
              <w:top w:val="single" w:sz="4" w:space="0" w:color="auto"/>
              <w:left w:val="nil"/>
              <w:bottom w:val="single" w:sz="4" w:space="0" w:color="auto"/>
              <w:right w:val="single" w:sz="4" w:space="0" w:color="FFFFFF"/>
            </w:tcBorders>
            <w:shd w:val="clear" w:color="auto" w:fill="0C2577"/>
            <w:vAlign w:val="center"/>
            <w:hideMark/>
          </w:tcPr>
          <w:p w14:paraId="35BE4E9A" w14:textId="77777777" w:rsidR="00FC3979" w:rsidRPr="00FC3979" w:rsidRDefault="00FC3979" w:rsidP="00FC3979">
            <w:pPr>
              <w:jc w:val="center"/>
              <w:rPr>
                <w:rFonts w:ascii="Arial" w:hAnsi="Arial" w:cs="Arial"/>
                <w:b/>
                <w:bCs/>
                <w:color w:val="FFFFFF"/>
                <w:sz w:val="20"/>
                <w:szCs w:val="20"/>
              </w:rPr>
            </w:pPr>
            <w:r w:rsidRPr="00FC3979">
              <w:rPr>
                <w:rFonts w:ascii="Arial" w:hAnsi="Arial" w:cs="Arial"/>
                <w:b/>
                <w:bCs/>
                <w:color w:val="FFFFFF"/>
                <w:sz w:val="20"/>
                <w:szCs w:val="20"/>
              </w:rPr>
              <w:t>Outcome</w:t>
            </w:r>
          </w:p>
        </w:tc>
        <w:tc>
          <w:tcPr>
            <w:tcW w:w="2293" w:type="dxa"/>
            <w:tcBorders>
              <w:top w:val="single" w:sz="4" w:space="0" w:color="auto"/>
              <w:left w:val="nil"/>
              <w:bottom w:val="nil"/>
              <w:right w:val="nil"/>
            </w:tcBorders>
            <w:shd w:val="clear" w:color="auto" w:fill="0C2577"/>
            <w:vAlign w:val="bottom"/>
            <w:hideMark/>
          </w:tcPr>
          <w:p w14:paraId="60DA2C2A" w14:textId="77777777" w:rsidR="00FC3979" w:rsidRPr="00FC3979" w:rsidRDefault="00FC3979" w:rsidP="00FC3979">
            <w:pPr>
              <w:jc w:val="center"/>
              <w:rPr>
                <w:rFonts w:ascii="Arial" w:hAnsi="Arial" w:cs="Arial"/>
                <w:b/>
                <w:bCs/>
                <w:color w:val="FFFFFF"/>
                <w:sz w:val="20"/>
                <w:szCs w:val="20"/>
              </w:rPr>
            </w:pPr>
            <w:r w:rsidRPr="00FC3979">
              <w:rPr>
                <w:rFonts w:ascii="Arial" w:hAnsi="Arial" w:cs="Arial"/>
                <w:b/>
                <w:bCs/>
                <w:color w:val="FFFFFF"/>
                <w:sz w:val="20"/>
                <w:szCs w:val="20"/>
              </w:rPr>
              <w:t xml:space="preserve">Ex-post </w:t>
            </w:r>
          </w:p>
        </w:tc>
        <w:tc>
          <w:tcPr>
            <w:tcW w:w="2202" w:type="dxa"/>
            <w:vMerge w:val="restart"/>
            <w:tcBorders>
              <w:top w:val="single" w:sz="4" w:space="0" w:color="auto"/>
              <w:left w:val="single" w:sz="4" w:space="0" w:color="FFFFFF"/>
              <w:bottom w:val="single" w:sz="4" w:space="0" w:color="auto"/>
              <w:right w:val="single" w:sz="4" w:space="0" w:color="auto"/>
            </w:tcBorders>
            <w:shd w:val="clear" w:color="auto" w:fill="0C2577"/>
            <w:vAlign w:val="center"/>
            <w:hideMark/>
          </w:tcPr>
          <w:p w14:paraId="2CDD23F2" w14:textId="77777777" w:rsidR="00FC3979" w:rsidRPr="00FC3979" w:rsidRDefault="00FC3979" w:rsidP="00FC3979">
            <w:pPr>
              <w:jc w:val="center"/>
              <w:rPr>
                <w:rFonts w:ascii="Arial" w:hAnsi="Arial" w:cs="Arial"/>
                <w:b/>
                <w:bCs/>
                <w:color w:val="FFFFFF"/>
                <w:sz w:val="20"/>
                <w:szCs w:val="20"/>
              </w:rPr>
            </w:pPr>
            <w:r w:rsidRPr="00FC3979">
              <w:rPr>
                <w:rFonts w:ascii="Arial" w:hAnsi="Arial" w:cs="Arial"/>
                <w:b/>
                <w:bCs/>
                <w:color w:val="FFFFFF"/>
                <w:sz w:val="20"/>
                <w:szCs w:val="20"/>
              </w:rPr>
              <w:t>Ex-ante 2018 Typical Event Day, Current Study</w:t>
            </w:r>
          </w:p>
        </w:tc>
      </w:tr>
      <w:tr w:rsidR="00FC3979" w:rsidRPr="00FC3979" w14:paraId="1B61198F" w14:textId="77777777" w:rsidTr="006B55F6">
        <w:trPr>
          <w:trHeight w:val="427"/>
          <w:jc w:val="center"/>
        </w:trPr>
        <w:tc>
          <w:tcPr>
            <w:tcW w:w="1228" w:type="dxa"/>
            <w:vMerge/>
            <w:tcBorders>
              <w:top w:val="single" w:sz="4" w:space="0" w:color="auto"/>
              <w:left w:val="single" w:sz="4" w:space="0" w:color="auto"/>
              <w:bottom w:val="single" w:sz="4" w:space="0" w:color="auto"/>
              <w:right w:val="single" w:sz="4" w:space="0" w:color="FFFFFF"/>
            </w:tcBorders>
            <w:vAlign w:val="center"/>
            <w:hideMark/>
          </w:tcPr>
          <w:p w14:paraId="5DFDB659" w14:textId="77777777" w:rsidR="00FC3979" w:rsidRPr="00FC3979" w:rsidRDefault="00FC3979" w:rsidP="00FC3979">
            <w:pPr>
              <w:rPr>
                <w:rFonts w:ascii="Arial" w:hAnsi="Arial" w:cs="Arial"/>
                <w:b/>
                <w:bCs/>
                <w:color w:val="FFFFFF"/>
                <w:sz w:val="20"/>
                <w:szCs w:val="20"/>
              </w:rPr>
            </w:pPr>
          </w:p>
        </w:tc>
        <w:tc>
          <w:tcPr>
            <w:tcW w:w="2039" w:type="dxa"/>
            <w:vMerge/>
            <w:tcBorders>
              <w:top w:val="single" w:sz="4" w:space="0" w:color="auto"/>
              <w:left w:val="nil"/>
              <w:bottom w:val="single" w:sz="4" w:space="0" w:color="auto"/>
              <w:right w:val="single" w:sz="4" w:space="0" w:color="FFFFFF"/>
            </w:tcBorders>
            <w:vAlign w:val="center"/>
            <w:hideMark/>
          </w:tcPr>
          <w:p w14:paraId="694950CB" w14:textId="77777777" w:rsidR="00FC3979" w:rsidRPr="00FC3979" w:rsidRDefault="00FC3979" w:rsidP="00FC3979">
            <w:pPr>
              <w:rPr>
                <w:rFonts w:ascii="Arial" w:hAnsi="Arial" w:cs="Arial"/>
                <w:b/>
                <w:bCs/>
                <w:color w:val="FFFFFF"/>
                <w:sz w:val="20"/>
                <w:szCs w:val="20"/>
              </w:rPr>
            </w:pPr>
          </w:p>
        </w:tc>
        <w:tc>
          <w:tcPr>
            <w:tcW w:w="2293" w:type="dxa"/>
            <w:tcBorders>
              <w:top w:val="nil"/>
              <w:left w:val="nil"/>
              <w:bottom w:val="nil"/>
              <w:right w:val="nil"/>
            </w:tcBorders>
            <w:shd w:val="clear" w:color="auto" w:fill="0C2577"/>
            <w:hideMark/>
          </w:tcPr>
          <w:p w14:paraId="3CAD5B21" w14:textId="77777777" w:rsidR="00FC3979" w:rsidRPr="00FC3979" w:rsidRDefault="00FC3979" w:rsidP="00FC3979">
            <w:pPr>
              <w:jc w:val="center"/>
              <w:rPr>
                <w:rFonts w:ascii="Arial" w:hAnsi="Arial" w:cs="Arial"/>
                <w:b/>
                <w:bCs/>
                <w:color w:val="FFFFFF"/>
                <w:sz w:val="20"/>
                <w:szCs w:val="20"/>
              </w:rPr>
            </w:pPr>
            <w:r w:rsidRPr="00FC3979">
              <w:rPr>
                <w:rFonts w:ascii="Arial" w:hAnsi="Arial" w:cs="Arial"/>
                <w:b/>
                <w:bCs/>
                <w:color w:val="FFFFFF"/>
                <w:sz w:val="20"/>
                <w:szCs w:val="20"/>
              </w:rPr>
              <w:t>PY2017</w:t>
            </w:r>
          </w:p>
        </w:tc>
        <w:tc>
          <w:tcPr>
            <w:tcW w:w="2202" w:type="dxa"/>
            <w:vMerge/>
            <w:tcBorders>
              <w:top w:val="single" w:sz="4" w:space="0" w:color="auto"/>
              <w:left w:val="single" w:sz="4" w:space="0" w:color="FFFFFF"/>
              <w:bottom w:val="single" w:sz="4" w:space="0" w:color="auto"/>
              <w:right w:val="single" w:sz="4" w:space="0" w:color="auto"/>
            </w:tcBorders>
            <w:vAlign w:val="center"/>
            <w:hideMark/>
          </w:tcPr>
          <w:p w14:paraId="618DE398" w14:textId="77777777" w:rsidR="00FC3979" w:rsidRPr="00FC3979" w:rsidRDefault="00FC3979" w:rsidP="00FC3979">
            <w:pPr>
              <w:rPr>
                <w:rFonts w:ascii="Arial" w:hAnsi="Arial" w:cs="Arial"/>
                <w:b/>
                <w:bCs/>
                <w:color w:val="FFFFFF"/>
                <w:sz w:val="20"/>
                <w:szCs w:val="20"/>
              </w:rPr>
            </w:pPr>
          </w:p>
        </w:tc>
      </w:tr>
      <w:tr w:rsidR="006431D8" w:rsidRPr="00FC3979" w14:paraId="435FE2E9" w14:textId="77777777" w:rsidTr="0086367A">
        <w:trPr>
          <w:trHeight w:val="230"/>
          <w:jc w:val="center"/>
        </w:trPr>
        <w:tc>
          <w:tcPr>
            <w:tcW w:w="1228" w:type="dxa"/>
            <w:vMerge w:val="restart"/>
            <w:tcBorders>
              <w:top w:val="nil"/>
              <w:left w:val="single" w:sz="4" w:space="0" w:color="auto"/>
              <w:bottom w:val="single" w:sz="4" w:space="0" w:color="auto"/>
              <w:right w:val="nil"/>
            </w:tcBorders>
            <w:shd w:val="clear" w:color="auto" w:fill="auto"/>
            <w:vAlign w:val="center"/>
            <w:hideMark/>
          </w:tcPr>
          <w:p w14:paraId="771E4688" w14:textId="77777777" w:rsidR="006431D8" w:rsidRPr="00FC3979" w:rsidRDefault="006431D8" w:rsidP="006431D8">
            <w:pPr>
              <w:rPr>
                <w:rFonts w:ascii="Arial" w:hAnsi="Arial" w:cs="Arial"/>
                <w:b/>
                <w:bCs/>
                <w:color w:val="000000"/>
                <w:sz w:val="20"/>
                <w:szCs w:val="20"/>
              </w:rPr>
            </w:pPr>
            <w:r w:rsidRPr="00FC3979">
              <w:rPr>
                <w:rFonts w:ascii="Arial" w:hAnsi="Arial" w:cs="Arial"/>
                <w:b/>
                <w:bCs/>
                <w:color w:val="000000"/>
                <w:sz w:val="20"/>
                <w:szCs w:val="20"/>
              </w:rPr>
              <w:t>Total</w:t>
            </w:r>
          </w:p>
        </w:tc>
        <w:tc>
          <w:tcPr>
            <w:tcW w:w="2039" w:type="dxa"/>
            <w:tcBorders>
              <w:top w:val="nil"/>
              <w:left w:val="single" w:sz="4" w:space="0" w:color="auto"/>
              <w:bottom w:val="nil"/>
              <w:right w:val="single" w:sz="4" w:space="0" w:color="auto"/>
            </w:tcBorders>
            <w:shd w:val="clear" w:color="000000" w:fill="FFFFFF"/>
            <w:vAlign w:val="center"/>
            <w:hideMark/>
          </w:tcPr>
          <w:p w14:paraId="5F84C976" w14:textId="13953CEA" w:rsidR="006431D8" w:rsidRPr="00FC3979" w:rsidRDefault="006431D8" w:rsidP="006431D8">
            <w:pPr>
              <w:rPr>
                <w:rFonts w:ascii="Arial" w:hAnsi="Arial" w:cs="Arial"/>
                <w:color w:val="000000"/>
                <w:sz w:val="20"/>
                <w:szCs w:val="20"/>
              </w:rPr>
            </w:pPr>
            <w:r w:rsidRPr="00FC3979">
              <w:rPr>
                <w:rFonts w:ascii="Arial" w:hAnsi="Arial" w:cs="Arial"/>
                <w:color w:val="000000"/>
                <w:sz w:val="20"/>
                <w:szCs w:val="20"/>
              </w:rPr>
              <w:t xml:space="preserve"># </w:t>
            </w:r>
            <w:r w:rsidR="00DF5A48">
              <w:rPr>
                <w:rFonts w:ascii="Arial" w:hAnsi="Arial" w:cs="Arial"/>
                <w:color w:val="000000"/>
                <w:sz w:val="20"/>
                <w:szCs w:val="20"/>
              </w:rPr>
              <w:t>Customers</w:t>
            </w:r>
          </w:p>
        </w:tc>
        <w:tc>
          <w:tcPr>
            <w:tcW w:w="2293" w:type="dxa"/>
            <w:tcBorders>
              <w:top w:val="single" w:sz="4" w:space="0" w:color="auto"/>
              <w:left w:val="nil"/>
              <w:bottom w:val="nil"/>
              <w:right w:val="single" w:sz="4" w:space="0" w:color="auto"/>
            </w:tcBorders>
            <w:shd w:val="clear" w:color="auto" w:fill="auto"/>
            <w:vAlign w:val="center"/>
            <w:hideMark/>
          </w:tcPr>
          <w:p w14:paraId="0431B007" w14:textId="77777777" w:rsidR="006431D8" w:rsidRPr="00FC3979" w:rsidRDefault="006431D8" w:rsidP="006431D8">
            <w:pPr>
              <w:jc w:val="center"/>
              <w:rPr>
                <w:rFonts w:ascii="Arial" w:hAnsi="Arial" w:cs="Arial"/>
                <w:color w:val="000000"/>
                <w:sz w:val="20"/>
                <w:szCs w:val="20"/>
              </w:rPr>
            </w:pPr>
            <w:r w:rsidRPr="00FC3979">
              <w:rPr>
                <w:rFonts w:ascii="Arial" w:hAnsi="Arial" w:cs="Arial"/>
                <w:color w:val="000000"/>
                <w:sz w:val="20"/>
                <w:szCs w:val="20"/>
              </w:rPr>
              <w:t>6</w:t>
            </w:r>
          </w:p>
        </w:tc>
        <w:tc>
          <w:tcPr>
            <w:tcW w:w="2202" w:type="dxa"/>
            <w:tcBorders>
              <w:top w:val="nil"/>
              <w:left w:val="nil"/>
              <w:bottom w:val="nil"/>
              <w:right w:val="single" w:sz="4" w:space="0" w:color="auto"/>
            </w:tcBorders>
            <w:shd w:val="clear" w:color="auto" w:fill="auto"/>
            <w:vAlign w:val="center"/>
            <w:hideMark/>
          </w:tcPr>
          <w:p w14:paraId="013AAF33" w14:textId="05E18567" w:rsidR="006431D8" w:rsidRPr="00FC3979" w:rsidRDefault="006431D8" w:rsidP="006431D8">
            <w:pPr>
              <w:jc w:val="center"/>
              <w:rPr>
                <w:rFonts w:ascii="Arial" w:hAnsi="Arial" w:cs="Arial"/>
                <w:color w:val="000000"/>
                <w:sz w:val="20"/>
                <w:szCs w:val="20"/>
              </w:rPr>
            </w:pPr>
            <w:r>
              <w:rPr>
                <w:rFonts w:ascii="Arial" w:hAnsi="Arial" w:cs="Arial"/>
                <w:color w:val="000000"/>
                <w:sz w:val="20"/>
                <w:szCs w:val="20"/>
              </w:rPr>
              <w:t>7</w:t>
            </w:r>
          </w:p>
        </w:tc>
      </w:tr>
      <w:tr w:rsidR="006431D8" w:rsidRPr="00FC3979" w14:paraId="16E2F610" w14:textId="77777777" w:rsidTr="0086367A">
        <w:trPr>
          <w:trHeight w:val="230"/>
          <w:jc w:val="center"/>
        </w:trPr>
        <w:tc>
          <w:tcPr>
            <w:tcW w:w="1228" w:type="dxa"/>
            <w:vMerge/>
            <w:tcBorders>
              <w:top w:val="nil"/>
              <w:left w:val="single" w:sz="4" w:space="0" w:color="auto"/>
              <w:bottom w:val="single" w:sz="4" w:space="0" w:color="auto"/>
              <w:right w:val="nil"/>
            </w:tcBorders>
            <w:vAlign w:val="center"/>
            <w:hideMark/>
          </w:tcPr>
          <w:p w14:paraId="5090E501" w14:textId="77777777" w:rsidR="006431D8" w:rsidRPr="00FC3979" w:rsidRDefault="006431D8" w:rsidP="006431D8">
            <w:pPr>
              <w:rPr>
                <w:rFonts w:ascii="Arial" w:hAnsi="Arial" w:cs="Arial"/>
                <w:b/>
                <w:bCs/>
                <w:color w:val="000000"/>
                <w:sz w:val="20"/>
                <w:szCs w:val="20"/>
              </w:rPr>
            </w:pPr>
          </w:p>
        </w:tc>
        <w:tc>
          <w:tcPr>
            <w:tcW w:w="2039" w:type="dxa"/>
            <w:tcBorders>
              <w:top w:val="nil"/>
              <w:left w:val="single" w:sz="4" w:space="0" w:color="auto"/>
              <w:bottom w:val="nil"/>
              <w:right w:val="single" w:sz="4" w:space="0" w:color="auto"/>
            </w:tcBorders>
            <w:shd w:val="clear" w:color="000000" w:fill="FFFFFF"/>
            <w:vAlign w:val="center"/>
            <w:hideMark/>
          </w:tcPr>
          <w:p w14:paraId="61AE2CEE" w14:textId="77777777" w:rsidR="006431D8" w:rsidRPr="00FC3979" w:rsidRDefault="006431D8" w:rsidP="006431D8">
            <w:pPr>
              <w:rPr>
                <w:rFonts w:ascii="Arial" w:hAnsi="Arial" w:cs="Arial"/>
                <w:color w:val="000000"/>
                <w:sz w:val="20"/>
                <w:szCs w:val="20"/>
              </w:rPr>
            </w:pPr>
            <w:r w:rsidRPr="00FC3979">
              <w:rPr>
                <w:rFonts w:ascii="Arial" w:hAnsi="Arial" w:cs="Arial"/>
                <w:color w:val="000000"/>
                <w:sz w:val="20"/>
                <w:szCs w:val="20"/>
              </w:rPr>
              <w:t>Reference (MW)</w:t>
            </w:r>
          </w:p>
        </w:tc>
        <w:tc>
          <w:tcPr>
            <w:tcW w:w="2293" w:type="dxa"/>
            <w:tcBorders>
              <w:top w:val="nil"/>
              <w:left w:val="nil"/>
              <w:bottom w:val="nil"/>
              <w:right w:val="single" w:sz="4" w:space="0" w:color="auto"/>
            </w:tcBorders>
            <w:shd w:val="clear" w:color="auto" w:fill="auto"/>
            <w:vAlign w:val="center"/>
            <w:hideMark/>
          </w:tcPr>
          <w:p w14:paraId="71FE90EE" w14:textId="77777777" w:rsidR="006431D8" w:rsidRPr="00FC3979" w:rsidRDefault="006431D8" w:rsidP="006431D8">
            <w:pPr>
              <w:jc w:val="center"/>
              <w:rPr>
                <w:rFonts w:ascii="Arial" w:hAnsi="Arial" w:cs="Arial"/>
                <w:color w:val="000000"/>
                <w:sz w:val="20"/>
                <w:szCs w:val="20"/>
              </w:rPr>
            </w:pPr>
            <w:r w:rsidRPr="00FC3979">
              <w:rPr>
                <w:rFonts w:ascii="Arial" w:hAnsi="Arial" w:cs="Arial"/>
                <w:color w:val="000000"/>
                <w:sz w:val="20"/>
                <w:szCs w:val="20"/>
              </w:rPr>
              <w:t>3.6</w:t>
            </w:r>
          </w:p>
        </w:tc>
        <w:tc>
          <w:tcPr>
            <w:tcW w:w="2202" w:type="dxa"/>
            <w:tcBorders>
              <w:top w:val="nil"/>
              <w:left w:val="nil"/>
              <w:bottom w:val="nil"/>
              <w:right w:val="single" w:sz="4" w:space="0" w:color="auto"/>
            </w:tcBorders>
            <w:shd w:val="clear" w:color="auto" w:fill="auto"/>
            <w:vAlign w:val="center"/>
            <w:hideMark/>
          </w:tcPr>
          <w:p w14:paraId="4E0AFEEF" w14:textId="7C848987" w:rsidR="006431D8" w:rsidRPr="00FC3979" w:rsidRDefault="006431D8" w:rsidP="006431D8">
            <w:pPr>
              <w:jc w:val="center"/>
              <w:rPr>
                <w:rFonts w:ascii="Arial" w:hAnsi="Arial" w:cs="Arial"/>
                <w:color w:val="000000"/>
                <w:sz w:val="20"/>
                <w:szCs w:val="20"/>
              </w:rPr>
            </w:pPr>
            <w:r>
              <w:rPr>
                <w:rFonts w:ascii="Arial" w:hAnsi="Arial" w:cs="Arial"/>
                <w:color w:val="000000"/>
                <w:sz w:val="20"/>
                <w:szCs w:val="20"/>
              </w:rPr>
              <w:t>2.4</w:t>
            </w:r>
          </w:p>
        </w:tc>
      </w:tr>
      <w:tr w:rsidR="006431D8" w:rsidRPr="00FC3979" w14:paraId="50806BA7" w14:textId="77777777" w:rsidTr="0086367A">
        <w:trPr>
          <w:trHeight w:val="230"/>
          <w:jc w:val="center"/>
        </w:trPr>
        <w:tc>
          <w:tcPr>
            <w:tcW w:w="1228" w:type="dxa"/>
            <w:vMerge/>
            <w:tcBorders>
              <w:top w:val="nil"/>
              <w:left w:val="single" w:sz="4" w:space="0" w:color="auto"/>
              <w:bottom w:val="single" w:sz="4" w:space="0" w:color="auto"/>
              <w:right w:val="nil"/>
            </w:tcBorders>
            <w:vAlign w:val="center"/>
            <w:hideMark/>
          </w:tcPr>
          <w:p w14:paraId="1C06721F" w14:textId="77777777" w:rsidR="006431D8" w:rsidRPr="00FC3979" w:rsidRDefault="006431D8" w:rsidP="006431D8">
            <w:pPr>
              <w:rPr>
                <w:rFonts w:ascii="Arial" w:hAnsi="Arial" w:cs="Arial"/>
                <w:b/>
                <w:bCs/>
                <w:color w:val="000000"/>
                <w:sz w:val="20"/>
                <w:szCs w:val="20"/>
              </w:rPr>
            </w:pPr>
          </w:p>
        </w:tc>
        <w:tc>
          <w:tcPr>
            <w:tcW w:w="2039" w:type="dxa"/>
            <w:tcBorders>
              <w:top w:val="nil"/>
              <w:left w:val="single" w:sz="4" w:space="0" w:color="auto"/>
              <w:bottom w:val="nil"/>
              <w:right w:val="single" w:sz="4" w:space="0" w:color="auto"/>
            </w:tcBorders>
            <w:shd w:val="clear" w:color="000000" w:fill="FFFFFF"/>
            <w:vAlign w:val="center"/>
            <w:hideMark/>
          </w:tcPr>
          <w:p w14:paraId="3E54CC7B" w14:textId="77777777" w:rsidR="006431D8" w:rsidRPr="00FC3979" w:rsidRDefault="006431D8" w:rsidP="006431D8">
            <w:pPr>
              <w:rPr>
                <w:rFonts w:ascii="Arial" w:hAnsi="Arial" w:cs="Arial"/>
                <w:color w:val="000000"/>
                <w:sz w:val="20"/>
                <w:szCs w:val="20"/>
              </w:rPr>
            </w:pPr>
            <w:r w:rsidRPr="00FC3979">
              <w:rPr>
                <w:rFonts w:ascii="Arial" w:hAnsi="Arial" w:cs="Arial"/>
                <w:color w:val="000000"/>
                <w:sz w:val="20"/>
                <w:szCs w:val="20"/>
              </w:rPr>
              <w:t>Load Impact (MW)</w:t>
            </w:r>
          </w:p>
        </w:tc>
        <w:tc>
          <w:tcPr>
            <w:tcW w:w="2293" w:type="dxa"/>
            <w:tcBorders>
              <w:top w:val="nil"/>
              <w:left w:val="nil"/>
              <w:bottom w:val="nil"/>
              <w:right w:val="single" w:sz="4" w:space="0" w:color="auto"/>
            </w:tcBorders>
            <w:shd w:val="clear" w:color="auto" w:fill="auto"/>
            <w:vAlign w:val="center"/>
            <w:hideMark/>
          </w:tcPr>
          <w:p w14:paraId="56354D85" w14:textId="77777777" w:rsidR="006431D8" w:rsidRPr="00FC3979" w:rsidRDefault="006431D8" w:rsidP="006431D8">
            <w:pPr>
              <w:jc w:val="center"/>
              <w:rPr>
                <w:rFonts w:ascii="Arial" w:hAnsi="Arial" w:cs="Arial"/>
                <w:color w:val="000000"/>
                <w:sz w:val="20"/>
                <w:szCs w:val="20"/>
              </w:rPr>
            </w:pPr>
            <w:r w:rsidRPr="00FC3979">
              <w:rPr>
                <w:rFonts w:ascii="Arial" w:hAnsi="Arial" w:cs="Arial"/>
                <w:color w:val="000000"/>
                <w:sz w:val="20"/>
                <w:szCs w:val="20"/>
              </w:rPr>
              <w:t>2.5</w:t>
            </w:r>
          </w:p>
        </w:tc>
        <w:tc>
          <w:tcPr>
            <w:tcW w:w="2202" w:type="dxa"/>
            <w:tcBorders>
              <w:top w:val="nil"/>
              <w:left w:val="nil"/>
              <w:bottom w:val="nil"/>
              <w:right w:val="single" w:sz="4" w:space="0" w:color="auto"/>
            </w:tcBorders>
            <w:shd w:val="clear" w:color="auto" w:fill="auto"/>
            <w:vAlign w:val="center"/>
            <w:hideMark/>
          </w:tcPr>
          <w:p w14:paraId="55EBC20E" w14:textId="39E2B9D7" w:rsidR="006431D8" w:rsidRPr="00FC3979" w:rsidRDefault="006431D8" w:rsidP="006431D8">
            <w:pPr>
              <w:jc w:val="center"/>
              <w:rPr>
                <w:rFonts w:ascii="Arial" w:hAnsi="Arial" w:cs="Arial"/>
                <w:color w:val="000000"/>
                <w:sz w:val="20"/>
                <w:szCs w:val="20"/>
              </w:rPr>
            </w:pPr>
            <w:r>
              <w:rPr>
                <w:rFonts w:ascii="Arial" w:hAnsi="Arial" w:cs="Arial"/>
                <w:color w:val="000000"/>
                <w:sz w:val="20"/>
                <w:szCs w:val="20"/>
              </w:rPr>
              <w:t>1.3</w:t>
            </w:r>
          </w:p>
        </w:tc>
      </w:tr>
      <w:tr w:rsidR="006431D8" w:rsidRPr="00FC3979" w14:paraId="1B8D46E1" w14:textId="77777777" w:rsidTr="0086367A">
        <w:trPr>
          <w:trHeight w:val="230"/>
          <w:jc w:val="center"/>
        </w:trPr>
        <w:tc>
          <w:tcPr>
            <w:tcW w:w="1228" w:type="dxa"/>
            <w:vMerge/>
            <w:tcBorders>
              <w:top w:val="nil"/>
              <w:left w:val="single" w:sz="4" w:space="0" w:color="auto"/>
              <w:bottom w:val="single" w:sz="4" w:space="0" w:color="auto"/>
              <w:right w:val="nil"/>
            </w:tcBorders>
            <w:vAlign w:val="center"/>
            <w:hideMark/>
          </w:tcPr>
          <w:p w14:paraId="69AEB3F7" w14:textId="77777777" w:rsidR="006431D8" w:rsidRPr="00FC3979" w:rsidRDefault="006431D8" w:rsidP="006431D8">
            <w:pPr>
              <w:rPr>
                <w:rFonts w:ascii="Arial" w:hAnsi="Arial" w:cs="Arial"/>
                <w:b/>
                <w:bCs/>
                <w:color w:val="000000"/>
                <w:sz w:val="20"/>
                <w:szCs w:val="20"/>
              </w:rPr>
            </w:pPr>
          </w:p>
        </w:tc>
        <w:tc>
          <w:tcPr>
            <w:tcW w:w="2039" w:type="dxa"/>
            <w:tcBorders>
              <w:top w:val="nil"/>
              <w:left w:val="single" w:sz="4" w:space="0" w:color="auto"/>
              <w:bottom w:val="single" w:sz="4" w:space="0" w:color="auto"/>
              <w:right w:val="single" w:sz="4" w:space="0" w:color="auto"/>
            </w:tcBorders>
            <w:shd w:val="clear" w:color="000000" w:fill="FFFFFF"/>
            <w:vAlign w:val="center"/>
            <w:hideMark/>
          </w:tcPr>
          <w:p w14:paraId="6E3B03D0" w14:textId="77777777" w:rsidR="006431D8" w:rsidRPr="00FC3979" w:rsidRDefault="006431D8" w:rsidP="006431D8">
            <w:pPr>
              <w:rPr>
                <w:rFonts w:ascii="Arial" w:hAnsi="Arial" w:cs="Arial"/>
                <w:color w:val="000000"/>
                <w:sz w:val="20"/>
                <w:szCs w:val="20"/>
              </w:rPr>
            </w:pPr>
            <w:r w:rsidRPr="00FC3979">
              <w:rPr>
                <w:rFonts w:ascii="Arial" w:hAnsi="Arial" w:cs="Arial"/>
                <w:color w:val="000000"/>
                <w:sz w:val="20"/>
                <w:szCs w:val="20"/>
              </w:rPr>
              <w:t>FSL (MW)</w:t>
            </w:r>
          </w:p>
        </w:tc>
        <w:tc>
          <w:tcPr>
            <w:tcW w:w="2293" w:type="dxa"/>
            <w:tcBorders>
              <w:top w:val="nil"/>
              <w:left w:val="nil"/>
              <w:bottom w:val="single" w:sz="4" w:space="0" w:color="auto"/>
              <w:right w:val="single" w:sz="4" w:space="0" w:color="auto"/>
            </w:tcBorders>
            <w:shd w:val="clear" w:color="auto" w:fill="auto"/>
            <w:vAlign w:val="center"/>
            <w:hideMark/>
          </w:tcPr>
          <w:p w14:paraId="690E30C8" w14:textId="77777777" w:rsidR="006431D8" w:rsidRPr="00FC3979" w:rsidRDefault="006431D8" w:rsidP="006431D8">
            <w:pPr>
              <w:jc w:val="center"/>
              <w:rPr>
                <w:rFonts w:ascii="Arial" w:hAnsi="Arial" w:cs="Arial"/>
                <w:color w:val="000000"/>
                <w:sz w:val="20"/>
                <w:szCs w:val="20"/>
              </w:rPr>
            </w:pPr>
            <w:r w:rsidRPr="00FC3979">
              <w:rPr>
                <w:rFonts w:ascii="Arial" w:hAnsi="Arial" w:cs="Arial"/>
                <w:color w:val="000000"/>
                <w:sz w:val="20"/>
                <w:szCs w:val="20"/>
              </w:rPr>
              <w:t>1.2</w:t>
            </w:r>
          </w:p>
        </w:tc>
        <w:tc>
          <w:tcPr>
            <w:tcW w:w="2202" w:type="dxa"/>
            <w:tcBorders>
              <w:top w:val="nil"/>
              <w:left w:val="nil"/>
              <w:bottom w:val="single" w:sz="4" w:space="0" w:color="auto"/>
              <w:right w:val="single" w:sz="4" w:space="0" w:color="auto"/>
            </w:tcBorders>
            <w:shd w:val="clear" w:color="auto" w:fill="auto"/>
            <w:vAlign w:val="center"/>
            <w:hideMark/>
          </w:tcPr>
          <w:p w14:paraId="607249FD" w14:textId="06E82C83" w:rsidR="006431D8" w:rsidRPr="00FC3979" w:rsidRDefault="006431D8" w:rsidP="006431D8">
            <w:pPr>
              <w:jc w:val="center"/>
              <w:rPr>
                <w:rFonts w:ascii="Arial" w:hAnsi="Arial" w:cs="Arial"/>
                <w:color w:val="000000"/>
                <w:sz w:val="20"/>
                <w:szCs w:val="20"/>
              </w:rPr>
            </w:pPr>
            <w:r>
              <w:rPr>
                <w:rFonts w:ascii="Arial" w:hAnsi="Arial" w:cs="Arial"/>
                <w:color w:val="000000"/>
                <w:sz w:val="20"/>
                <w:szCs w:val="20"/>
              </w:rPr>
              <w:t>1.4</w:t>
            </w:r>
          </w:p>
        </w:tc>
      </w:tr>
      <w:tr w:rsidR="005F61E2" w:rsidRPr="00FC3979" w14:paraId="4118C618" w14:textId="77777777" w:rsidTr="0086367A">
        <w:trPr>
          <w:trHeight w:val="230"/>
          <w:jc w:val="center"/>
        </w:trPr>
        <w:tc>
          <w:tcPr>
            <w:tcW w:w="1228" w:type="dxa"/>
            <w:vMerge w:val="restart"/>
            <w:tcBorders>
              <w:top w:val="nil"/>
              <w:left w:val="single" w:sz="4" w:space="0" w:color="auto"/>
              <w:bottom w:val="single" w:sz="4" w:space="0" w:color="auto"/>
              <w:right w:val="nil"/>
            </w:tcBorders>
            <w:shd w:val="clear" w:color="auto" w:fill="auto"/>
            <w:vAlign w:val="center"/>
            <w:hideMark/>
          </w:tcPr>
          <w:p w14:paraId="15E4E2A8" w14:textId="419B13C7" w:rsidR="005F61E2" w:rsidRPr="00FC3979" w:rsidRDefault="005F61E2" w:rsidP="005F61E2">
            <w:pPr>
              <w:rPr>
                <w:rFonts w:ascii="Arial" w:hAnsi="Arial" w:cs="Arial"/>
                <w:b/>
                <w:bCs/>
                <w:color w:val="000000"/>
                <w:sz w:val="20"/>
                <w:szCs w:val="20"/>
              </w:rPr>
            </w:pPr>
            <w:r w:rsidRPr="00FC3979">
              <w:rPr>
                <w:rFonts w:ascii="Arial" w:hAnsi="Arial" w:cs="Arial"/>
                <w:b/>
                <w:bCs/>
                <w:color w:val="000000"/>
                <w:sz w:val="20"/>
                <w:szCs w:val="20"/>
              </w:rPr>
              <w:t xml:space="preserve">Per </w:t>
            </w:r>
            <w:r w:rsidR="00DF5A48">
              <w:rPr>
                <w:rFonts w:ascii="Arial" w:hAnsi="Arial" w:cs="Arial"/>
                <w:b/>
                <w:bCs/>
                <w:color w:val="000000"/>
                <w:sz w:val="20"/>
                <w:szCs w:val="20"/>
              </w:rPr>
              <w:t>Customer</w:t>
            </w:r>
          </w:p>
        </w:tc>
        <w:tc>
          <w:tcPr>
            <w:tcW w:w="2039" w:type="dxa"/>
            <w:tcBorders>
              <w:top w:val="nil"/>
              <w:left w:val="single" w:sz="4" w:space="0" w:color="auto"/>
              <w:bottom w:val="nil"/>
              <w:right w:val="single" w:sz="4" w:space="0" w:color="auto"/>
            </w:tcBorders>
            <w:shd w:val="clear" w:color="000000" w:fill="FFFFFF"/>
            <w:vAlign w:val="center"/>
            <w:hideMark/>
          </w:tcPr>
          <w:p w14:paraId="08D8145C" w14:textId="77777777" w:rsidR="005F61E2" w:rsidRPr="00FC3979" w:rsidRDefault="005F61E2" w:rsidP="005F61E2">
            <w:pPr>
              <w:rPr>
                <w:rFonts w:ascii="Arial" w:hAnsi="Arial" w:cs="Arial"/>
                <w:color w:val="000000"/>
                <w:sz w:val="20"/>
                <w:szCs w:val="20"/>
              </w:rPr>
            </w:pPr>
            <w:r w:rsidRPr="00FC3979">
              <w:rPr>
                <w:rFonts w:ascii="Arial" w:hAnsi="Arial" w:cs="Arial"/>
                <w:color w:val="000000"/>
                <w:sz w:val="20"/>
                <w:szCs w:val="20"/>
              </w:rPr>
              <w:t>Reference (kW)</w:t>
            </w:r>
          </w:p>
        </w:tc>
        <w:tc>
          <w:tcPr>
            <w:tcW w:w="2293" w:type="dxa"/>
            <w:tcBorders>
              <w:top w:val="nil"/>
              <w:left w:val="nil"/>
              <w:bottom w:val="nil"/>
              <w:right w:val="single" w:sz="4" w:space="0" w:color="auto"/>
            </w:tcBorders>
            <w:shd w:val="clear" w:color="auto" w:fill="auto"/>
            <w:vAlign w:val="center"/>
            <w:hideMark/>
          </w:tcPr>
          <w:p w14:paraId="6491D247" w14:textId="77777777" w:rsidR="005F61E2" w:rsidRPr="00FC3979" w:rsidRDefault="005F61E2" w:rsidP="005F61E2">
            <w:pPr>
              <w:jc w:val="center"/>
              <w:rPr>
                <w:rFonts w:ascii="Arial" w:hAnsi="Arial" w:cs="Arial"/>
                <w:color w:val="000000"/>
                <w:sz w:val="20"/>
                <w:szCs w:val="20"/>
              </w:rPr>
            </w:pPr>
            <w:r w:rsidRPr="00FC3979">
              <w:rPr>
                <w:rFonts w:ascii="Arial" w:hAnsi="Arial" w:cs="Arial"/>
                <w:color w:val="000000"/>
                <w:sz w:val="20"/>
                <w:szCs w:val="20"/>
              </w:rPr>
              <w:t>596.5</w:t>
            </w:r>
          </w:p>
        </w:tc>
        <w:tc>
          <w:tcPr>
            <w:tcW w:w="2202" w:type="dxa"/>
            <w:tcBorders>
              <w:top w:val="nil"/>
              <w:left w:val="nil"/>
              <w:bottom w:val="nil"/>
              <w:right w:val="single" w:sz="4" w:space="0" w:color="auto"/>
            </w:tcBorders>
            <w:shd w:val="clear" w:color="auto" w:fill="auto"/>
            <w:vAlign w:val="center"/>
            <w:hideMark/>
          </w:tcPr>
          <w:p w14:paraId="493CEB39" w14:textId="59F82D63" w:rsidR="005F61E2" w:rsidRPr="00FC3979" w:rsidRDefault="005F61E2" w:rsidP="005F61E2">
            <w:pPr>
              <w:jc w:val="center"/>
              <w:rPr>
                <w:rFonts w:ascii="Arial" w:hAnsi="Arial" w:cs="Arial"/>
                <w:color w:val="000000"/>
                <w:sz w:val="20"/>
                <w:szCs w:val="20"/>
              </w:rPr>
            </w:pPr>
            <w:r>
              <w:rPr>
                <w:rFonts w:ascii="Arial" w:hAnsi="Arial" w:cs="Arial"/>
                <w:color w:val="000000"/>
                <w:sz w:val="20"/>
                <w:szCs w:val="20"/>
              </w:rPr>
              <w:t>340.7</w:t>
            </w:r>
          </w:p>
        </w:tc>
      </w:tr>
      <w:tr w:rsidR="005F61E2" w:rsidRPr="00FC3979" w14:paraId="51E725D3" w14:textId="77777777" w:rsidTr="0086367A">
        <w:trPr>
          <w:trHeight w:val="230"/>
          <w:jc w:val="center"/>
        </w:trPr>
        <w:tc>
          <w:tcPr>
            <w:tcW w:w="1228" w:type="dxa"/>
            <w:vMerge/>
            <w:tcBorders>
              <w:top w:val="nil"/>
              <w:left w:val="single" w:sz="4" w:space="0" w:color="auto"/>
              <w:bottom w:val="single" w:sz="4" w:space="0" w:color="auto"/>
              <w:right w:val="nil"/>
            </w:tcBorders>
            <w:vAlign w:val="center"/>
            <w:hideMark/>
          </w:tcPr>
          <w:p w14:paraId="6E745F22" w14:textId="77777777" w:rsidR="005F61E2" w:rsidRPr="00FC3979" w:rsidRDefault="005F61E2" w:rsidP="005F61E2">
            <w:pPr>
              <w:rPr>
                <w:rFonts w:ascii="Arial" w:hAnsi="Arial" w:cs="Arial"/>
                <w:b/>
                <w:bCs/>
                <w:color w:val="000000"/>
                <w:sz w:val="20"/>
                <w:szCs w:val="20"/>
              </w:rPr>
            </w:pPr>
          </w:p>
        </w:tc>
        <w:tc>
          <w:tcPr>
            <w:tcW w:w="2039" w:type="dxa"/>
            <w:tcBorders>
              <w:top w:val="nil"/>
              <w:left w:val="single" w:sz="4" w:space="0" w:color="auto"/>
              <w:bottom w:val="nil"/>
              <w:right w:val="single" w:sz="4" w:space="0" w:color="auto"/>
            </w:tcBorders>
            <w:shd w:val="clear" w:color="000000" w:fill="FFFFFF"/>
            <w:vAlign w:val="center"/>
            <w:hideMark/>
          </w:tcPr>
          <w:p w14:paraId="01728215" w14:textId="77777777" w:rsidR="005F61E2" w:rsidRPr="00FC3979" w:rsidRDefault="005F61E2" w:rsidP="005F61E2">
            <w:pPr>
              <w:rPr>
                <w:rFonts w:ascii="Arial" w:hAnsi="Arial" w:cs="Arial"/>
                <w:color w:val="000000"/>
                <w:sz w:val="20"/>
                <w:szCs w:val="20"/>
              </w:rPr>
            </w:pPr>
            <w:r w:rsidRPr="00FC3979">
              <w:rPr>
                <w:rFonts w:ascii="Arial" w:hAnsi="Arial" w:cs="Arial"/>
                <w:color w:val="000000"/>
                <w:sz w:val="20"/>
                <w:szCs w:val="20"/>
              </w:rPr>
              <w:t>Load Impact (kW)</w:t>
            </w:r>
          </w:p>
        </w:tc>
        <w:tc>
          <w:tcPr>
            <w:tcW w:w="2293" w:type="dxa"/>
            <w:tcBorders>
              <w:top w:val="nil"/>
              <w:left w:val="nil"/>
              <w:bottom w:val="nil"/>
              <w:right w:val="single" w:sz="4" w:space="0" w:color="auto"/>
            </w:tcBorders>
            <w:shd w:val="clear" w:color="auto" w:fill="auto"/>
            <w:vAlign w:val="center"/>
            <w:hideMark/>
          </w:tcPr>
          <w:p w14:paraId="20F5144E" w14:textId="77777777" w:rsidR="005F61E2" w:rsidRPr="00FC3979" w:rsidRDefault="005F61E2" w:rsidP="005F61E2">
            <w:pPr>
              <w:jc w:val="center"/>
              <w:rPr>
                <w:rFonts w:ascii="Arial" w:hAnsi="Arial" w:cs="Arial"/>
                <w:color w:val="000000"/>
                <w:sz w:val="20"/>
                <w:szCs w:val="20"/>
              </w:rPr>
            </w:pPr>
            <w:r w:rsidRPr="00FC3979">
              <w:rPr>
                <w:rFonts w:ascii="Arial" w:hAnsi="Arial" w:cs="Arial"/>
                <w:color w:val="000000"/>
                <w:sz w:val="20"/>
                <w:szCs w:val="20"/>
              </w:rPr>
              <w:t>423.8</w:t>
            </w:r>
          </w:p>
        </w:tc>
        <w:tc>
          <w:tcPr>
            <w:tcW w:w="2202" w:type="dxa"/>
            <w:tcBorders>
              <w:top w:val="nil"/>
              <w:left w:val="nil"/>
              <w:bottom w:val="nil"/>
              <w:right w:val="single" w:sz="4" w:space="0" w:color="auto"/>
            </w:tcBorders>
            <w:shd w:val="clear" w:color="auto" w:fill="auto"/>
            <w:vAlign w:val="center"/>
            <w:hideMark/>
          </w:tcPr>
          <w:p w14:paraId="7518C269" w14:textId="20F222CE" w:rsidR="005F61E2" w:rsidRPr="00FC3979" w:rsidRDefault="005F61E2" w:rsidP="005F61E2">
            <w:pPr>
              <w:jc w:val="center"/>
              <w:rPr>
                <w:rFonts w:ascii="Arial" w:hAnsi="Arial" w:cs="Arial"/>
                <w:color w:val="000000"/>
                <w:sz w:val="20"/>
                <w:szCs w:val="20"/>
              </w:rPr>
            </w:pPr>
            <w:r>
              <w:rPr>
                <w:rFonts w:ascii="Arial" w:hAnsi="Arial" w:cs="Arial"/>
                <w:color w:val="000000"/>
                <w:sz w:val="20"/>
                <w:szCs w:val="20"/>
              </w:rPr>
              <w:t>178.8</w:t>
            </w:r>
          </w:p>
        </w:tc>
      </w:tr>
      <w:tr w:rsidR="006431D8" w:rsidRPr="00FC3979" w14:paraId="33AD4395" w14:textId="77777777" w:rsidTr="0086367A">
        <w:trPr>
          <w:trHeight w:val="230"/>
          <w:jc w:val="center"/>
        </w:trPr>
        <w:tc>
          <w:tcPr>
            <w:tcW w:w="1228" w:type="dxa"/>
            <w:vMerge/>
            <w:tcBorders>
              <w:top w:val="nil"/>
              <w:left w:val="single" w:sz="4" w:space="0" w:color="auto"/>
              <w:bottom w:val="single" w:sz="4" w:space="0" w:color="auto"/>
              <w:right w:val="nil"/>
            </w:tcBorders>
            <w:vAlign w:val="center"/>
            <w:hideMark/>
          </w:tcPr>
          <w:p w14:paraId="2BA2F2A2" w14:textId="77777777" w:rsidR="006431D8" w:rsidRPr="00FC3979" w:rsidRDefault="006431D8" w:rsidP="006431D8">
            <w:pPr>
              <w:rPr>
                <w:rFonts w:ascii="Arial" w:hAnsi="Arial" w:cs="Arial"/>
                <w:b/>
                <w:bCs/>
                <w:color w:val="000000"/>
                <w:sz w:val="20"/>
                <w:szCs w:val="20"/>
              </w:rPr>
            </w:pPr>
          </w:p>
        </w:tc>
        <w:tc>
          <w:tcPr>
            <w:tcW w:w="2039" w:type="dxa"/>
            <w:tcBorders>
              <w:top w:val="nil"/>
              <w:left w:val="single" w:sz="4" w:space="0" w:color="auto"/>
              <w:bottom w:val="single" w:sz="4" w:space="0" w:color="auto"/>
              <w:right w:val="single" w:sz="4" w:space="0" w:color="auto"/>
            </w:tcBorders>
            <w:shd w:val="clear" w:color="000000" w:fill="FFFFFF"/>
            <w:vAlign w:val="center"/>
            <w:hideMark/>
          </w:tcPr>
          <w:p w14:paraId="254308AB" w14:textId="77777777" w:rsidR="006431D8" w:rsidRPr="00FC3979" w:rsidRDefault="006431D8" w:rsidP="006431D8">
            <w:pPr>
              <w:rPr>
                <w:rFonts w:ascii="Arial" w:hAnsi="Arial" w:cs="Arial"/>
                <w:color w:val="000000"/>
                <w:sz w:val="20"/>
                <w:szCs w:val="20"/>
              </w:rPr>
            </w:pPr>
            <w:r w:rsidRPr="00FC3979">
              <w:rPr>
                <w:rFonts w:ascii="Arial" w:hAnsi="Arial" w:cs="Arial"/>
                <w:color w:val="000000"/>
                <w:sz w:val="20"/>
                <w:szCs w:val="20"/>
              </w:rPr>
              <w:t>% Load Impact</w:t>
            </w:r>
          </w:p>
        </w:tc>
        <w:tc>
          <w:tcPr>
            <w:tcW w:w="2293" w:type="dxa"/>
            <w:tcBorders>
              <w:top w:val="nil"/>
              <w:left w:val="nil"/>
              <w:bottom w:val="single" w:sz="4" w:space="0" w:color="auto"/>
              <w:right w:val="single" w:sz="4" w:space="0" w:color="auto"/>
            </w:tcBorders>
            <w:shd w:val="clear" w:color="auto" w:fill="auto"/>
            <w:vAlign w:val="center"/>
            <w:hideMark/>
          </w:tcPr>
          <w:p w14:paraId="17B05D78" w14:textId="39AFF0B4" w:rsidR="006431D8" w:rsidRPr="00FC3979" w:rsidRDefault="006431D8" w:rsidP="006431D8">
            <w:pPr>
              <w:jc w:val="center"/>
              <w:rPr>
                <w:rFonts w:ascii="Arial" w:hAnsi="Arial" w:cs="Arial"/>
                <w:color w:val="000000"/>
                <w:sz w:val="20"/>
                <w:szCs w:val="20"/>
              </w:rPr>
            </w:pPr>
            <w:r w:rsidRPr="00FC3979">
              <w:rPr>
                <w:rFonts w:ascii="Arial" w:hAnsi="Arial" w:cs="Arial"/>
                <w:color w:val="000000"/>
                <w:sz w:val="20"/>
                <w:szCs w:val="20"/>
              </w:rPr>
              <w:t>71.</w:t>
            </w:r>
            <w:r w:rsidR="00936051">
              <w:rPr>
                <w:rFonts w:ascii="Arial" w:hAnsi="Arial" w:cs="Arial"/>
                <w:color w:val="000000"/>
                <w:sz w:val="20"/>
                <w:szCs w:val="20"/>
              </w:rPr>
              <w:t>1</w:t>
            </w:r>
            <w:r w:rsidRPr="00FC3979">
              <w:rPr>
                <w:rFonts w:ascii="Arial" w:hAnsi="Arial" w:cs="Arial"/>
                <w:color w:val="000000"/>
                <w:sz w:val="20"/>
                <w:szCs w:val="20"/>
              </w:rPr>
              <w:t>%</w:t>
            </w:r>
          </w:p>
        </w:tc>
        <w:tc>
          <w:tcPr>
            <w:tcW w:w="2202" w:type="dxa"/>
            <w:tcBorders>
              <w:top w:val="nil"/>
              <w:left w:val="nil"/>
              <w:bottom w:val="single" w:sz="4" w:space="0" w:color="auto"/>
              <w:right w:val="single" w:sz="4" w:space="0" w:color="auto"/>
            </w:tcBorders>
            <w:shd w:val="clear" w:color="auto" w:fill="auto"/>
            <w:vAlign w:val="center"/>
            <w:hideMark/>
          </w:tcPr>
          <w:p w14:paraId="63FE73CC" w14:textId="5C0E477B" w:rsidR="006431D8" w:rsidRPr="00FC3979" w:rsidRDefault="006431D8" w:rsidP="006431D8">
            <w:pPr>
              <w:jc w:val="center"/>
              <w:rPr>
                <w:rFonts w:ascii="Arial" w:hAnsi="Arial" w:cs="Arial"/>
                <w:color w:val="000000"/>
                <w:sz w:val="20"/>
                <w:szCs w:val="20"/>
              </w:rPr>
            </w:pPr>
            <w:r>
              <w:rPr>
                <w:rFonts w:ascii="Arial" w:hAnsi="Arial" w:cs="Arial"/>
                <w:color w:val="000000"/>
                <w:sz w:val="20"/>
                <w:szCs w:val="20"/>
              </w:rPr>
              <w:t>52.</w:t>
            </w:r>
            <w:r w:rsidR="00936051">
              <w:rPr>
                <w:rFonts w:ascii="Arial" w:hAnsi="Arial" w:cs="Arial"/>
                <w:color w:val="000000"/>
                <w:sz w:val="20"/>
                <w:szCs w:val="20"/>
              </w:rPr>
              <w:t>5</w:t>
            </w:r>
            <w:r>
              <w:rPr>
                <w:rFonts w:ascii="Arial" w:hAnsi="Arial" w:cs="Arial"/>
                <w:color w:val="000000"/>
                <w:sz w:val="20"/>
                <w:szCs w:val="20"/>
              </w:rPr>
              <w:t>%</w:t>
            </w:r>
          </w:p>
        </w:tc>
      </w:tr>
    </w:tbl>
    <w:p w14:paraId="71AAB25C" w14:textId="77777777" w:rsidR="00FC3979" w:rsidRDefault="00FC3979" w:rsidP="00FC3979">
      <w:pPr>
        <w:pStyle w:val="TableCaption"/>
        <w:keepNext/>
        <w:keepLines/>
      </w:pPr>
    </w:p>
    <w:p w14:paraId="7FF2FDD2" w14:textId="6594C246" w:rsidR="00834CE6" w:rsidRDefault="00C9343D" w:rsidP="00834CE6">
      <w:r>
        <w:t xml:space="preserve">Table 6.15 </w:t>
      </w:r>
      <w:r w:rsidR="00E96A4D">
        <w:t xml:space="preserve">below </w:t>
      </w:r>
      <w:r>
        <w:t xml:space="preserve">describes the factors that differ between the </w:t>
      </w:r>
      <w:r w:rsidRPr="00BA70FB">
        <w:rPr>
          <w:i/>
        </w:rPr>
        <w:t>ex</w:t>
      </w:r>
      <w:r w:rsidR="00BA70FB" w:rsidRPr="00BA70FB">
        <w:rPr>
          <w:i/>
        </w:rPr>
        <w:t>-</w:t>
      </w:r>
      <w:r w:rsidRPr="00BA70FB">
        <w:rPr>
          <w:i/>
        </w:rPr>
        <w:t>post</w:t>
      </w:r>
      <w:r>
        <w:t xml:space="preserve"> and </w:t>
      </w:r>
      <w:r w:rsidRPr="00BA70FB">
        <w:rPr>
          <w:i/>
        </w:rPr>
        <w:t>ex</w:t>
      </w:r>
      <w:r w:rsidR="00BA70FB" w:rsidRPr="00BA70FB">
        <w:rPr>
          <w:i/>
        </w:rPr>
        <w:t>-</w:t>
      </w:r>
      <w:r w:rsidRPr="00BA70FB">
        <w:rPr>
          <w:i/>
        </w:rPr>
        <w:t>ante</w:t>
      </w:r>
      <w:r>
        <w:t xml:space="preserve"> load impacts for S</w:t>
      </w:r>
      <w:r w:rsidR="00E96A4D">
        <w:t>DG&amp;E.</w:t>
      </w:r>
    </w:p>
    <w:p w14:paraId="28006444" w14:textId="77777777" w:rsidR="00834CE6" w:rsidRDefault="00834CE6" w:rsidP="00834CE6"/>
    <w:p w14:paraId="648B5C82" w14:textId="37899C3E" w:rsidR="00016824" w:rsidRPr="007D611C" w:rsidRDefault="00412726" w:rsidP="00834CE6">
      <w:r w:rsidRPr="007D611C">
        <w:t xml:space="preserve">The </w:t>
      </w:r>
      <w:r w:rsidRPr="007D611C">
        <w:rPr>
          <w:i/>
        </w:rPr>
        <w:t>ex</w:t>
      </w:r>
      <w:r w:rsidR="00BA70FB" w:rsidRPr="007D611C">
        <w:rPr>
          <w:i/>
        </w:rPr>
        <w:t>-</w:t>
      </w:r>
      <w:r w:rsidRPr="007D611C">
        <w:rPr>
          <w:i/>
        </w:rPr>
        <w:t>ante</w:t>
      </w:r>
      <w:r w:rsidRPr="007D611C">
        <w:t xml:space="preserve"> forecast is based on the </w:t>
      </w:r>
      <w:r w:rsidRPr="007D611C">
        <w:rPr>
          <w:i/>
        </w:rPr>
        <w:t>ex</w:t>
      </w:r>
      <w:r w:rsidR="00BA70FB" w:rsidRPr="007D611C">
        <w:rPr>
          <w:i/>
        </w:rPr>
        <w:t>-</w:t>
      </w:r>
      <w:r w:rsidRPr="007D611C">
        <w:rPr>
          <w:i/>
        </w:rPr>
        <w:t>post</w:t>
      </w:r>
      <w:r w:rsidRPr="007D611C">
        <w:t xml:space="preserve"> </w:t>
      </w:r>
      <w:r w:rsidR="00936051">
        <w:t xml:space="preserve">FSL </w:t>
      </w:r>
      <w:r w:rsidRPr="007D611C">
        <w:t>achievement (</w:t>
      </w:r>
      <w:r w:rsidRPr="007D611C">
        <w:rPr>
          <w:i/>
        </w:rPr>
        <w:t>i.e.</w:t>
      </w:r>
      <w:r w:rsidRPr="007D611C">
        <w:t>, observed loads) relative to the FSL du</w:t>
      </w:r>
      <w:r w:rsidR="00E13FBC" w:rsidRPr="007D611C">
        <w:t xml:space="preserve">ring event hours. </w:t>
      </w:r>
      <w:r w:rsidR="007E3F23" w:rsidRPr="0086367A">
        <w:t>I</w:t>
      </w:r>
      <w:r w:rsidR="00E13FBC" w:rsidRPr="0086367A">
        <w:t xml:space="preserve">n terms of achievement relative to the FSL, </w:t>
      </w:r>
      <w:r w:rsidRPr="0086367A">
        <w:t xml:space="preserve">the </w:t>
      </w:r>
      <w:r w:rsidRPr="0086367A">
        <w:rPr>
          <w:i/>
        </w:rPr>
        <w:t>ex</w:t>
      </w:r>
      <w:r w:rsidR="00BA70FB" w:rsidRPr="0086367A">
        <w:rPr>
          <w:i/>
        </w:rPr>
        <w:t>-</w:t>
      </w:r>
      <w:r w:rsidRPr="0086367A">
        <w:rPr>
          <w:i/>
        </w:rPr>
        <w:t>post</w:t>
      </w:r>
      <w:r w:rsidRPr="0086367A">
        <w:t xml:space="preserve"> and </w:t>
      </w:r>
      <w:r w:rsidRPr="0086367A">
        <w:rPr>
          <w:i/>
        </w:rPr>
        <w:t>ex</w:t>
      </w:r>
      <w:r w:rsidR="00BA70FB" w:rsidRPr="0086367A">
        <w:rPr>
          <w:i/>
        </w:rPr>
        <w:t>-</w:t>
      </w:r>
      <w:r w:rsidRPr="0086367A">
        <w:rPr>
          <w:i/>
        </w:rPr>
        <w:t>ante</w:t>
      </w:r>
      <w:r w:rsidRPr="0086367A">
        <w:t xml:space="preserve"> load impacts </w:t>
      </w:r>
      <w:r w:rsidR="00E13FBC" w:rsidRPr="0086367A">
        <w:t xml:space="preserve">for the </w:t>
      </w:r>
      <w:r w:rsidR="005F61E2" w:rsidRPr="0086367A">
        <w:t xml:space="preserve">six </w:t>
      </w:r>
      <w:r w:rsidR="00E13FBC" w:rsidRPr="0086367A">
        <w:t xml:space="preserve">continuing customers </w:t>
      </w:r>
      <w:r w:rsidRPr="0086367A">
        <w:t>match</w:t>
      </w:r>
      <w:r w:rsidR="00BA70FB" w:rsidRPr="0086367A">
        <w:t xml:space="preserve"> </w:t>
      </w:r>
      <w:r w:rsidR="00E13FBC" w:rsidRPr="0086367A">
        <w:t>by design</w:t>
      </w:r>
      <w:r w:rsidRPr="0086367A">
        <w:t>.</w:t>
      </w:r>
      <w:r w:rsidRPr="007D611C">
        <w:t xml:space="preserve"> </w:t>
      </w:r>
      <w:r w:rsidR="00BF7FBB" w:rsidRPr="007D611C">
        <w:t>However,</w:t>
      </w:r>
      <w:r w:rsidR="00E13FBC" w:rsidRPr="007D611C">
        <w:t xml:space="preserve"> the forecast reference loads may differ</w:t>
      </w:r>
      <w:r w:rsidR="00BF7FBB" w:rsidRPr="007D611C">
        <w:t xml:space="preserve"> </w:t>
      </w:r>
      <w:r w:rsidR="00E13FBC" w:rsidRPr="007D611C">
        <w:t xml:space="preserve">from the </w:t>
      </w:r>
      <w:r w:rsidR="00E13FBC" w:rsidRPr="00936051">
        <w:rPr>
          <w:i/>
        </w:rPr>
        <w:t>ex-post</w:t>
      </w:r>
      <w:r w:rsidR="00E13FBC" w:rsidRPr="007D611C">
        <w:t xml:space="preserve"> </w:t>
      </w:r>
      <w:r w:rsidR="00986CA8" w:rsidRPr="007D611C">
        <w:t xml:space="preserve">event-hour </w:t>
      </w:r>
      <w:r w:rsidR="00E13FBC" w:rsidRPr="007D611C">
        <w:t>reference loads</w:t>
      </w:r>
      <w:r w:rsidR="00986CA8" w:rsidRPr="007D611C">
        <w:t xml:space="preserve"> for various reasons. </w:t>
      </w:r>
      <w:r w:rsidR="00DD43CA" w:rsidRPr="007D611C">
        <w:t xml:space="preserve">For instance, </w:t>
      </w:r>
      <w:r w:rsidR="00016824" w:rsidRPr="007D611C">
        <w:t xml:space="preserve">forecast reference loads are lower partly due to </w:t>
      </w:r>
      <w:r w:rsidR="00DD43CA" w:rsidRPr="007D611C">
        <w:t xml:space="preserve">a difference in event windows, as the historical event </w:t>
      </w:r>
      <w:r w:rsidR="00936051">
        <w:t xml:space="preserve">was earlier than the </w:t>
      </w:r>
      <w:r w:rsidR="00936051" w:rsidRPr="00936051">
        <w:rPr>
          <w:i/>
        </w:rPr>
        <w:t>ex-ante</w:t>
      </w:r>
      <w:r w:rsidR="00936051">
        <w:t xml:space="preserve"> event window (hours-ending 12 to 15 vs. 14 to 18, respectively). The later </w:t>
      </w:r>
      <w:r w:rsidR="00936051" w:rsidRPr="00936051">
        <w:rPr>
          <w:i/>
        </w:rPr>
        <w:t>ex-ante</w:t>
      </w:r>
      <w:r w:rsidR="00936051">
        <w:t xml:space="preserve"> window </w:t>
      </w:r>
      <w:r w:rsidR="00DD43CA" w:rsidRPr="007D611C">
        <w:t xml:space="preserve">includes </w:t>
      </w:r>
      <w:r w:rsidR="00936051">
        <w:t xml:space="preserve">hours with </w:t>
      </w:r>
      <w:r w:rsidR="00DD43CA" w:rsidRPr="007D611C">
        <w:t>relatively low loads</w:t>
      </w:r>
      <w:r w:rsidR="00936051">
        <w:t>, which reduces the load impact because the FSL does not change across hours</w:t>
      </w:r>
      <w:r w:rsidR="00DD43CA" w:rsidRPr="007D611C">
        <w:t xml:space="preserve">. </w:t>
      </w:r>
    </w:p>
    <w:p w14:paraId="192041F5" w14:textId="52D82341" w:rsidR="006F6D54" w:rsidRDefault="006F6D54" w:rsidP="00DA4753"/>
    <w:p w14:paraId="588EAD74" w14:textId="77777777" w:rsidR="00DA4753" w:rsidRDefault="00DA4753" w:rsidP="00DA4753"/>
    <w:p w14:paraId="74A12D07" w14:textId="1EB5A442" w:rsidR="00DA4753" w:rsidRPr="008E5D4C" w:rsidRDefault="00DA4753" w:rsidP="00DA4753">
      <w:pPr>
        <w:pStyle w:val="TableCaption"/>
        <w:keepNext/>
        <w:keepLines/>
      </w:pPr>
      <w:bookmarkStart w:id="257" w:name="_Toc383598027"/>
      <w:bookmarkStart w:id="258" w:name="_Toc508800246"/>
      <w:r w:rsidRPr="00936051">
        <w:lastRenderedPageBreak/>
        <w:t>Table 6.1</w:t>
      </w:r>
      <w:r w:rsidR="00C9343D" w:rsidRPr="00936051">
        <w:t>5</w:t>
      </w:r>
      <w:r w:rsidRPr="00936051">
        <w:t>: SDG&amp;E B</w:t>
      </w:r>
      <w:r w:rsidR="00E70197" w:rsidRPr="00936051">
        <w:t>I</w:t>
      </w:r>
      <w:r w:rsidRPr="00936051">
        <w:t xml:space="preserve">P </w:t>
      </w:r>
      <w:r w:rsidRPr="00936051">
        <w:rPr>
          <w:i/>
        </w:rPr>
        <w:t>Ex</w:t>
      </w:r>
      <w:r w:rsidR="00BF7FBB" w:rsidRPr="00936051">
        <w:rPr>
          <w:i/>
        </w:rPr>
        <w:t>-p</w:t>
      </w:r>
      <w:r w:rsidRPr="00936051">
        <w:rPr>
          <w:i/>
        </w:rPr>
        <w:t>ost</w:t>
      </w:r>
      <w:r w:rsidRPr="00936051">
        <w:t xml:space="preserve"> versus </w:t>
      </w:r>
      <w:r w:rsidRPr="00936051">
        <w:rPr>
          <w:i/>
        </w:rPr>
        <w:t>Ex</w:t>
      </w:r>
      <w:r w:rsidR="00BF7FBB" w:rsidRPr="00936051">
        <w:rPr>
          <w:i/>
        </w:rPr>
        <w:t>-a</w:t>
      </w:r>
      <w:r w:rsidRPr="00936051">
        <w:rPr>
          <w:i/>
        </w:rPr>
        <w:t>nte</w:t>
      </w:r>
      <w:r w:rsidRPr="00936051">
        <w:t xml:space="preserve"> Factors</w:t>
      </w:r>
      <w:bookmarkEnd w:id="257"/>
      <w:r w:rsidR="00E70197" w:rsidRPr="00936051">
        <w:t>, Typical Event Day</w:t>
      </w:r>
      <w:bookmarkEnd w:id="258"/>
    </w:p>
    <w:tbl>
      <w:tblPr>
        <w:tblW w:w="9452" w:type="dxa"/>
        <w:jc w:val="center"/>
        <w:tblLook w:val="04A0" w:firstRow="1" w:lastRow="0" w:firstColumn="1" w:lastColumn="0" w:noHBand="0" w:noVBand="1"/>
      </w:tblPr>
      <w:tblGrid>
        <w:gridCol w:w="1518"/>
        <w:gridCol w:w="2488"/>
        <w:gridCol w:w="2430"/>
        <w:gridCol w:w="3016"/>
      </w:tblGrid>
      <w:tr w:rsidR="00DA4753" w:rsidRPr="008E5D4C" w14:paraId="6B04EA8B" w14:textId="77777777" w:rsidTr="00ED3E97">
        <w:trPr>
          <w:trHeight w:val="510"/>
          <w:jc w:val="center"/>
        </w:trPr>
        <w:tc>
          <w:tcPr>
            <w:tcW w:w="1518" w:type="dxa"/>
            <w:tcBorders>
              <w:top w:val="single" w:sz="4" w:space="0" w:color="auto"/>
              <w:left w:val="single" w:sz="4" w:space="0" w:color="auto"/>
              <w:bottom w:val="single" w:sz="4" w:space="0" w:color="auto"/>
              <w:right w:val="single" w:sz="4" w:space="0" w:color="FFFFFF" w:themeColor="background1"/>
            </w:tcBorders>
            <w:shd w:val="clear" w:color="auto" w:fill="0C2577"/>
            <w:vAlign w:val="center"/>
            <w:hideMark/>
          </w:tcPr>
          <w:p w14:paraId="66496957" w14:textId="77777777" w:rsidR="00DA4753" w:rsidRPr="008E5D4C" w:rsidRDefault="00DA4753" w:rsidP="00DA4753">
            <w:pPr>
              <w:pStyle w:val="TableHeader"/>
              <w:keepNext/>
              <w:keepLines/>
              <w:rPr>
                <w:color w:val="auto"/>
                <w:szCs w:val="20"/>
              </w:rPr>
            </w:pPr>
            <w:r w:rsidRPr="008E5D4C">
              <w:rPr>
                <w:color w:val="auto"/>
                <w:szCs w:val="20"/>
              </w:rPr>
              <w:t>Factor</w:t>
            </w:r>
          </w:p>
        </w:tc>
        <w:tc>
          <w:tcPr>
            <w:tcW w:w="2488"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C2577"/>
            <w:vAlign w:val="center"/>
            <w:hideMark/>
          </w:tcPr>
          <w:p w14:paraId="295B1BED" w14:textId="66137B0F" w:rsidR="00DA4753" w:rsidRPr="00BF7FBB" w:rsidRDefault="00DA4753" w:rsidP="00BF7FBB">
            <w:pPr>
              <w:pStyle w:val="TableHeader"/>
              <w:keepNext/>
              <w:keepLines/>
              <w:rPr>
                <w:i/>
                <w:color w:val="auto"/>
                <w:szCs w:val="20"/>
              </w:rPr>
            </w:pPr>
            <w:r w:rsidRPr="00BF7FBB">
              <w:rPr>
                <w:i/>
                <w:color w:val="auto"/>
                <w:szCs w:val="20"/>
              </w:rPr>
              <w:t>Ex</w:t>
            </w:r>
            <w:r w:rsidR="00BF7FBB" w:rsidRPr="00BF7FBB">
              <w:rPr>
                <w:i/>
                <w:color w:val="auto"/>
                <w:szCs w:val="20"/>
              </w:rPr>
              <w:t>-p</w:t>
            </w:r>
            <w:r w:rsidRPr="00BF7FBB">
              <w:rPr>
                <w:i/>
                <w:color w:val="auto"/>
                <w:szCs w:val="20"/>
              </w:rPr>
              <w:t>ost</w:t>
            </w:r>
          </w:p>
        </w:tc>
        <w:tc>
          <w:tcPr>
            <w:tcW w:w="2430"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C2577"/>
            <w:vAlign w:val="center"/>
            <w:hideMark/>
          </w:tcPr>
          <w:p w14:paraId="274B2D77" w14:textId="154AD86B" w:rsidR="00DA4753" w:rsidRPr="00BF7FBB" w:rsidRDefault="00DA4753" w:rsidP="00BF7FBB">
            <w:pPr>
              <w:pStyle w:val="TableHeader"/>
              <w:keepNext/>
              <w:keepLines/>
              <w:rPr>
                <w:i/>
                <w:color w:val="auto"/>
                <w:szCs w:val="20"/>
              </w:rPr>
            </w:pPr>
            <w:r w:rsidRPr="00BF7FBB">
              <w:rPr>
                <w:i/>
                <w:color w:val="auto"/>
                <w:szCs w:val="20"/>
              </w:rPr>
              <w:t>Ex</w:t>
            </w:r>
            <w:r w:rsidR="00BF7FBB" w:rsidRPr="00BF7FBB">
              <w:rPr>
                <w:i/>
                <w:color w:val="auto"/>
                <w:szCs w:val="20"/>
              </w:rPr>
              <w:t>-a</w:t>
            </w:r>
            <w:r w:rsidRPr="00BF7FBB">
              <w:rPr>
                <w:i/>
                <w:color w:val="auto"/>
                <w:szCs w:val="20"/>
              </w:rPr>
              <w:t>nte</w:t>
            </w:r>
          </w:p>
        </w:tc>
        <w:tc>
          <w:tcPr>
            <w:tcW w:w="3016" w:type="dxa"/>
            <w:tcBorders>
              <w:top w:val="single" w:sz="4" w:space="0" w:color="auto"/>
              <w:left w:val="single" w:sz="4" w:space="0" w:color="FFFFFF" w:themeColor="background1"/>
              <w:bottom w:val="single" w:sz="4" w:space="0" w:color="auto"/>
              <w:right w:val="single" w:sz="4" w:space="0" w:color="auto"/>
            </w:tcBorders>
            <w:shd w:val="clear" w:color="auto" w:fill="0C2577"/>
            <w:vAlign w:val="center"/>
            <w:hideMark/>
          </w:tcPr>
          <w:p w14:paraId="0A1BE3F5" w14:textId="77777777" w:rsidR="00DA4753" w:rsidRPr="008E5D4C" w:rsidRDefault="00DA4753" w:rsidP="00DA4753">
            <w:pPr>
              <w:pStyle w:val="TableHeader"/>
              <w:keepNext/>
              <w:keepLines/>
              <w:rPr>
                <w:color w:val="auto"/>
                <w:szCs w:val="20"/>
              </w:rPr>
            </w:pPr>
            <w:r w:rsidRPr="008E5D4C">
              <w:rPr>
                <w:color w:val="auto"/>
                <w:szCs w:val="20"/>
              </w:rPr>
              <w:t>Expected Impact</w:t>
            </w:r>
          </w:p>
        </w:tc>
      </w:tr>
      <w:tr w:rsidR="00DA4753" w:rsidRPr="007F356D" w14:paraId="3EB2F7C2" w14:textId="77777777" w:rsidTr="00F63767">
        <w:trPr>
          <w:trHeight w:val="300"/>
          <w:jc w:val="center"/>
        </w:trPr>
        <w:tc>
          <w:tcPr>
            <w:tcW w:w="1518" w:type="dxa"/>
            <w:tcBorders>
              <w:top w:val="single" w:sz="4" w:space="0" w:color="auto"/>
              <w:left w:val="single" w:sz="4" w:space="0" w:color="auto"/>
              <w:bottom w:val="single" w:sz="4" w:space="0" w:color="auto"/>
              <w:right w:val="single" w:sz="4" w:space="0" w:color="auto"/>
            </w:tcBorders>
            <w:shd w:val="clear" w:color="auto" w:fill="auto"/>
            <w:noWrap/>
            <w:hideMark/>
          </w:tcPr>
          <w:p w14:paraId="36A6CDB5" w14:textId="77777777" w:rsidR="00DA4753" w:rsidRPr="008E5D4C" w:rsidRDefault="00DA4753" w:rsidP="00DA4753">
            <w:pPr>
              <w:pStyle w:val="TableText"/>
              <w:keepNext/>
              <w:keepLines/>
              <w:jc w:val="left"/>
              <w:rPr>
                <w:sz w:val="20"/>
                <w:szCs w:val="20"/>
              </w:rPr>
            </w:pPr>
            <w:r w:rsidRPr="008E5D4C">
              <w:rPr>
                <w:sz w:val="20"/>
                <w:szCs w:val="20"/>
              </w:rPr>
              <w:t>Weather</w:t>
            </w:r>
          </w:p>
        </w:tc>
        <w:tc>
          <w:tcPr>
            <w:tcW w:w="2488" w:type="dxa"/>
            <w:tcBorders>
              <w:top w:val="single" w:sz="4" w:space="0" w:color="auto"/>
              <w:left w:val="nil"/>
              <w:bottom w:val="single" w:sz="4" w:space="0" w:color="auto"/>
              <w:right w:val="single" w:sz="4" w:space="0" w:color="auto"/>
            </w:tcBorders>
            <w:shd w:val="clear" w:color="auto" w:fill="auto"/>
            <w:noWrap/>
          </w:tcPr>
          <w:p w14:paraId="382E724B" w14:textId="643AB9FD" w:rsidR="00DA4753" w:rsidRPr="008E5D4C" w:rsidRDefault="007E3F23" w:rsidP="00EC336D">
            <w:pPr>
              <w:pStyle w:val="TableText"/>
              <w:keepNext/>
              <w:keepLines/>
              <w:spacing w:after="120"/>
              <w:jc w:val="left"/>
              <w:rPr>
                <w:rFonts w:cs="Calibri"/>
                <w:sz w:val="20"/>
                <w:szCs w:val="20"/>
              </w:rPr>
            </w:pPr>
            <w:r>
              <w:rPr>
                <w:rFonts w:cs="Calibri"/>
                <w:sz w:val="20"/>
                <w:szCs w:val="20"/>
              </w:rPr>
              <w:t>93.9</w:t>
            </w:r>
            <w:r w:rsidR="00DA4753">
              <w:rPr>
                <w:rFonts w:cs="Calibri"/>
                <w:sz w:val="20"/>
                <w:szCs w:val="20"/>
              </w:rPr>
              <w:t xml:space="preserve"> degrees Fahrenheit during HE </w:t>
            </w:r>
            <w:r>
              <w:rPr>
                <w:rFonts w:cs="Calibri"/>
                <w:sz w:val="20"/>
                <w:szCs w:val="20"/>
              </w:rPr>
              <w:t>12</w:t>
            </w:r>
            <w:r w:rsidR="00936051">
              <w:rPr>
                <w:rFonts w:cs="Calibri"/>
                <w:sz w:val="20"/>
                <w:szCs w:val="20"/>
              </w:rPr>
              <w:t xml:space="preserve"> to </w:t>
            </w:r>
            <w:r>
              <w:rPr>
                <w:rFonts w:cs="Calibri"/>
                <w:sz w:val="20"/>
                <w:szCs w:val="20"/>
              </w:rPr>
              <w:t>15</w:t>
            </w:r>
            <w:r w:rsidR="00DA4753">
              <w:rPr>
                <w:rFonts w:cs="Calibri"/>
                <w:sz w:val="20"/>
                <w:szCs w:val="20"/>
              </w:rPr>
              <w:t xml:space="preserve"> on the </w:t>
            </w:r>
            <w:r w:rsidR="00EC336D">
              <w:rPr>
                <w:rFonts w:cs="Calibri"/>
                <w:sz w:val="20"/>
                <w:szCs w:val="20"/>
              </w:rPr>
              <w:t xml:space="preserve">August </w:t>
            </w:r>
            <w:r>
              <w:rPr>
                <w:rFonts w:cs="Calibri"/>
                <w:sz w:val="20"/>
                <w:szCs w:val="20"/>
              </w:rPr>
              <w:t>31</w:t>
            </w:r>
            <w:r w:rsidRPr="00936051">
              <w:rPr>
                <w:rFonts w:cs="Calibri"/>
                <w:sz w:val="20"/>
                <w:szCs w:val="20"/>
                <w:vertAlign w:val="superscript"/>
              </w:rPr>
              <w:t>st</w:t>
            </w:r>
            <w:r>
              <w:rPr>
                <w:rFonts w:cs="Calibri"/>
                <w:sz w:val="20"/>
                <w:szCs w:val="20"/>
              </w:rPr>
              <w:t xml:space="preserve"> </w:t>
            </w:r>
            <w:r w:rsidR="00DA4753">
              <w:rPr>
                <w:rFonts w:cs="Calibri"/>
                <w:sz w:val="20"/>
                <w:szCs w:val="20"/>
              </w:rPr>
              <w:t>event day</w:t>
            </w:r>
          </w:p>
        </w:tc>
        <w:tc>
          <w:tcPr>
            <w:tcW w:w="2430" w:type="dxa"/>
            <w:tcBorders>
              <w:top w:val="single" w:sz="4" w:space="0" w:color="auto"/>
              <w:left w:val="nil"/>
              <w:bottom w:val="single" w:sz="4" w:space="0" w:color="auto"/>
              <w:right w:val="single" w:sz="4" w:space="0" w:color="auto"/>
            </w:tcBorders>
            <w:shd w:val="clear" w:color="000000" w:fill="FFFFFF"/>
          </w:tcPr>
          <w:p w14:paraId="68E38368" w14:textId="7B4434C2" w:rsidR="00DA4753" w:rsidRPr="008E5D4C" w:rsidRDefault="007E3F23" w:rsidP="00C9343D">
            <w:pPr>
              <w:pStyle w:val="TableText"/>
              <w:keepNext/>
              <w:keepLines/>
              <w:jc w:val="left"/>
              <w:rPr>
                <w:sz w:val="20"/>
                <w:szCs w:val="20"/>
              </w:rPr>
            </w:pPr>
            <w:r>
              <w:rPr>
                <w:sz w:val="20"/>
                <w:szCs w:val="20"/>
              </w:rPr>
              <w:t>86.4</w:t>
            </w:r>
            <w:r w:rsidR="00DA4753" w:rsidRPr="00C9343D">
              <w:rPr>
                <w:rFonts w:cs="Calibri"/>
                <w:sz w:val="20"/>
                <w:szCs w:val="20"/>
              </w:rPr>
              <w:t xml:space="preserve"> degrees Fahrenheit during HE 14</w:t>
            </w:r>
            <w:r w:rsidR="00936051">
              <w:rPr>
                <w:rFonts w:cs="Calibri"/>
                <w:sz w:val="20"/>
                <w:szCs w:val="20"/>
              </w:rPr>
              <w:t xml:space="preserve"> to </w:t>
            </w:r>
            <w:r w:rsidR="00DA4753" w:rsidRPr="00C9343D">
              <w:rPr>
                <w:rFonts w:cs="Calibri"/>
                <w:sz w:val="20"/>
                <w:szCs w:val="20"/>
              </w:rPr>
              <w:t>1</w:t>
            </w:r>
            <w:r w:rsidR="00E70197" w:rsidRPr="00C9343D">
              <w:rPr>
                <w:rFonts w:cs="Calibri"/>
                <w:sz w:val="20"/>
                <w:szCs w:val="20"/>
              </w:rPr>
              <w:t>8</w:t>
            </w:r>
            <w:r w:rsidR="00DA4753" w:rsidRPr="00C9343D">
              <w:rPr>
                <w:rFonts w:cs="Calibri"/>
                <w:sz w:val="20"/>
                <w:szCs w:val="20"/>
              </w:rPr>
              <w:t xml:space="preserve"> on </w:t>
            </w:r>
            <w:r w:rsidR="00E70197" w:rsidRPr="00C9343D">
              <w:rPr>
                <w:rFonts w:cs="Calibri"/>
                <w:sz w:val="20"/>
                <w:szCs w:val="20"/>
              </w:rPr>
              <w:t xml:space="preserve">utility-specific </w:t>
            </w:r>
            <w:r w:rsidR="00DA4753" w:rsidRPr="00C9343D">
              <w:rPr>
                <w:rFonts w:cs="Calibri"/>
                <w:sz w:val="20"/>
                <w:szCs w:val="20"/>
              </w:rPr>
              <w:t xml:space="preserve">1-in-2 </w:t>
            </w:r>
            <w:r w:rsidR="00E70197" w:rsidRPr="00C9343D">
              <w:rPr>
                <w:rFonts w:cs="Calibri"/>
                <w:sz w:val="20"/>
                <w:szCs w:val="20"/>
              </w:rPr>
              <w:t>typical event</w:t>
            </w:r>
            <w:r w:rsidR="00DA4753" w:rsidRPr="00C9343D">
              <w:rPr>
                <w:rFonts w:cs="Calibri"/>
                <w:sz w:val="20"/>
                <w:szCs w:val="20"/>
              </w:rPr>
              <w:t xml:space="preserve"> day</w:t>
            </w:r>
          </w:p>
        </w:tc>
        <w:tc>
          <w:tcPr>
            <w:tcW w:w="3016" w:type="dxa"/>
            <w:tcBorders>
              <w:top w:val="single" w:sz="4" w:space="0" w:color="auto"/>
              <w:left w:val="nil"/>
              <w:bottom w:val="single" w:sz="4" w:space="0" w:color="auto"/>
              <w:right w:val="single" w:sz="4" w:space="0" w:color="auto"/>
            </w:tcBorders>
            <w:shd w:val="clear" w:color="000000" w:fill="FFFFFF"/>
          </w:tcPr>
          <w:p w14:paraId="7B3516A7" w14:textId="05629253" w:rsidR="00DA4753" w:rsidRPr="008E5D4C" w:rsidRDefault="00E70197" w:rsidP="00DA4753">
            <w:pPr>
              <w:pStyle w:val="TableText"/>
              <w:keepNext/>
              <w:keepLines/>
              <w:jc w:val="left"/>
              <w:rPr>
                <w:sz w:val="20"/>
                <w:szCs w:val="20"/>
              </w:rPr>
            </w:pPr>
            <w:r>
              <w:rPr>
                <w:sz w:val="20"/>
                <w:szCs w:val="20"/>
              </w:rPr>
              <w:t>Program load is not very weather sensitive</w:t>
            </w:r>
            <w:r w:rsidR="00DA4753">
              <w:rPr>
                <w:sz w:val="20"/>
                <w:szCs w:val="20"/>
              </w:rPr>
              <w:t>, so a small effect.</w:t>
            </w:r>
          </w:p>
        </w:tc>
      </w:tr>
      <w:tr w:rsidR="00DA4753" w:rsidRPr="007F356D" w14:paraId="5E87F766" w14:textId="77777777" w:rsidTr="0086367A">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72D7A750" w14:textId="77777777" w:rsidR="00DA4753" w:rsidRPr="008E5D4C" w:rsidRDefault="00DA4753" w:rsidP="00DA4753">
            <w:pPr>
              <w:pStyle w:val="TableText"/>
              <w:keepNext/>
              <w:keepLines/>
              <w:jc w:val="left"/>
              <w:rPr>
                <w:sz w:val="20"/>
                <w:szCs w:val="20"/>
              </w:rPr>
            </w:pPr>
            <w:r w:rsidRPr="008E5D4C">
              <w:rPr>
                <w:sz w:val="20"/>
                <w:szCs w:val="20"/>
              </w:rPr>
              <w:t>Event window</w:t>
            </w:r>
          </w:p>
        </w:tc>
        <w:tc>
          <w:tcPr>
            <w:tcW w:w="2488" w:type="dxa"/>
            <w:tcBorders>
              <w:top w:val="nil"/>
              <w:left w:val="nil"/>
              <w:bottom w:val="single" w:sz="4" w:space="0" w:color="auto"/>
              <w:right w:val="single" w:sz="4" w:space="0" w:color="auto"/>
            </w:tcBorders>
            <w:shd w:val="clear" w:color="auto" w:fill="auto"/>
            <w:noWrap/>
          </w:tcPr>
          <w:p w14:paraId="563AA019" w14:textId="08B115AE" w:rsidR="00DA4753" w:rsidRPr="008E5D4C" w:rsidRDefault="00DA4753" w:rsidP="00EC336D">
            <w:pPr>
              <w:pStyle w:val="TableText"/>
              <w:keepNext/>
              <w:keepLines/>
              <w:jc w:val="left"/>
              <w:rPr>
                <w:rFonts w:cs="Calibri"/>
                <w:sz w:val="20"/>
                <w:szCs w:val="20"/>
              </w:rPr>
            </w:pPr>
            <w:r>
              <w:rPr>
                <w:rFonts w:cs="Calibri"/>
                <w:sz w:val="20"/>
                <w:szCs w:val="20"/>
              </w:rPr>
              <w:t>HE 1</w:t>
            </w:r>
            <w:r w:rsidR="007E3F23">
              <w:rPr>
                <w:rFonts w:cs="Calibri"/>
                <w:sz w:val="20"/>
                <w:szCs w:val="20"/>
              </w:rPr>
              <w:t>2</w:t>
            </w:r>
            <w:r w:rsidR="00936051">
              <w:rPr>
                <w:rFonts w:cs="Calibri"/>
                <w:sz w:val="20"/>
                <w:szCs w:val="20"/>
              </w:rPr>
              <w:t xml:space="preserve"> to </w:t>
            </w:r>
            <w:r>
              <w:rPr>
                <w:rFonts w:cs="Calibri"/>
                <w:sz w:val="20"/>
                <w:szCs w:val="20"/>
              </w:rPr>
              <w:t>1</w:t>
            </w:r>
            <w:r w:rsidR="007E3F23">
              <w:rPr>
                <w:rFonts w:cs="Calibri"/>
                <w:sz w:val="20"/>
                <w:szCs w:val="20"/>
              </w:rPr>
              <w:t>5</w:t>
            </w:r>
          </w:p>
        </w:tc>
        <w:tc>
          <w:tcPr>
            <w:tcW w:w="2430" w:type="dxa"/>
            <w:tcBorders>
              <w:top w:val="nil"/>
              <w:left w:val="nil"/>
              <w:bottom w:val="single" w:sz="4" w:space="0" w:color="auto"/>
              <w:right w:val="single" w:sz="4" w:space="0" w:color="auto"/>
            </w:tcBorders>
            <w:shd w:val="clear" w:color="000000" w:fill="FFFFFF"/>
          </w:tcPr>
          <w:p w14:paraId="42E387EC" w14:textId="508BA950" w:rsidR="00DA4753" w:rsidRPr="008E5D4C" w:rsidRDefault="00DA4753" w:rsidP="00DA4753">
            <w:pPr>
              <w:pStyle w:val="TableText"/>
              <w:keepNext/>
              <w:keepLines/>
              <w:jc w:val="left"/>
              <w:rPr>
                <w:sz w:val="20"/>
                <w:szCs w:val="20"/>
              </w:rPr>
            </w:pPr>
            <w:r>
              <w:rPr>
                <w:sz w:val="20"/>
                <w:szCs w:val="20"/>
              </w:rPr>
              <w:t>HE 14</w:t>
            </w:r>
            <w:r w:rsidR="00936051">
              <w:rPr>
                <w:sz w:val="20"/>
                <w:szCs w:val="20"/>
              </w:rPr>
              <w:t xml:space="preserve"> to </w:t>
            </w:r>
            <w:r>
              <w:rPr>
                <w:sz w:val="20"/>
                <w:szCs w:val="20"/>
              </w:rPr>
              <w:t>18 in Apr-Oct</w:t>
            </w:r>
            <w:r w:rsidR="006F6D54">
              <w:rPr>
                <w:sz w:val="20"/>
                <w:szCs w:val="20"/>
              </w:rPr>
              <w:t>.</w:t>
            </w:r>
          </w:p>
        </w:tc>
        <w:tc>
          <w:tcPr>
            <w:tcW w:w="3016" w:type="dxa"/>
            <w:tcBorders>
              <w:top w:val="nil"/>
              <w:left w:val="nil"/>
              <w:bottom w:val="single" w:sz="4" w:space="0" w:color="auto"/>
              <w:right w:val="single" w:sz="4" w:space="0" w:color="auto"/>
            </w:tcBorders>
            <w:shd w:val="clear" w:color="auto" w:fill="auto"/>
          </w:tcPr>
          <w:p w14:paraId="2DE2529C" w14:textId="6AC3CA17" w:rsidR="00DA4753" w:rsidRPr="008E5D4C" w:rsidRDefault="00E70197" w:rsidP="005F7C50">
            <w:pPr>
              <w:pStyle w:val="TableText"/>
              <w:keepNext/>
              <w:keepLines/>
              <w:jc w:val="left"/>
              <w:rPr>
                <w:sz w:val="20"/>
                <w:szCs w:val="20"/>
              </w:rPr>
            </w:pPr>
            <w:r>
              <w:rPr>
                <w:sz w:val="20"/>
                <w:szCs w:val="20"/>
              </w:rPr>
              <w:t xml:space="preserve">Reference loads are </w:t>
            </w:r>
            <w:r w:rsidR="00F63767">
              <w:rPr>
                <w:sz w:val="20"/>
                <w:szCs w:val="20"/>
              </w:rPr>
              <w:t xml:space="preserve">substantially lower by </w:t>
            </w:r>
            <w:r w:rsidR="007E3F23">
              <w:rPr>
                <w:sz w:val="20"/>
                <w:szCs w:val="20"/>
              </w:rPr>
              <w:t>4</w:t>
            </w:r>
            <w:r w:rsidR="005F7C50">
              <w:rPr>
                <w:sz w:val="20"/>
                <w:szCs w:val="20"/>
              </w:rPr>
              <w:t xml:space="preserve"> </w:t>
            </w:r>
            <w:r w:rsidR="00F63767">
              <w:rPr>
                <w:sz w:val="20"/>
                <w:szCs w:val="20"/>
              </w:rPr>
              <w:t>p</w:t>
            </w:r>
            <w:r w:rsidR="005F7C50">
              <w:rPr>
                <w:sz w:val="20"/>
                <w:szCs w:val="20"/>
              </w:rPr>
              <w:t>.</w:t>
            </w:r>
            <w:r w:rsidR="00F63767">
              <w:rPr>
                <w:sz w:val="20"/>
                <w:szCs w:val="20"/>
              </w:rPr>
              <w:t>m</w:t>
            </w:r>
            <w:r w:rsidR="005F7C50">
              <w:rPr>
                <w:sz w:val="20"/>
                <w:szCs w:val="20"/>
              </w:rPr>
              <w:t>.</w:t>
            </w:r>
            <w:r w:rsidR="00F63767">
              <w:rPr>
                <w:sz w:val="20"/>
                <w:szCs w:val="20"/>
              </w:rPr>
              <w:t xml:space="preserve"> relative to earlier</w:t>
            </w:r>
            <w:r>
              <w:rPr>
                <w:sz w:val="20"/>
                <w:szCs w:val="20"/>
              </w:rPr>
              <w:t xml:space="preserve"> in the day, </w:t>
            </w:r>
            <w:r w:rsidR="00F63767">
              <w:rPr>
                <w:sz w:val="20"/>
                <w:szCs w:val="20"/>
              </w:rPr>
              <w:t>so the inclusion of hour</w:t>
            </w:r>
            <w:r w:rsidR="005F7C50">
              <w:rPr>
                <w:sz w:val="20"/>
                <w:szCs w:val="20"/>
              </w:rPr>
              <w:t>-ending</w:t>
            </w:r>
            <w:r w:rsidR="007E3F23">
              <w:rPr>
                <w:sz w:val="20"/>
                <w:szCs w:val="20"/>
              </w:rPr>
              <w:t xml:space="preserve"> 17 and</w:t>
            </w:r>
            <w:r w:rsidR="00F63767">
              <w:rPr>
                <w:sz w:val="20"/>
                <w:szCs w:val="20"/>
              </w:rPr>
              <w:t xml:space="preserve"> 18 tends to drag down the average </w:t>
            </w:r>
            <w:r w:rsidR="00F63767" w:rsidRPr="005F7C50">
              <w:rPr>
                <w:i/>
                <w:sz w:val="20"/>
                <w:szCs w:val="20"/>
              </w:rPr>
              <w:t>ex</w:t>
            </w:r>
            <w:r w:rsidR="005F7C50" w:rsidRPr="005F7C50">
              <w:rPr>
                <w:i/>
                <w:sz w:val="20"/>
                <w:szCs w:val="20"/>
              </w:rPr>
              <w:t>-</w:t>
            </w:r>
            <w:r w:rsidR="00F63767" w:rsidRPr="005F7C50">
              <w:rPr>
                <w:i/>
                <w:sz w:val="20"/>
                <w:szCs w:val="20"/>
              </w:rPr>
              <w:t>ante</w:t>
            </w:r>
            <w:r>
              <w:rPr>
                <w:sz w:val="20"/>
                <w:szCs w:val="20"/>
              </w:rPr>
              <w:t xml:space="preserve"> </w:t>
            </w:r>
            <w:r w:rsidR="00F63767">
              <w:rPr>
                <w:sz w:val="20"/>
                <w:szCs w:val="20"/>
              </w:rPr>
              <w:t xml:space="preserve">reference loads and </w:t>
            </w:r>
            <w:r>
              <w:rPr>
                <w:sz w:val="20"/>
                <w:szCs w:val="20"/>
              </w:rPr>
              <w:t>load impacts</w:t>
            </w:r>
            <w:r w:rsidR="00F63767">
              <w:rPr>
                <w:sz w:val="20"/>
                <w:szCs w:val="20"/>
              </w:rPr>
              <w:t xml:space="preserve"> relative to </w:t>
            </w:r>
            <w:r w:rsidR="00F63767" w:rsidRPr="005F7C50">
              <w:rPr>
                <w:i/>
                <w:sz w:val="20"/>
                <w:szCs w:val="20"/>
              </w:rPr>
              <w:t>ex</w:t>
            </w:r>
            <w:r w:rsidR="005F7C50" w:rsidRPr="005F7C50">
              <w:rPr>
                <w:i/>
                <w:sz w:val="20"/>
                <w:szCs w:val="20"/>
              </w:rPr>
              <w:t>-</w:t>
            </w:r>
            <w:r w:rsidR="00F63767" w:rsidRPr="005F7C50">
              <w:rPr>
                <w:i/>
                <w:sz w:val="20"/>
                <w:szCs w:val="20"/>
              </w:rPr>
              <w:t>post</w:t>
            </w:r>
            <w:r>
              <w:rPr>
                <w:sz w:val="20"/>
                <w:szCs w:val="20"/>
              </w:rPr>
              <w:t>.</w:t>
            </w:r>
          </w:p>
        </w:tc>
      </w:tr>
      <w:tr w:rsidR="00DA4753" w:rsidRPr="007F356D" w14:paraId="1ABA99A8" w14:textId="77777777" w:rsidTr="0086367A">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212ADDE5" w14:textId="77777777" w:rsidR="00DA4753" w:rsidRPr="008E5D4C" w:rsidRDefault="00DA4753" w:rsidP="00DA4753">
            <w:pPr>
              <w:pStyle w:val="TableText"/>
              <w:keepNext/>
              <w:keepLines/>
              <w:jc w:val="left"/>
              <w:rPr>
                <w:sz w:val="20"/>
                <w:szCs w:val="20"/>
              </w:rPr>
            </w:pPr>
            <w:r w:rsidRPr="008E5D4C">
              <w:rPr>
                <w:sz w:val="20"/>
                <w:szCs w:val="20"/>
              </w:rPr>
              <w:t>% of resource dispatched</w:t>
            </w:r>
          </w:p>
        </w:tc>
        <w:tc>
          <w:tcPr>
            <w:tcW w:w="2488" w:type="dxa"/>
            <w:tcBorders>
              <w:top w:val="nil"/>
              <w:left w:val="nil"/>
              <w:bottom w:val="single" w:sz="4" w:space="0" w:color="auto"/>
              <w:right w:val="single" w:sz="4" w:space="0" w:color="auto"/>
            </w:tcBorders>
            <w:shd w:val="clear" w:color="auto" w:fill="auto"/>
            <w:noWrap/>
          </w:tcPr>
          <w:p w14:paraId="048F6BDE" w14:textId="77777777" w:rsidR="00DA4753" w:rsidRPr="008E5D4C" w:rsidRDefault="00DA4753" w:rsidP="00DA4753">
            <w:pPr>
              <w:pStyle w:val="TableText"/>
              <w:keepNext/>
              <w:keepLines/>
              <w:jc w:val="left"/>
              <w:rPr>
                <w:rFonts w:cs="Calibri"/>
                <w:sz w:val="20"/>
                <w:szCs w:val="20"/>
              </w:rPr>
            </w:pPr>
            <w:r>
              <w:rPr>
                <w:rFonts w:cs="Calibri"/>
                <w:sz w:val="20"/>
                <w:szCs w:val="20"/>
              </w:rPr>
              <w:t>All</w:t>
            </w:r>
          </w:p>
        </w:tc>
        <w:tc>
          <w:tcPr>
            <w:tcW w:w="2430" w:type="dxa"/>
            <w:tcBorders>
              <w:top w:val="nil"/>
              <w:left w:val="nil"/>
              <w:bottom w:val="single" w:sz="4" w:space="0" w:color="auto"/>
              <w:right w:val="single" w:sz="4" w:space="0" w:color="auto"/>
            </w:tcBorders>
            <w:shd w:val="clear" w:color="000000" w:fill="FFFFFF"/>
          </w:tcPr>
          <w:p w14:paraId="0D29D6AE" w14:textId="77777777" w:rsidR="00DA4753" w:rsidRPr="008E5D4C" w:rsidRDefault="00DA4753" w:rsidP="00DA4753">
            <w:pPr>
              <w:pStyle w:val="TableText"/>
              <w:keepNext/>
              <w:keepLines/>
              <w:jc w:val="left"/>
              <w:rPr>
                <w:sz w:val="20"/>
                <w:szCs w:val="20"/>
              </w:rPr>
            </w:pPr>
            <w:r>
              <w:rPr>
                <w:sz w:val="20"/>
                <w:szCs w:val="20"/>
              </w:rPr>
              <w:t>All</w:t>
            </w:r>
          </w:p>
        </w:tc>
        <w:tc>
          <w:tcPr>
            <w:tcW w:w="3016" w:type="dxa"/>
            <w:tcBorders>
              <w:top w:val="nil"/>
              <w:left w:val="nil"/>
              <w:bottom w:val="single" w:sz="4" w:space="0" w:color="auto"/>
              <w:right w:val="single" w:sz="4" w:space="0" w:color="auto"/>
            </w:tcBorders>
            <w:shd w:val="clear" w:color="auto" w:fill="auto"/>
          </w:tcPr>
          <w:p w14:paraId="191D7913" w14:textId="77777777" w:rsidR="00DA4753" w:rsidRPr="008E5D4C" w:rsidRDefault="00DA4753" w:rsidP="00DA4753">
            <w:pPr>
              <w:pStyle w:val="TableText"/>
              <w:keepNext/>
              <w:keepLines/>
              <w:jc w:val="left"/>
              <w:rPr>
                <w:sz w:val="20"/>
                <w:szCs w:val="20"/>
              </w:rPr>
            </w:pPr>
            <w:r>
              <w:rPr>
                <w:sz w:val="20"/>
                <w:szCs w:val="20"/>
              </w:rPr>
              <w:t>None</w:t>
            </w:r>
          </w:p>
        </w:tc>
      </w:tr>
      <w:tr w:rsidR="00DA4753" w:rsidRPr="007F356D" w14:paraId="4563B11B" w14:textId="77777777" w:rsidTr="0086367A">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03A58E03" w14:textId="77777777" w:rsidR="00DA4753" w:rsidRPr="008E5D4C" w:rsidRDefault="00DA4753" w:rsidP="00DA4753">
            <w:pPr>
              <w:pStyle w:val="TableText"/>
              <w:keepNext/>
              <w:keepLines/>
              <w:jc w:val="left"/>
              <w:rPr>
                <w:sz w:val="20"/>
                <w:szCs w:val="20"/>
              </w:rPr>
            </w:pPr>
            <w:r w:rsidRPr="008E5D4C">
              <w:rPr>
                <w:sz w:val="20"/>
                <w:szCs w:val="20"/>
              </w:rPr>
              <w:t>Enrollment</w:t>
            </w:r>
          </w:p>
        </w:tc>
        <w:tc>
          <w:tcPr>
            <w:tcW w:w="2488" w:type="dxa"/>
            <w:tcBorders>
              <w:top w:val="nil"/>
              <w:left w:val="nil"/>
              <w:bottom w:val="single" w:sz="4" w:space="0" w:color="auto"/>
              <w:right w:val="single" w:sz="4" w:space="0" w:color="auto"/>
            </w:tcBorders>
            <w:shd w:val="clear" w:color="auto" w:fill="FFFFFF" w:themeFill="background1"/>
            <w:noWrap/>
          </w:tcPr>
          <w:p w14:paraId="0145C39D" w14:textId="742CB5D6" w:rsidR="00DA4753" w:rsidRPr="008E5D4C" w:rsidRDefault="007E3F23" w:rsidP="00DA4753">
            <w:pPr>
              <w:pStyle w:val="TableText"/>
              <w:keepNext/>
              <w:keepLines/>
              <w:jc w:val="left"/>
              <w:rPr>
                <w:rFonts w:cs="Calibri"/>
                <w:sz w:val="20"/>
                <w:szCs w:val="20"/>
              </w:rPr>
            </w:pPr>
            <w:r>
              <w:rPr>
                <w:rFonts w:cs="Calibri"/>
                <w:sz w:val="20"/>
                <w:szCs w:val="20"/>
              </w:rPr>
              <w:t>6</w:t>
            </w:r>
            <w:r w:rsidR="00DA4753">
              <w:rPr>
                <w:rFonts w:cs="Calibri"/>
                <w:sz w:val="20"/>
                <w:szCs w:val="20"/>
              </w:rPr>
              <w:t xml:space="preserve"> service accounts</w:t>
            </w:r>
          </w:p>
        </w:tc>
        <w:tc>
          <w:tcPr>
            <w:tcW w:w="2430" w:type="dxa"/>
            <w:tcBorders>
              <w:top w:val="nil"/>
              <w:left w:val="nil"/>
              <w:bottom w:val="single" w:sz="4" w:space="0" w:color="auto"/>
              <w:right w:val="single" w:sz="4" w:space="0" w:color="auto"/>
            </w:tcBorders>
            <w:shd w:val="clear" w:color="auto" w:fill="FFFFFF" w:themeFill="background1"/>
          </w:tcPr>
          <w:p w14:paraId="6C6E0C30" w14:textId="0D1951D8" w:rsidR="00DA4753" w:rsidRPr="008E5D4C" w:rsidRDefault="00981445" w:rsidP="00DA4753">
            <w:pPr>
              <w:pStyle w:val="TableText"/>
              <w:keepNext/>
              <w:keepLines/>
              <w:jc w:val="left"/>
              <w:rPr>
                <w:sz w:val="20"/>
                <w:szCs w:val="20"/>
              </w:rPr>
            </w:pPr>
            <w:r>
              <w:rPr>
                <w:sz w:val="20"/>
                <w:szCs w:val="20"/>
              </w:rPr>
              <w:t>7</w:t>
            </w:r>
            <w:r w:rsidR="00DA4753">
              <w:rPr>
                <w:sz w:val="20"/>
                <w:szCs w:val="20"/>
              </w:rPr>
              <w:t xml:space="preserve"> service accounts</w:t>
            </w:r>
          </w:p>
        </w:tc>
        <w:tc>
          <w:tcPr>
            <w:tcW w:w="3016" w:type="dxa"/>
            <w:tcBorders>
              <w:top w:val="nil"/>
              <w:left w:val="nil"/>
              <w:bottom w:val="single" w:sz="4" w:space="0" w:color="auto"/>
              <w:right w:val="single" w:sz="4" w:space="0" w:color="auto"/>
            </w:tcBorders>
            <w:shd w:val="clear" w:color="auto" w:fill="auto"/>
          </w:tcPr>
          <w:p w14:paraId="54D68972" w14:textId="3EC1A756" w:rsidR="00DA4753" w:rsidRPr="008E5D4C" w:rsidRDefault="00981445" w:rsidP="00981445">
            <w:pPr>
              <w:pStyle w:val="TableText"/>
              <w:keepNext/>
              <w:keepLines/>
              <w:jc w:val="left"/>
              <w:rPr>
                <w:sz w:val="20"/>
                <w:szCs w:val="20"/>
              </w:rPr>
            </w:pPr>
            <w:r>
              <w:rPr>
                <w:sz w:val="20"/>
                <w:szCs w:val="20"/>
              </w:rPr>
              <w:t>Increase aggregate reference load and load impact</w:t>
            </w:r>
            <w:r w:rsidR="00DA4753">
              <w:rPr>
                <w:sz w:val="20"/>
                <w:szCs w:val="20"/>
              </w:rPr>
              <w:t>.</w:t>
            </w:r>
            <w:r>
              <w:rPr>
                <w:sz w:val="20"/>
                <w:szCs w:val="20"/>
              </w:rPr>
              <w:t xml:space="preserve"> </w:t>
            </w:r>
            <w:r w:rsidR="00677951">
              <w:rPr>
                <w:sz w:val="20"/>
                <w:szCs w:val="20"/>
              </w:rPr>
              <w:t xml:space="preserve">No increase in </w:t>
            </w:r>
            <w:r>
              <w:rPr>
                <w:sz w:val="20"/>
                <w:szCs w:val="20"/>
              </w:rPr>
              <w:t>per-customer reference loa</w:t>
            </w:r>
            <w:r w:rsidR="00677951">
              <w:rPr>
                <w:sz w:val="20"/>
                <w:szCs w:val="20"/>
              </w:rPr>
              <w:t>d or load impacts because results are scaled by enrollments</w:t>
            </w:r>
            <w:r>
              <w:rPr>
                <w:sz w:val="20"/>
                <w:szCs w:val="20"/>
              </w:rPr>
              <w:t xml:space="preserve">. </w:t>
            </w:r>
          </w:p>
        </w:tc>
      </w:tr>
      <w:tr w:rsidR="00DA4753" w:rsidRPr="007F356D" w14:paraId="7770971B" w14:textId="77777777" w:rsidTr="0086367A">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1C8E38B8" w14:textId="77777777" w:rsidR="00DA4753" w:rsidRPr="008E5D4C" w:rsidRDefault="00DA4753" w:rsidP="00DA4753">
            <w:pPr>
              <w:pStyle w:val="TableText"/>
              <w:keepNext/>
              <w:keepLines/>
              <w:jc w:val="left"/>
              <w:rPr>
                <w:sz w:val="20"/>
                <w:szCs w:val="20"/>
              </w:rPr>
            </w:pPr>
            <w:r w:rsidRPr="008E5D4C">
              <w:rPr>
                <w:sz w:val="20"/>
                <w:szCs w:val="20"/>
              </w:rPr>
              <w:t>Methodology</w:t>
            </w:r>
          </w:p>
        </w:tc>
        <w:tc>
          <w:tcPr>
            <w:tcW w:w="2488" w:type="dxa"/>
            <w:tcBorders>
              <w:top w:val="nil"/>
              <w:left w:val="nil"/>
              <w:bottom w:val="single" w:sz="4" w:space="0" w:color="auto"/>
              <w:right w:val="single" w:sz="4" w:space="0" w:color="auto"/>
            </w:tcBorders>
            <w:shd w:val="clear" w:color="auto" w:fill="auto"/>
            <w:noWrap/>
          </w:tcPr>
          <w:p w14:paraId="1722B181" w14:textId="00B49348" w:rsidR="00DA4753" w:rsidRPr="008E5D4C" w:rsidRDefault="00224EF7" w:rsidP="00DA4753">
            <w:pPr>
              <w:pStyle w:val="TableText"/>
              <w:keepNext/>
              <w:keepLines/>
              <w:spacing w:after="120"/>
              <w:jc w:val="left"/>
              <w:rPr>
                <w:rFonts w:cs="Calibri"/>
                <w:sz w:val="20"/>
                <w:szCs w:val="20"/>
              </w:rPr>
            </w:pPr>
            <w:r>
              <w:rPr>
                <w:rFonts w:cs="Calibri"/>
                <w:sz w:val="20"/>
                <w:szCs w:val="20"/>
              </w:rPr>
              <w:t>Customer</w:t>
            </w:r>
            <w:r w:rsidR="00DA4753">
              <w:rPr>
                <w:rFonts w:cs="Calibri"/>
                <w:sz w:val="20"/>
                <w:szCs w:val="20"/>
              </w:rPr>
              <w:t>-specific regressions using own within-subject analysis.</w:t>
            </w:r>
          </w:p>
        </w:tc>
        <w:tc>
          <w:tcPr>
            <w:tcW w:w="2430" w:type="dxa"/>
            <w:tcBorders>
              <w:top w:val="nil"/>
              <w:left w:val="nil"/>
              <w:bottom w:val="single" w:sz="4" w:space="0" w:color="auto"/>
              <w:right w:val="single" w:sz="4" w:space="0" w:color="auto"/>
            </w:tcBorders>
            <w:shd w:val="clear" w:color="000000" w:fill="FFFFFF"/>
          </w:tcPr>
          <w:p w14:paraId="2900605B" w14:textId="7E082296" w:rsidR="00DA4753" w:rsidRPr="008E5D4C" w:rsidRDefault="00DA4753" w:rsidP="00DA4753">
            <w:pPr>
              <w:pStyle w:val="TableText"/>
              <w:keepNext/>
              <w:keepLines/>
              <w:jc w:val="left"/>
              <w:rPr>
                <w:sz w:val="20"/>
                <w:szCs w:val="20"/>
              </w:rPr>
            </w:pPr>
            <w:r>
              <w:rPr>
                <w:sz w:val="20"/>
                <w:szCs w:val="20"/>
              </w:rPr>
              <w:t xml:space="preserve">Reference loads are simulated from </w:t>
            </w:r>
            <w:r w:rsidR="00224EF7">
              <w:rPr>
                <w:rFonts w:cs="Calibri"/>
                <w:sz w:val="20"/>
                <w:szCs w:val="20"/>
              </w:rPr>
              <w:t>customer</w:t>
            </w:r>
            <w:r>
              <w:rPr>
                <w:rFonts w:cs="Calibri"/>
                <w:sz w:val="20"/>
                <w:szCs w:val="20"/>
              </w:rPr>
              <w:t xml:space="preserve">-specific regressions. </w:t>
            </w:r>
          </w:p>
        </w:tc>
        <w:tc>
          <w:tcPr>
            <w:tcW w:w="3016" w:type="dxa"/>
            <w:tcBorders>
              <w:top w:val="nil"/>
              <w:left w:val="nil"/>
              <w:bottom w:val="single" w:sz="4" w:space="0" w:color="auto"/>
              <w:right w:val="single" w:sz="4" w:space="0" w:color="auto"/>
            </w:tcBorders>
            <w:shd w:val="clear" w:color="auto" w:fill="auto"/>
          </w:tcPr>
          <w:p w14:paraId="0E7D4945" w14:textId="442B7409" w:rsidR="00DA4753" w:rsidRPr="00677951" w:rsidRDefault="00677951" w:rsidP="005F7C50">
            <w:pPr>
              <w:pStyle w:val="TableText"/>
              <w:keepNext/>
              <w:keepLines/>
              <w:jc w:val="left"/>
              <w:rPr>
                <w:sz w:val="20"/>
                <w:szCs w:val="20"/>
              </w:rPr>
            </w:pPr>
            <w:r>
              <w:rPr>
                <w:sz w:val="20"/>
                <w:szCs w:val="20"/>
              </w:rPr>
              <w:t xml:space="preserve">Possible difference between simulated </w:t>
            </w:r>
            <w:r>
              <w:rPr>
                <w:i/>
                <w:sz w:val="20"/>
                <w:szCs w:val="20"/>
              </w:rPr>
              <w:t xml:space="preserve">ex-ante </w:t>
            </w:r>
            <w:r>
              <w:rPr>
                <w:sz w:val="20"/>
                <w:szCs w:val="20"/>
              </w:rPr>
              <w:t xml:space="preserve">and estimated </w:t>
            </w:r>
            <w:r>
              <w:rPr>
                <w:i/>
                <w:sz w:val="20"/>
                <w:szCs w:val="20"/>
              </w:rPr>
              <w:t xml:space="preserve">ex-post </w:t>
            </w:r>
            <w:r>
              <w:rPr>
                <w:sz w:val="20"/>
                <w:szCs w:val="20"/>
              </w:rPr>
              <w:t>reference loads. In this case, however, the aggregate differences are minimal.</w:t>
            </w:r>
          </w:p>
        </w:tc>
      </w:tr>
    </w:tbl>
    <w:p w14:paraId="3561EC1B" w14:textId="77777777" w:rsidR="00DA4753" w:rsidRDefault="00DA4753" w:rsidP="00DA4753"/>
    <w:p w14:paraId="1C5F4D75" w14:textId="48249AC1" w:rsidR="00321E09" w:rsidRDefault="00DD01A1" w:rsidP="000700BB">
      <w:pPr>
        <w:pStyle w:val="Heading1"/>
      </w:pPr>
      <w:bookmarkStart w:id="259" w:name="_Toc199299563"/>
      <w:bookmarkStart w:id="260" w:name="_Toc510091145"/>
      <w:r>
        <w:t>7</w:t>
      </w:r>
      <w:r w:rsidR="00321E09" w:rsidRPr="00AB65A8">
        <w:t>. Recommendations</w:t>
      </w:r>
      <w:bookmarkEnd w:id="259"/>
      <w:bookmarkEnd w:id="260"/>
    </w:p>
    <w:p w14:paraId="031288B1" w14:textId="34B7CE65" w:rsidR="005A5724" w:rsidRDefault="00C81717" w:rsidP="00A24342">
      <w:r>
        <w:t>BIP continues to perform well, with its customers providing substantial load impacts with short notice</w:t>
      </w:r>
      <w:r w:rsidR="0017163E">
        <w:t>. The later event hours for the (non-test) PG&amp;E and SCE events this year provided some information about customer response later in the day. Utilities may want to consider the timing (both time of year and time of day) of future test events to expand the understanding of the variation in program load impacts.</w:t>
      </w:r>
    </w:p>
    <w:p w14:paraId="7912AE5C" w14:textId="77777777" w:rsidR="00EA09F4" w:rsidRDefault="00700751" w:rsidP="00EA09F4">
      <w:pPr>
        <w:pStyle w:val="Heading1"/>
      </w:pPr>
      <w:r>
        <w:br w:type="page"/>
      </w:r>
      <w:bookmarkStart w:id="261" w:name="_Toc510091146"/>
      <w:r w:rsidR="00EA09F4">
        <w:lastRenderedPageBreak/>
        <w:t>Appendices</w:t>
      </w:r>
      <w:bookmarkEnd w:id="261"/>
    </w:p>
    <w:p w14:paraId="5CB80B3D" w14:textId="0F4A5A3D" w:rsidR="00EA09F4" w:rsidRDefault="00EA09F4" w:rsidP="00EA09F4">
      <w:r>
        <w:t xml:space="preserve">The following Appendices accompany this report. </w:t>
      </w:r>
      <w:r w:rsidR="007772B0">
        <w:t xml:space="preserve">Appendix A is the validity assessment associated with our </w:t>
      </w:r>
      <w:r w:rsidR="007772B0" w:rsidRPr="002E033B">
        <w:rPr>
          <w:i/>
        </w:rPr>
        <w:t>ex</w:t>
      </w:r>
      <w:r w:rsidR="002E033B" w:rsidRPr="002E033B">
        <w:rPr>
          <w:i/>
        </w:rPr>
        <w:t>-</w:t>
      </w:r>
      <w:r w:rsidR="007772B0" w:rsidRPr="002E033B">
        <w:rPr>
          <w:i/>
        </w:rPr>
        <w:t>post</w:t>
      </w:r>
      <w:r w:rsidR="007772B0">
        <w:t xml:space="preserve"> load impact evaluation. </w:t>
      </w:r>
      <w:r w:rsidR="00C81717">
        <w:t xml:space="preserve">Appendix B contains the FSL achievement rates for each utility, by industry group. </w:t>
      </w:r>
      <w:r w:rsidR="007772B0">
        <w:t xml:space="preserve">The additional appendices are </w:t>
      </w:r>
      <w:r>
        <w:t>Excel file</w:t>
      </w:r>
      <w:r w:rsidR="007772B0">
        <w:t>s</w:t>
      </w:r>
      <w:r>
        <w:t xml:space="preserve"> that can produce the tables required by the Protocols.</w:t>
      </w:r>
    </w:p>
    <w:p w14:paraId="1B9411D5" w14:textId="77777777" w:rsidR="007772B0" w:rsidRDefault="007772B0" w:rsidP="00EA09F4"/>
    <w:p w14:paraId="1A7CD6B9" w14:textId="084352E0" w:rsidR="00EA09F4" w:rsidRDefault="007772B0" w:rsidP="00EA09F4">
      <w:r>
        <w:t>B</w:t>
      </w:r>
      <w:r w:rsidR="00605B52">
        <w:t>I</w:t>
      </w:r>
      <w:r w:rsidR="00C81717">
        <w:t>P Study Appendix C</w:t>
      </w:r>
      <w:r w:rsidR="00EA09F4">
        <w:t xml:space="preserve"> </w:t>
      </w:r>
      <w:r w:rsidR="008A4F55">
        <w:tab/>
      </w:r>
      <w:r w:rsidR="008A4F55">
        <w:tab/>
      </w:r>
      <w:r w:rsidR="00EA09F4">
        <w:t>PG&amp;E</w:t>
      </w:r>
      <w:r w:rsidR="008A4F55">
        <w:t xml:space="preserve"> </w:t>
      </w:r>
      <w:r w:rsidR="00EA09F4" w:rsidRPr="000F1678">
        <w:rPr>
          <w:i/>
        </w:rPr>
        <w:t>Ex-</w:t>
      </w:r>
      <w:r w:rsidR="000F1678" w:rsidRPr="000F1678">
        <w:rPr>
          <w:i/>
        </w:rPr>
        <w:t>p</w:t>
      </w:r>
      <w:r w:rsidR="00EA09F4" w:rsidRPr="000F1678">
        <w:rPr>
          <w:i/>
        </w:rPr>
        <w:t>ost</w:t>
      </w:r>
      <w:r w:rsidR="00EA09F4">
        <w:t xml:space="preserve"> Load Impact Tables</w:t>
      </w:r>
    </w:p>
    <w:p w14:paraId="42462F7A" w14:textId="39C6D85B" w:rsidR="00EA09F4" w:rsidRDefault="007772B0" w:rsidP="00EA09F4">
      <w:r>
        <w:t>B</w:t>
      </w:r>
      <w:r w:rsidR="00605B52">
        <w:t>I</w:t>
      </w:r>
      <w:r w:rsidR="00C81717">
        <w:t>P Study Appendix D</w:t>
      </w:r>
      <w:r w:rsidR="00EA09F4">
        <w:t xml:space="preserve"> </w:t>
      </w:r>
      <w:r w:rsidR="008A4F55">
        <w:tab/>
      </w:r>
      <w:r w:rsidR="008A4F55">
        <w:tab/>
      </w:r>
      <w:r w:rsidR="00EA09F4">
        <w:t>SCE</w:t>
      </w:r>
      <w:r w:rsidR="008A4F55">
        <w:t xml:space="preserve"> </w:t>
      </w:r>
      <w:r w:rsidR="00EA09F4" w:rsidRPr="000F1678">
        <w:rPr>
          <w:i/>
        </w:rPr>
        <w:t>Ex-</w:t>
      </w:r>
      <w:r w:rsidR="000F1678" w:rsidRPr="000F1678">
        <w:rPr>
          <w:i/>
        </w:rPr>
        <w:t>p</w:t>
      </w:r>
      <w:r w:rsidR="00EA09F4" w:rsidRPr="000F1678">
        <w:rPr>
          <w:i/>
        </w:rPr>
        <w:t>ost</w:t>
      </w:r>
      <w:r w:rsidR="00EA09F4">
        <w:t xml:space="preserve"> Load Impact Tables</w:t>
      </w:r>
    </w:p>
    <w:p w14:paraId="199844F9" w14:textId="349D0F6D" w:rsidR="008A4F55" w:rsidRDefault="007772B0" w:rsidP="008A4F55">
      <w:r>
        <w:t>B</w:t>
      </w:r>
      <w:r w:rsidR="00605B52">
        <w:t>I</w:t>
      </w:r>
      <w:r w:rsidR="00C81717">
        <w:t>P Study Appendix E</w:t>
      </w:r>
      <w:r w:rsidR="008A4F55">
        <w:t xml:space="preserve"> </w:t>
      </w:r>
      <w:r w:rsidR="008A4F55">
        <w:tab/>
      </w:r>
      <w:r w:rsidR="008A4F55">
        <w:tab/>
        <w:t xml:space="preserve">SDG&amp;E </w:t>
      </w:r>
      <w:r w:rsidR="008A4F55" w:rsidRPr="000F1678">
        <w:rPr>
          <w:i/>
        </w:rPr>
        <w:t>Ex-</w:t>
      </w:r>
      <w:r w:rsidR="000F1678" w:rsidRPr="000F1678">
        <w:rPr>
          <w:i/>
        </w:rPr>
        <w:t>p</w:t>
      </w:r>
      <w:r w:rsidR="008A4F55" w:rsidRPr="000F1678">
        <w:rPr>
          <w:i/>
        </w:rPr>
        <w:t>ost</w:t>
      </w:r>
      <w:r w:rsidR="008A4F55">
        <w:t xml:space="preserve"> Load Impact Tables</w:t>
      </w:r>
    </w:p>
    <w:p w14:paraId="019ABC48" w14:textId="3D0460A5" w:rsidR="00AF221D" w:rsidRDefault="007772B0" w:rsidP="00AF221D">
      <w:r>
        <w:t>B</w:t>
      </w:r>
      <w:r w:rsidR="00605B52">
        <w:t>I</w:t>
      </w:r>
      <w:r w:rsidR="00C81717">
        <w:t>P Study Appendix F</w:t>
      </w:r>
      <w:r w:rsidR="00AF221D">
        <w:t xml:space="preserve"> </w:t>
      </w:r>
      <w:r w:rsidR="00AF221D">
        <w:tab/>
      </w:r>
      <w:r w:rsidR="00AF221D">
        <w:tab/>
        <w:t xml:space="preserve">PG&amp;E </w:t>
      </w:r>
      <w:r w:rsidR="00AF221D" w:rsidRPr="000F1678">
        <w:rPr>
          <w:i/>
        </w:rPr>
        <w:t>Ex-</w:t>
      </w:r>
      <w:r w:rsidR="000F1678" w:rsidRPr="000F1678">
        <w:rPr>
          <w:i/>
        </w:rPr>
        <w:t>a</w:t>
      </w:r>
      <w:r w:rsidR="00AF221D" w:rsidRPr="000F1678">
        <w:rPr>
          <w:i/>
        </w:rPr>
        <w:t>nte</w:t>
      </w:r>
      <w:r w:rsidR="00AF221D">
        <w:t xml:space="preserve"> Load Impact Tables</w:t>
      </w:r>
    </w:p>
    <w:p w14:paraId="2835D5FF" w14:textId="500F2486" w:rsidR="00AF221D" w:rsidRDefault="007772B0" w:rsidP="00AF221D">
      <w:r>
        <w:t>B</w:t>
      </w:r>
      <w:r w:rsidR="00605B52">
        <w:t>I</w:t>
      </w:r>
      <w:r w:rsidR="00C81717">
        <w:t>P Study Appendix G</w:t>
      </w:r>
      <w:r w:rsidR="00AF221D">
        <w:t xml:space="preserve"> </w:t>
      </w:r>
      <w:r w:rsidR="00AF221D">
        <w:tab/>
      </w:r>
      <w:r w:rsidR="00AF221D">
        <w:tab/>
        <w:t xml:space="preserve">SCE </w:t>
      </w:r>
      <w:r w:rsidR="00AF221D" w:rsidRPr="000F1678">
        <w:rPr>
          <w:i/>
        </w:rPr>
        <w:t>Ex-</w:t>
      </w:r>
      <w:r w:rsidR="000F1678" w:rsidRPr="000F1678">
        <w:rPr>
          <w:i/>
        </w:rPr>
        <w:t>a</w:t>
      </w:r>
      <w:r w:rsidR="00AF221D" w:rsidRPr="000F1678">
        <w:rPr>
          <w:i/>
        </w:rPr>
        <w:t>nte</w:t>
      </w:r>
      <w:r w:rsidR="00AF221D">
        <w:t xml:space="preserve"> Load Impact Tables</w:t>
      </w:r>
    </w:p>
    <w:p w14:paraId="345F6830" w14:textId="40EDA274" w:rsidR="002234C5" w:rsidRDefault="007772B0" w:rsidP="00EA09F4">
      <w:r>
        <w:t>B</w:t>
      </w:r>
      <w:r w:rsidR="00605B52">
        <w:t>I</w:t>
      </w:r>
      <w:r w:rsidR="00C81717">
        <w:t>P Study Appendix H</w:t>
      </w:r>
      <w:r w:rsidR="00AF221D">
        <w:t xml:space="preserve"> </w:t>
      </w:r>
      <w:r w:rsidR="00AF221D">
        <w:tab/>
      </w:r>
      <w:r w:rsidR="00AF221D">
        <w:tab/>
        <w:t>S</w:t>
      </w:r>
      <w:r w:rsidR="000F1678">
        <w:t xml:space="preserve">DG&amp;E </w:t>
      </w:r>
      <w:r w:rsidR="000F1678" w:rsidRPr="000F1678">
        <w:rPr>
          <w:i/>
        </w:rPr>
        <w:t>Ex-a</w:t>
      </w:r>
      <w:r w:rsidR="008F52A8" w:rsidRPr="000F1678">
        <w:rPr>
          <w:i/>
        </w:rPr>
        <w:t>nte</w:t>
      </w:r>
      <w:r w:rsidR="008F52A8">
        <w:t xml:space="preserve"> Load Impact Tables</w:t>
      </w:r>
    </w:p>
    <w:p w14:paraId="4B2CC288" w14:textId="77777777" w:rsidR="007772B0" w:rsidRDefault="007772B0" w:rsidP="00EA09F4"/>
    <w:p w14:paraId="61509EBB" w14:textId="77777777" w:rsidR="00614D97" w:rsidRDefault="007772B0" w:rsidP="00614D97">
      <w:pPr>
        <w:pStyle w:val="Heading1"/>
      </w:pPr>
      <w:r>
        <w:br w:type="page"/>
      </w:r>
      <w:bookmarkStart w:id="262" w:name="_Toc504832908"/>
      <w:bookmarkStart w:id="263" w:name="_Toc510091147"/>
      <w:r w:rsidR="00614D97">
        <w:lastRenderedPageBreak/>
        <w:t>Appendix A</w:t>
      </w:r>
      <w:r w:rsidR="00614D97" w:rsidRPr="002A17C1">
        <w:t>. Validity Assessment</w:t>
      </w:r>
      <w:bookmarkEnd w:id="262"/>
      <w:bookmarkEnd w:id="263"/>
    </w:p>
    <w:p w14:paraId="6CE65BCD" w14:textId="77777777" w:rsidR="00614D97" w:rsidRDefault="00614D97" w:rsidP="00614D97">
      <w:pPr>
        <w:pStyle w:val="Heading2"/>
      </w:pPr>
      <w:bookmarkStart w:id="264" w:name="_Toc314830418"/>
      <w:bookmarkStart w:id="265" w:name="_Toc504832909"/>
      <w:bookmarkStart w:id="266" w:name="_Toc510091148"/>
      <w:r>
        <w:t>A.1 Customer Weather Sensitivity</w:t>
      </w:r>
      <w:bookmarkEnd w:id="266"/>
    </w:p>
    <w:p w14:paraId="5C5CA894" w14:textId="77777777" w:rsidR="00614D97" w:rsidRDefault="00614D97" w:rsidP="00614D97">
      <w:r>
        <w:t>Customer-specific regressions are implemented to categorize customers as weather sensitive or not. Weather sensitive customers change usage in response to changes in the weather, while non-weather sensitive customers do not. Determining which customers are non-weather sensitive allows for a more parsimonious regression model by not including weather variables as explanatory variables for these customers. The following regression specification is used to determine whether a customer is weather sensitive:</w:t>
      </w:r>
    </w:p>
    <w:p w14:paraId="69BC1F30" w14:textId="77777777" w:rsidR="00614D97" w:rsidRPr="001A524E" w:rsidRDefault="00720E96" w:rsidP="00614D97">
      <m:oMathPara>
        <m:oMath>
          <m:sSub>
            <m:sSubPr>
              <m:ctrlPr>
                <w:rPr>
                  <w:rFonts w:ascii="Cambria Math" w:hAnsi="Cambria Math"/>
                  <w:i/>
                </w:rPr>
              </m:ctrlPr>
            </m:sSubPr>
            <m:e>
              <m:r>
                <w:rPr>
                  <w:rFonts w:ascii="Cambria Math" w:hAnsi="Cambria Math"/>
                </w:rPr>
                <m:t>Q</m:t>
              </m:r>
            </m:e>
            <m:sub>
              <m:r>
                <w:rPr>
                  <w:rFonts w:ascii="Cambria Math" w:hAnsi="Cambria Math"/>
                </w:rPr>
                <m:t>t</m:t>
              </m:r>
            </m:sub>
          </m:sSub>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Weather</m:t>
              </m:r>
            </m:sup>
          </m:sSup>
          <m:r>
            <w:rPr>
              <w:rFonts w:ascii="Cambria Math" w:hAnsi="Cambria Math"/>
            </w:rPr>
            <m:t>×</m:t>
          </m:r>
          <m:sSub>
            <m:sSubPr>
              <m:ctrlPr>
                <w:rPr>
                  <w:rFonts w:ascii="Cambria Math" w:hAnsi="Cambria Math"/>
                  <w:i/>
                </w:rPr>
              </m:ctrlPr>
            </m:sSubPr>
            <m:e>
              <m:r>
                <w:rPr>
                  <w:rFonts w:ascii="Cambria Math" w:hAnsi="Cambria Math"/>
                </w:rPr>
                <m:t>Weather</m:t>
              </m:r>
            </m:e>
            <m:sub>
              <m:r>
                <w:rPr>
                  <w:rFonts w:ascii="Cambria Math" w:hAnsi="Cambria Math"/>
                </w:rPr>
                <m:t>t</m:t>
              </m:r>
            </m:sub>
          </m:sSub>
          <m:r>
            <w:rPr>
              <w:rFonts w:ascii="Cambria Math" w:hAnsi="Cambria Math"/>
            </w:rPr>
            <m:t>+</m:t>
          </m:r>
          <m:nary>
            <m:naryPr>
              <m:chr m:val="∑"/>
              <m:limLoc m:val="undOvr"/>
              <m:ctrlPr>
                <w:rPr>
                  <w:rFonts w:ascii="Cambria Math" w:hAnsi="Cambria Math"/>
                  <w:i/>
                </w:rPr>
              </m:ctrlPr>
            </m:naryPr>
            <m:sub>
              <m:r>
                <w:rPr>
                  <w:rFonts w:ascii="Cambria Math" w:hAnsi="Cambria Math"/>
                </w:rPr>
                <m:t>i=2</m:t>
              </m:r>
            </m:sub>
            <m:sup>
              <m:r>
                <w:rPr>
                  <w:rFonts w:ascii="Cambria Math" w:hAnsi="Cambria Math"/>
                </w:rPr>
                <m:t>5</m:t>
              </m:r>
            </m:sup>
            <m:e>
              <m:d>
                <m:dPr>
                  <m:ctrlPr>
                    <w:rPr>
                      <w:rFonts w:ascii="Cambria Math" w:hAnsi="Cambria Math"/>
                      <w:i/>
                    </w:rPr>
                  </m:ctrlPr>
                </m:dPr>
                <m:e>
                  <m:sSubSup>
                    <m:sSubSupPr>
                      <m:ctrlPr>
                        <w:rPr>
                          <w:rFonts w:ascii="Cambria Math" w:hAnsi="Cambria Math"/>
                          <w:i/>
                        </w:rPr>
                      </m:ctrlPr>
                    </m:sSubSupPr>
                    <m:e>
                      <m:r>
                        <w:rPr>
                          <w:rFonts w:ascii="Cambria Math" w:hAnsi="Cambria Math"/>
                        </w:rPr>
                        <m:t>b</m:t>
                      </m:r>
                    </m:e>
                    <m:sub>
                      <m:r>
                        <w:rPr>
                          <w:rFonts w:ascii="Cambria Math" w:hAnsi="Cambria Math"/>
                        </w:rPr>
                        <m:t>i</m:t>
                      </m:r>
                    </m:sub>
                    <m:sup>
                      <m:r>
                        <w:rPr>
                          <w:rFonts w:ascii="Cambria Math" w:hAnsi="Cambria Math"/>
                        </w:rPr>
                        <m:t>DTYPE</m:t>
                      </m:r>
                    </m:sup>
                  </m:sSubSup>
                  <m:r>
                    <w:rPr>
                      <w:rFonts w:ascii="Cambria Math" w:hAnsi="Cambria Math"/>
                    </w:rPr>
                    <m:t>×</m:t>
                  </m:r>
                  <m:sSub>
                    <m:sSubPr>
                      <m:ctrlPr>
                        <w:rPr>
                          <w:rFonts w:ascii="Cambria Math" w:hAnsi="Cambria Math"/>
                          <w:i/>
                        </w:rPr>
                      </m:ctrlPr>
                    </m:sSubPr>
                    <m:e>
                      <m:r>
                        <w:rPr>
                          <w:rFonts w:ascii="Cambria Math" w:hAnsi="Cambria Math"/>
                        </w:rPr>
                        <m:t>DTYPE</m:t>
                      </m:r>
                    </m:e>
                    <m:sub>
                      <m:r>
                        <w:rPr>
                          <w:rFonts w:ascii="Cambria Math" w:hAnsi="Cambria Math"/>
                        </w:rPr>
                        <m:t>i,t</m:t>
                      </m:r>
                    </m:sub>
                  </m:sSub>
                </m:e>
              </m:d>
            </m:e>
          </m:nary>
          <m:r>
            <w:rPr>
              <w:rFonts w:ascii="Cambria Math" w:hAnsi="Cambria Math"/>
            </w:rPr>
            <m:t>+</m:t>
          </m:r>
          <m:nary>
            <m:naryPr>
              <m:chr m:val="∑"/>
              <m:limLoc m:val="undOvr"/>
              <m:ctrlPr>
                <w:rPr>
                  <w:rFonts w:ascii="Cambria Math" w:hAnsi="Cambria Math"/>
                  <w:i/>
                </w:rPr>
              </m:ctrlPr>
            </m:naryPr>
            <m:sub>
              <m:r>
                <w:rPr>
                  <w:rFonts w:ascii="Cambria Math" w:hAnsi="Cambria Math"/>
                </w:rPr>
                <m:t>i=7</m:t>
              </m:r>
            </m:sub>
            <m:sup>
              <m:r>
                <w:rPr>
                  <w:rFonts w:ascii="Cambria Math" w:hAnsi="Cambria Math"/>
                </w:rPr>
                <m:t>9</m:t>
              </m:r>
            </m:sup>
            <m:e>
              <m:d>
                <m:dPr>
                  <m:ctrlPr>
                    <w:rPr>
                      <w:rFonts w:ascii="Cambria Math" w:hAnsi="Cambria Math"/>
                      <w:i/>
                    </w:rPr>
                  </m:ctrlPr>
                </m:dPr>
                <m:e>
                  <m:sSubSup>
                    <m:sSubSupPr>
                      <m:ctrlPr>
                        <w:rPr>
                          <w:rFonts w:ascii="Cambria Math" w:hAnsi="Cambria Math"/>
                          <w:i/>
                        </w:rPr>
                      </m:ctrlPr>
                    </m:sSubSupPr>
                    <m:e>
                      <m:r>
                        <w:rPr>
                          <w:rFonts w:ascii="Cambria Math" w:hAnsi="Cambria Math"/>
                        </w:rPr>
                        <m:t>b</m:t>
                      </m:r>
                    </m:e>
                    <m:sub>
                      <m:r>
                        <w:rPr>
                          <w:rFonts w:ascii="Cambria Math" w:hAnsi="Cambria Math"/>
                        </w:rPr>
                        <m:t>i</m:t>
                      </m:r>
                    </m:sub>
                    <m:sup>
                      <m:r>
                        <w:rPr>
                          <w:rFonts w:ascii="Cambria Math" w:hAnsi="Cambria Math"/>
                        </w:rPr>
                        <m:t>MONTH</m:t>
                      </m:r>
                    </m:sup>
                  </m:sSubSup>
                  <m:r>
                    <w:rPr>
                      <w:rFonts w:ascii="Cambria Math" w:hAnsi="Cambria Math"/>
                    </w:rPr>
                    <m:t>×</m:t>
                  </m:r>
                  <m:sSub>
                    <m:sSubPr>
                      <m:ctrlPr>
                        <w:rPr>
                          <w:rFonts w:ascii="Cambria Math" w:hAnsi="Cambria Math"/>
                          <w:i/>
                        </w:rPr>
                      </m:ctrlPr>
                    </m:sSubPr>
                    <m:e>
                      <m:r>
                        <w:rPr>
                          <w:rFonts w:ascii="Cambria Math" w:hAnsi="Cambria Math"/>
                        </w:rPr>
                        <m:t>MONTH</m:t>
                      </m:r>
                    </m:e>
                    <m:sub>
                      <m:r>
                        <w:rPr>
                          <w:rFonts w:ascii="Cambria Math" w:hAnsi="Cambria Math"/>
                        </w:rPr>
                        <m:t>i,t</m:t>
                      </m:r>
                    </m:sub>
                  </m:sSub>
                </m:e>
              </m:d>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EVT</m:t>
              </m:r>
            </m:sup>
            <m:e>
              <m:d>
                <m:dPr>
                  <m:ctrlPr>
                    <w:rPr>
                      <w:rFonts w:ascii="Cambria Math" w:hAnsi="Cambria Math"/>
                      <w:i/>
                    </w:rPr>
                  </m:ctrlPr>
                </m:dPr>
                <m:e>
                  <m:sSubSup>
                    <m:sSubSupPr>
                      <m:ctrlPr>
                        <w:rPr>
                          <w:rFonts w:ascii="Cambria Math" w:hAnsi="Cambria Math"/>
                          <w:i/>
                        </w:rPr>
                      </m:ctrlPr>
                    </m:sSubSupPr>
                    <m:e>
                      <m:r>
                        <w:rPr>
                          <w:rFonts w:ascii="Cambria Math" w:hAnsi="Cambria Math"/>
                        </w:rPr>
                        <m:t>b</m:t>
                      </m:r>
                    </m:e>
                    <m:sub>
                      <m:r>
                        <w:rPr>
                          <w:rFonts w:ascii="Cambria Math" w:hAnsi="Cambria Math"/>
                        </w:rPr>
                        <m:t>i</m:t>
                      </m:r>
                    </m:sub>
                    <m:sup>
                      <m:r>
                        <w:rPr>
                          <w:rFonts w:ascii="Cambria Math" w:hAnsi="Cambria Math"/>
                        </w:rPr>
                        <m:t>EVT</m:t>
                      </m:r>
                    </m:sup>
                  </m:sSubSup>
                  <m:r>
                    <w:rPr>
                      <w:rFonts w:ascii="Cambria Math" w:hAnsi="Cambria Math"/>
                    </w:rPr>
                    <m:t>×</m:t>
                  </m:r>
                  <m:sSub>
                    <m:sSubPr>
                      <m:ctrlPr>
                        <w:rPr>
                          <w:rFonts w:ascii="Cambria Math" w:hAnsi="Cambria Math"/>
                          <w:i/>
                        </w:rPr>
                      </m:ctrlPr>
                    </m:sSubPr>
                    <m:e>
                      <m:r>
                        <w:rPr>
                          <w:rFonts w:ascii="Cambria Math" w:hAnsi="Cambria Math"/>
                        </w:rPr>
                        <m:t>EVT</m:t>
                      </m:r>
                    </m:e>
                    <m:sub>
                      <m:r>
                        <w:rPr>
                          <w:rFonts w:ascii="Cambria Math" w:hAnsi="Cambria Math"/>
                        </w:rPr>
                        <m:t>i,t</m:t>
                      </m:r>
                    </m:sub>
                  </m:sSub>
                </m:e>
              </m:d>
            </m:e>
          </m:nary>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t</m:t>
              </m:r>
            </m:sub>
          </m:sSub>
        </m:oMath>
      </m:oMathPara>
    </w:p>
    <w:p w14:paraId="71056414" w14:textId="77777777" w:rsidR="00614D97" w:rsidRDefault="00614D97" w:rsidP="00614D97"/>
    <w:p w14:paraId="76DD45D4" w14:textId="032C788F" w:rsidR="00614D97" w:rsidRDefault="00614D97" w:rsidP="00614D97">
      <w:r>
        <w:t xml:space="preserve">where </w:t>
      </w:r>
      <w:r>
        <w:rPr>
          <w:i/>
        </w:rPr>
        <w:t>Q</w:t>
      </w:r>
      <w:r>
        <w:rPr>
          <w:i/>
          <w:vertAlign w:val="subscript"/>
        </w:rPr>
        <w:t>t</w:t>
      </w:r>
      <w:r>
        <w:t xml:space="preserve"> represents the average customer usage during</w:t>
      </w:r>
      <w:r w:rsidR="001A1817">
        <w:t xml:space="preserve"> </w:t>
      </w:r>
      <w:r w:rsidR="00794FB6">
        <w:t>hours-ending 13 through 20</w:t>
      </w:r>
      <w:r w:rsidR="001A1817">
        <w:t xml:space="preserve"> </w:t>
      </w:r>
      <w:r>
        <w:t xml:space="preserve">on day </w:t>
      </w:r>
      <w:r>
        <w:rPr>
          <w:i/>
        </w:rPr>
        <w:t>t</w:t>
      </w:r>
      <w:r>
        <w:t xml:space="preserve"> in the summer months of June through September. </w:t>
      </w:r>
      <w:r>
        <w:rPr>
          <w:i/>
        </w:rPr>
        <w:t>DTYPE</w:t>
      </w:r>
      <w:r>
        <w:rPr>
          <w:i/>
          <w:vertAlign w:val="subscript"/>
        </w:rPr>
        <w:t>i,t</w:t>
      </w:r>
      <w:r>
        <w:t xml:space="preserve"> represents the day of week, while </w:t>
      </w:r>
      <w:r>
        <w:rPr>
          <w:i/>
        </w:rPr>
        <w:t>MONTH</w:t>
      </w:r>
      <w:r>
        <w:rPr>
          <w:i/>
          <w:vertAlign w:val="subscript"/>
        </w:rPr>
        <w:t>i,t</w:t>
      </w:r>
      <w:r>
        <w:t xml:space="preserve"> represents each month. The </w:t>
      </w:r>
      <w:r>
        <w:rPr>
          <w:i/>
        </w:rPr>
        <w:t>EVT</w:t>
      </w:r>
      <w:r>
        <w:rPr>
          <w:i/>
          <w:vertAlign w:val="subscript"/>
        </w:rPr>
        <w:t>i,t</w:t>
      </w:r>
      <w:r>
        <w:t xml:space="preserve"> variables control for any event days a customer faces (DBP, BIP, CPP, </w:t>
      </w:r>
      <w:r w:rsidRPr="00794FB6">
        <w:rPr>
          <w:i/>
        </w:rPr>
        <w:t>etc</w:t>
      </w:r>
      <w:r>
        <w:t xml:space="preserve">.). The variable of importance is </w:t>
      </w:r>
      <w:r>
        <w:rPr>
          <w:i/>
        </w:rPr>
        <w:t>Weather</w:t>
      </w:r>
      <w:r>
        <w:rPr>
          <w:i/>
          <w:vertAlign w:val="subscript"/>
        </w:rPr>
        <w:t>t</w:t>
      </w:r>
      <w:r>
        <w:t>, which is defined as CDD55, CDD60, or CDD65, each as a separate regression. The regression is estimated for each customer and weather specification. A customer is identified as weather sensitive if the weather coefficient (</w:t>
      </w:r>
      <w:r>
        <w:rPr>
          <w:i/>
        </w:rPr>
        <w:t>b</w:t>
      </w:r>
      <w:r>
        <w:rPr>
          <w:i/>
          <w:vertAlign w:val="superscript"/>
        </w:rPr>
        <w:t>Weather</w:t>
      </w:r>
      <w:r>
        <w:t>) is positive and statistically significant for any of the three separate weather specifications. Table</w:t>
      </w:r>
      <w:r w:rsidR="001A1817">
        <w:t>s</w:t>
      </w:r>
      <w:r>
        <w:t xml:space="preserve"> A.1 </w:t>
      </w:r>
      <w:r w:rsidR="001A1817">
        <w:t xml:space="preserve">through A.3 </w:t>
      </w:r>
      <w:r>
        <w:t>provides the number of customers that are categorized as weather sensitive by industry group</w:t>
      </w:r>
      <w:r w:rsidR="00794FB6">
        <w:t xml:space="preserve"> and utility</w:t>
      </w:r>
      <w:r>
        <w:t>.</w:t>
      </w:r>
      <w:r w:rsidR="005145FF">
        <w:t xml:space="preserve"> The proportion of customers classified as non-weather sensitive is 68%, 57%, and 33% for PG&amp;E, SCE, and SDG&amp;E, respectively.</w:t>
      </w:r>
    </w:p>
    <w:p w14:paraId="21CCCBE1" w14:textId="77777777" w:rsidR="00614D97" w:rsidRDefault="00614D97" w:rsidP="00614D97"/>
    <w:p w14:paraId="251976A0" w14:textId="3BBC7DF8" w:rsidR="00614D97" w:rsidRDefault="00614D97" w:rsidP="002B51F6">
      <w:pPr>
        <w:pStyle w:val="TableCaption"/>
        <w:keepNext/>
      </w:pPr>
      <w:bookmarkStart w:id="267" w:name="_Toc508800247"/>
      <w:r>
        <w:t>Table A.1: Weather Sensitive Customer Count by Industry Type</w:t>
      </w:r>
      <w:r w:rsidR="00AB13E3">
        <w:t>, PG</w:t>
      </w:r>
      <w:r w:rsidR="005E3E51">
        <w:t>&amp;</w:t>
      </w:r>
      <w:r w:rsidR="00AB13E3">
        <w:t>E</w:t>
      </w:r>
      <w:bookmarkEnd w:id="267"/>
    </w:p>
    <w:tbl>
      <w:tblPr>
        <w:tblW w:w="9085" w:type="dxa"/>
        <w:jc w:val="center"/>
        <w:tblLook w:val="04A0" w:firstRow="1" w:lastRow="0" w:firstColumn="1" w:lastColumn="0" w:noHBand="0" w:noVBand="1"/>
      </w:tblPr>
      <w:tblGrid>
        <w:gridCol w:w="4394"/>
        <w:gridCol w:w="1721"/>
        <w:gridCol w:w="1620"/>
        <w:gridCol w:w="1350"/>
      </w:tblGrid>
      <w:tr w:rsidR="002B51F6" w:rsidRPr="002B51F6" w14:paraId="739298DB" w14:textId="77777777" w:rsidTr="006B55F6">
        <w:trPr>
          <w:trHeight w:val="275"/>
          <w:jc w:val="center"/>
        </w:trPr>
        <w:tc>
          <w:tcPr>
            <w:tcW w:w="4394" w:type="dxa"/>
            <w:tcBorders>
              <w:top w:val="single" w:sz="4" w:space="0" w:color="auto"/>
              <w:left w:val="single" w:sz="4" w:space="0" w:color="auto"/>
              <w:bottom w:val="single" w:sz="4" w:space="0" w:color="auto"/>
              <w:right w:val="single" w:sz="4" w:space="0" w:color="FFFFFF"/>
            </w:tcBorders>
            <w:shd w:val="clear" w:color="auto" w:fill="0C2577"/>
            <w:noWrap/>
            <w:vAlign w:val="center"/>
            <w:hideMark/>
          </w:tcPr>
          <w:p w14:paraId="5CBE0B3E" w14:textId="77777777" w:rsidR="002B51F6" w:rsidRPr="002B51F6" w:rsidRDefault="002B51F6" w:rsidP="002B51F6">
            <w:pPr>
              <w:jc w:val="center"/>
              <w:rPr>
                <w:rFonts w:cs="Calibri"/>
                <w:b/>
                <w:bCs/>
                <w:color w:val="FFFFFF"/>
                <w:sz w:val="22"/>
                <w:szCs w:val="22"/>
              </w:rPr>
            </w:pPr>
            <w:r w:rsidRPr="002B51F6">
              <w:rPr>
                <w:rFonts w:cs="Calibri"/>
                <w:b/>
                <w:bCs/>
                <w:color w:val="FFFFFF"/>
                <w:sz w:val="22"/>
                <w:szCs w:val="22"/>
              </w:rPr>
              <w:t>Industry Type</w:t>
            </w:r>
          </w:p>
        </w:tc>
        <w:tc>
          <w:tcPr>
            <w:tcW w:w="1721" w:type="dxa"/>
            <w:tcBorders>
              <w:top w:val="single" w:sz="4" w:space="0" w:color="auto"/>
              <w:left w:val="nil"/>
              <w:bottom w:val="single" w:sz="4" w:space="0" w:color="auto"/>
              <w:right w:val="single" w:sz="4" w:space="0" w:color="FFFFFF"/>
            </w:tcBorders>
            <w:shd w:val="clear" w:color="auto" w:fill="0C2577"/>
            <w:noWrap/>
            <w:vAlign w:val="center"/>
            <w:hideMark/>
          </w:tcPr>
          <w:p w14:paraId="01C23A12" w14:textId="38AB8A42" w:rsidR="002B51F6" w:rsidRPr="002B51F6" w:rsidRDefault="002B51F6" w:rsidP="002B51F6">
            <w:pPr>
              <w:jc w:val="center"/>
              <w:rPr>
                <w:rFonts w:cs="Calibri"/>
                <w:b/>
                <w:bCs/>
                <w:color w:val="FFFFFF"/>
                <w:sz w:val="22"/>
                <w:szCs w:val="22"/>
              </w:rPr>
            </w:pPr>
            <w:r w:rsidRPr="002B51F6">
              <w:rPr>
                <w:rFonts w:cs="Calibri"/>
                <w:b/>
                <w:bCs/>
                <w:color w:val="FFFFFF"/>
                <w:sz w:val="22"/>
                <w:szCs w:val="22"/>
              </w:rPr>
              <w:t>Weather Sensitive</w:t>
            </w:r>
          </w:p>
        </w:tc>
        <w:tc>
          <w:tcPr>
            <w:tcW w:w="1620" w:type="dxa"/>
            <w:tcBorders>
              <w:top w:val="single" w:sz="4" w:space="0" w:color="auto"/>
              <w:left w:val="nil"/>
              <w:bottom w:val="single" w:sz="4" w:space="0" w:color="auto"/>
              <w:right w:val="single" w:sz="4" w:space="0" w:color="FFFFFF"/>
            </w:tcBorders>
            <w:shd w:val="clear" w:color="auto" w:fill="0C2577"/>
            <w:noWrap/>
            <w:vAlign w:val="center"/>
            <w:hideMark/>
          </w:tcPr>
          <w:p w14:paraId="133A7146" w14:textId="1731BEED" w:rsidR="002B51F6" w:rsidRPr="002B51F6" w:rsidRDefault="005145FF" w:rsidP="002B51F6">
            <w:pPr>
              <w:jc w:val="center"/>
              <w:rPr>
                <w:rFonts w:cs="Calibri"/>
                <w:b/>
                <w:bCs/>
                <w:color w:val="FFFFFF"/>
                <w:sz w:val="22"/>
                <w:szCs w:val="22"/>
              </w:rPr>
            </w:pPr>
            <w:r>
              <w:rPr>
                <w:rFonts w:cs="Calibri"/>
                <w:b/>
                <w:bCs/>
                <w:color w:val="FFFFFF"/>
                <w:sz w:val="22"/>
                <w:szCs w:val="22"/>
              </w:rPr>
              <w:t>Non-</w:t>
            </w:r>
            <w:r w:rsidR="002B51F6" w:rsidRPr="002B51F6">
              <w:rPr>
                <w:rFonts w:cs="Calibri"/>
                <w:b/>
                <w:bCs/>
                <w:color w:val="FFFFFF"/>
                <w:sz w:val="22"/>
                <w:szCs w:val="22"/>
              </w:rPr>
              <w:t>Weather Sensitive</w:t>
            </w:r>
          </w:p>
        </w:tc>
        <w:tc>
          <w:tcPr>
            <w:tcW w:w="1350" w:type="dxa"/>
            <w:tcBorders>
              <w:top w:val="single" w:sz="4" w:space="0" w:color="auto"/>
              <w:left w:val="nil"/>
              <w:bottom w:val="single" w:sz="4" w:space="0" w:color="auto"/>
              <w:right w:val="single" w:sz="4" w:space="0" w:color="auto"/>
            </w:tcBorders>
            <w:shd w:val="clear" w:color="auto" w:fill="0C2577"/>
            <w:noWrap/>
            <w:vAlign w:val="center"/>
            <w:hideMark/>
          </w:tcPr>
          <w:p w14:paraId="44184EC4" w14:textId="77777777" w:rsidR="002B51F6" w:rsidRPr="002B51F6" w:rsidRDefault="002B51F6" w:rsidP="002B51F6">
            <w:pPr>
              <w:jc w:val="center"/>
              <w:rPr>
                <w:rFonts w:cs="Calibri"/>
                <w:b/>
                <w:bCs/>
                <w:color w:val="FFFFFF"/>
                <w:sz w:val="22"/>
                <w:szCs w:val="22"/>
              </w:rPr>
            </w:pPr>
            <w:r w:rsidRPr="002B51F6">
              <w:rPr>
                <w:rFonts w:cs="Calibri"/>
                <w:b/>
                <w:bCs/>
                <w:color w:val="FFFFFF"/>
                <w:sz w:val="22"/>
                <w:szCs w:val="22"/>
              </w:rPr>
              <w:t>Total</w:t>
            </w:r>
          </w:p>
        </w:tc>
      </w:tr>
      <w:tr w:rsidR="002B51F6" w:rsidRPr="002B51F6" w14:paraId="11310323" w14:textId="77777777" w:rsidTr="003C544C">
        <w:trPr>
          <w:trHeight w:val="275"/>
          <w:jc w:val="center"/>
        </w:trPr>
        <w:tc>
          <w:tcPr>
            <w:tcW w:w="4394" w:type="dxa"/>
            <w:tcBorders>
              <w:top w:val="nil"/>
              <w:left w:val="single" w:sz="4" w:space="0" w:color="auto"/>
              <w:bottom w:val="single" w:sz="4" w:space="0" w:color="auto"/>
              <w:right w:val="single" w:sz="4" w:space="0" w:color="auto"/>
            </w:tcBorders>
            <w:shd w:val="clear" w:color="auto" w:fill="auto"/>
            <w:noWrap/>
            <w:vAlign w:val="center"/>
            <w:hideMark/>
          </w:tcPr>
          <w:p w14:paraId="59FEF9BA" w14:textId="77777777" w:rsidR="002B51F6" w:rsidRPr="002B51F6" w:rsidRDefault="002B51F6" w:rsidP="002B51F6">
            <w:pPr>
              <w:rPr>
                <w:rFonts w:ascii="Arial" w:hAnsi="Arial" w:cs="Arial"/>
                <w:color w:val="000000"/>
                <w:sz w:val="20"/>
                <w:szCs w:val="20"/>
              </w:rPr>
            </w:pPr>
            <w:r w:rsidRPr="002B51F6">
              <w:rPr>
                <w:rFonts w:ascii="Arial" w:hAnsi="Arial" w:cs="Arial"/>
                <w:color w:val="000000"/>
                <w:sz w:val="20"/>
                <w:szCs w:val="20"/>
              </w:rPr>
              <w:t>1. Agriculture, Mining, Construction</w:t>
            </w:r>
          </w:p>
        </w:tc>
        <w:tc>
          <w:tcPr>
            <w:tcW w:w="1721" w:type="dxa"/>
            <w:tcBorders>
              <w:top w:val="nil"/>
              <w:left w:val="nil"/>
              <w:bottom w:val="single" w:sz="4" w:space="0" w:color="auto"/>
              <w:right w:val="single" w:sz="4" w:space="0" w:color="auto"/>
            </w:tcBorders>
            <w:shd w:val="clear" w:color="auto" w:fill="auto"/>
            <w:noWrap/>
            <w:vAlign w:val="center"/>
            <w:hideMark/>
          </w:tcPr>
          <w:p w14:paraId="25BF2B44" w14:textId="77777777" w:rsidR="002B51F6" w:rsidRPr="002B51F6" w:rsidRDefault="002B51F6" w:rsidP="002B51F6">
            <w:pPr>
              <w:jc w:val="center"/>
              <w:rPr>
                <w:rFonts w:cs="Calibri"/>
                <w:color w:val="000000"/>
                <w:sz w:val="22"/>
                <w:szCs w:val="22"/>
              </w:rPr>
            </w:pPr>
            <w:r w:rsidRPr="002B51F6">
              <w:rPr>
                <w:rFonts w:cs="Calibri"/>
                <w:color w:val="000000"/>
                <w:sz w:val="22"/>
                <w:szCs w:val="22"/>
              </w:rPr>
              <w:t>38</w:t>
            </w:r>
          </w:p>
        </w:tc>
        <w:tc>
          <w:tcPr>
            <w:tcW w:w="1620" w:type="dxa"/>
            <w:tcBorders>
              <w:top w:val="nil"/>
              <w:left w:val="nil"/>
              <w:bottom w:val="single" w:sz="4" w:space="0" w:color="auto"/>
              <w:right w:val="single" w:sz="4" w:space="0" w:color="auto"/>
            </w:tcBorders>
            <w:shd w:val="clear" w:color="auto" w:fill="auto"/>
            <w:noWrap/>
            <w:vAlign w:val="center"/>
            <w:hideMark/>
          </w:tcPr>
          <w:p w14:paraId="31EB8940" w14:textId="77777777" w:rsidR="002B51F6" w:rsidRPr="002B51F6" w:rsidRDefault="002B51F6" w:rsidP="002B51F6">
            <w:pPr>
              <w:jc w:val="center"/>
              <w:rPr>
                <w:rFonts w:cs="Calibri"/>
                <w:color w:val="000000"/>
                <w:sz w:val="22"/>
                <w:szCs w:val="22"/>
              </w:rPr>
            </w:pPr>
            <w:r w:rsidRPr="002B51F6">
              <w:rPr>
                <w:rFonts w:cs="Calibri"/>
                <w:color w:val="000000"/>
                <w:sz w:val="22"/>
                <w:szCs w:val="22"/>
              </w:rPr>
              <w:t>88</w:t>
            </w:r>
          </w:p>
        </w:tc>
        <w:tc>
          <w:tcPr>
            <w:tcW w:w="1350" w:type="dxa"/>
            <w:tcBorders>
              <w:top w:val="nil"/>
              <w:left w:val="nil"/>
              <w:bottom w:val="single" w:sz="4" w:space="0" w:color="auto"/>
              <w:right w:val="single" w:sz="4" w:space="0" w:color="auto"/>
            </w:tcBorders>
            <w:shd w:val="clear" w:color="auto" w:fill="auto"/>
            <w:noWrap/>
            <w:vAlign w:val="center"/>
            <w:hideMark/>
          </w:tcPr>
          <w:p w14:paraId="33FD22E9" w14:textId="77777777" w:rsidR="002B51F6" w:rsidRPr="002B51F6" w:rsidRDefault="002B51F6" w:rsidP="002B51F6">
            <w:pPr>
              <w:jc w:val="center"/>
              <w:rPr>
                <w:rFonts w:cs="Calibri"/>
                <w:color w:val="000000"/>
                <w:sz w:val="22"/>
                <w:szCs w:val="22"/>
              </w:rPr>
            </w:pPr>
            <w:r w:rsidRPr="002B51F6">
              <w:rPr>
                <w:rFonts w:cs="Calibri"/>
                <w:color w:val="000000"/>
                <w:sz w:val="22"/>
                <w:szCs w:val="22"/>
              </w:rPr>
              <w:t>126</w:t>
            </w:r>
          </w:p>
        </w:tc>
      </w:tr>
      <w:tr w:rsidR="002B51F6" w:rsidRPr="002B51F6" w14:paraId="54B2D8F3" w14:textId="77777777" w:rsidTr="003C544C">
        <w:trPr>
          <w:trHeight w:val="275"/>
          <w:jc w:val="center"/>
        </w:trPr>
        <w:tc>
          <w:tcPr>
            <w:tcW w:w="4394" w:type="dxa"/>
            <w:tcBorders>
              <w:top w:val="nil"/>
              <w:left w:val="single" w:sz="4" w:space="0" w:color="auto"/>
              <w:bottom w:val="single" w:sz="4" w:space="0" w:color="auto"/>
              <w:right w:val="single" w:sz="4" w:space="0" w:color="auto"/>
            </w:tcBorders>
            <w:shd w:val="clear" w:color="auto" w:fill="auto"/>
            <w:noWrap/>
            <w:vAlign w:val="center"/>
            <w:hideMark/>
          </w:tcPr>
          <w:p w14:paraId="20521BED" w14:textId="77777777" w:rsidR="002B51F6" w:rsidRPr="002B51F6" w:rsidRDefault="002B51F6" w:rsidP="002B51F6">
            <w:pPr>
              <w:rPr>
                <w:rFonts w:ascii="Arial" w:hAnsi="Arial" w:cs="Arial"/>
                <w:color w:val="000000"/>
                <w:sz w:val="20"/>
                <w:szCs w:val="20"/>
              </w:rPr>
            </w:pPr>
            <w:r w:rsidRPr="002B51F6">
              <w:rPr>
                <w:rFonts w:ascii="Arial" w:hAnsi="Arial" w:cs="Arial"/>
                <w:color w:val="000000"/>
                <w:sz w:val="20"/>
                <w:szCs w:val="20"/>
              </w:rPr>
              <w:t>2. Manufacturing</w:t>
            </w:r>
          </w:p>
        </w:tc>
        <w:tc>
          <w:tcPr>
            <w:tcW w:w="1721" w:type="dxa"/>
            <w:tcBorders>
              <w:top w:val="nil"/>
              <w:left w:val="nil"/>
              <w:bottom w:val="single" w:sz="4" w:space="0" w:color="auto"/>
              <w:right w:val="single" w:sz="4" w:space="0" w:color="auto"/>
            </w:tcBorders>
            <w:shd w:val="clear" w:color="auto" w:fill="auto"/>
            <w:noWrap/>
            <w:vAlign w:val="center"/>
            <w:hideMark/>
          </w:tcPr>
          <w:p w14:paraId="09060E25" w14:textId="77777777" w:rsidR="002B51F6" w:rsidRPr="002B51F6" w:rsidRDefault="002B51F6" w:rsidP="002B51F6">
            <w:pPr>
              <w:jc w:val="center"/>
              <w:rPr>
                <w:rFonts w:cs="Calibri"/>
                <w:color w:val="000000"/>
                <w:sz w:val="22"/>
                <w:szCs w:val="22"/>
              </w:rPr>
            </w:pPr>
            <w:r w:rsidRPr="002B51F6">
              <w:rPr>
                <w:rFonts w:cs="Calibri"/>
                <w:color w:val="000000"/>
                <w:sz w:val="22"/>
                <w:szCs w:val="22"/>
              </w:rPr>
              <w:t>21</w:t>
            </w:r>
          </w:p>
        </w:tc>
        <w:tc>
          <w:tcPr>
            <w:tcW w:w="1620" w:type="dxa"/>
            <w:tcBorders>
              <w:top w:val="nil"/>
              <w:left w:val="nil"/>
              <w:bottom w:val="single" w:sz="4" w:space="0" w:color="auto"/>
              <w:right w:val="single" w:sz="4" w:space="0" w:color="auto"/>
            </w:tcBorders>
            <w:shd w:val="clear" w:color="auto" w:fill="auto"/>
            <w:noWrap/>
            <w:vAlign w:val="center"/>
            <w:hideMark/>
          </w:tcPr>
          <w:p w14:paraId="48595A03" w14:textId="77777777" w:rsidR="002B51F6" w:rsidRPr="002B51F6" w:rsidRDefault="002B51F6" w:rsidP="002B51F6">
            <w:pPr>
              <w:jc w:val="center"/>
              <w:rPr>
                <w:rFonts w:cs="Calibri"/>
                <w:color w:val="000000"/>
                <w:sz w:val="22"/>
                <w:szCs w:val="22"/>
              </w:rPr>
            </w:pPr>
            <w:r w:rsidRPr="002B51F6">
              <w:rPr>
                <w:rFonts w:cs="Calibri"/>
                <w:color w:val="000000"/>
                <w:sz w:val="22"/>
                <w:szCs w:val="22"/>
              </w:rPr>
              <w:t>74</w:t>
            </w:r>
          </w:p>
        </w:tc>
        <w:tc>
          <w:tcPr>
            <w:tcW w:w="1350" w:type="dxa"/>
            <w:tcBorders>
              <w:top w:val="nil"/>
              <w:left w:val="nil"/>
              <w:bottom w:val="single" w:sz="4" w:space="0" w:color="auto"/>
              <w:right w:val="single" w:sz="4" w:space="0" w:color="auto"/>
            </w:tcBorders>
            <w:shd w:val="clear" w:color="auto" w:fill="auto"/>
            <w:noWrap/>
            <w:vAlign w:val="center"/>
            <w:hideMark/>
          </w:tcPr>
          <w:p w14:paraId="26DF0440" w14:textId="77777777" w:rsidR="002B51F6" w:rsidRPr="002B51F6" w:rsidRDefault="002B51F6" w:rsidP="002B51F6">
            <w:pPr>
              <w:jc w:val="center"/>
              <w:rPr>
                <w:rFonts w:cs="Calibri"/>
                <w:color w:val="000000"/>
                <w:sz w:val="22"/>
                <w:szCs w:val="22"/>
              </w:rPr>
            </w:pPr>
            <w:r w:rsidRPr="002B51F6">
              <w:rPr>
                <w:rFonts w:cs="Calibri"/>
                <w:color w:val="000000"/>
                <w:sz w:val="22"/>
                <w:szCs w:val="22"/>
              </w:rPr>
              <w:t>95</w:t>
            </w:r>
          </w:p>
        </w:tc>
      </w:tr>
      <w:tr w:rsidR="002B51F6" w:rsidRPr="002B51F6" w14:paraId="51691000" w14:textId="77777777" w:rsidTr="003C544C">
        <w:trPr>
          <w:trHeight w:val="275"/>
          <w:jc w:val="center"/>
        </w:trPr>
        <w:tc>
          <w:tcPr>
            <w:tcW w:w="4394" w:type="dxa"/>
            <w:tcBorders>
              <w:top w:val="nil"/>
              <w:left w:val="single" w:sz="4" w:space="0" w:color="auto"/>
              <w:bottom w:val="single" w:sz="4" w:space="0" w:color="auto"/>
              <w:right w:val="single" w:sz="4" w:space="0" w:color="auto"/>
            </w:tcBorders>
            <w:shd w:val="clear" w:color="auto" w:fill="auto"/>
            <w:noWrap/>
            <w:vAlign w:val="center"/>
            <w:hideMark/>
          </w:tcPr>
          <w:p w14:paraId="6C39C9FA" w14:textId="77777777" w:rsidR="002B51F6" w:rsidRPr="002B51F6" w:rsidRDefault="002B51F6" w:rsidP="002B51F6">
            <w:pPr>
              <w:rPr>
                <w:rFonts w:ascii="Arial" w:hAnsi="Arial" w:cs="Arial"/>
                <w:color w:val="000000"/>
                <w:sz w:val="20"/>
                <w:szCs w:val="20"/>
              </w:rPr>
            </w:pPr>
            <w:r w:rsidRPr="002B51F6">
              <w:rPr>
                <w:rFonts w:ascii="Arial" w:hAnsi="Arial" w:cs="Arial"/>
                <w:color w:val="000000"/>
                <w:sz w:val="20"/>
                <w:szCs w:val="20"/>
              </w:rPr>
              <w:t>3. Wholesale, Transportation, Utilities</w:t>
            </w:r>
          </w:p>
        </w:tc>
        <w:tc>
          <w:tcPr>
            <w:tcW w:w="1721" w:type="dxa"/>
            <w:tcBorders>
              <w:top w:val="nil"/>
              <w:left w:val="nil"/>
              <w:bottom w:val="single" w:sz="4" w:space="0" w:color="auto"/>
              <w:right w:val="single" w:sz="4" w:space="0" w:color="auto"/>
            </w:tcBorders>
            <w:shd w:val="clear" w:color="auto" w:fill="auto"/>
            <w:noWrap/>
            <w:vAlign w:val="center"/>
            <w:hideMark/>
          </w:tcPr>
          <w:p w14:paraId="000664A6" w14:textId="77777777" w:rsidR="002B51F6" w:rsidRPr="002B51F6" w:rsidRDefault="002B51F6" w:rsidP="002B51F6">
            <w:pPr>
              <w:jc w:val="center"/>
              <w:rPr>
                <w:rFonts w:cs="Calibri"/>
                <w:color w:val="000000"/>
                <w:sz w:val="22"/>
                <w:szCs w:val="22"/>
              </w:rPr>
            </w:pPr>
            <w:r w:rsidRPr="002B51F6">
              <w:rPr>
                <w:rFonts w:cs="Calibri"/>
                <w:color w:val="000000"/>
                <w:sz w:val="22"/>
                <w:szCs w:val="22"/>
              </w:rPr>
              <w:t>20</w:t>
            </w:r>
          </w:p>
        </w:tc>
        <w:tc>
          <w:tcPr>
            <w:tcW w:w="1620" w:type="dxa"/>
            <w:tcBorders>
              <w:top w:val="nil"/>
              <w:left w:val="nil"/>
              <w:bottom w:val="single" w:sz="4" w:space="0" w:color="auto"/>
              <w:right w:val="single" w:sz="4" w:space="0" w:color="auto"/>
            </w:tcBorders>
            <w:shd w:val="clear" w:color="auto" w:fill="auto"/>
            <w:noWrap/>
            <w:vAlign w:val="center"/>
            <w:hideMark/>
          </w:tcPr>
          <w:p w14:paraId="104FEC48" w14:textId="77777777" w:rsidR="002B51F6" w:rsidRPr="002B51F6" w:rsidRDefault="002B51F6" w:rsidP="002B51F6">
            <w:pPr>
              <w:jc w:val="center"/>
              <w:rPr>
                <w:rFonts w:cs="Calibri"/>
                <w:color w:val="000000"/>
                <w:sz w:val="22"/>
                <w:szCs w:val="22"/>
              </w:rPr>
            </w:pPr>
            <w:r w:rsidRPr="002B51F6">
              <w:rPr>
                <w:rFonts w:cs="Calibri"/>
                <w:color w:val="000000"/>
                <w:sz w:val="22"/>
                <w:szCs w:val="22"/>
              </w:rPr>
              <w:t>49</w:t>
            </w:r>
          </w:p>
        </w:tc>
        <w:tc>
          <w:tcPr>
            <w:tcW w:w="1350" w:type="dxa"/>
            <w:tcBorders>
              <w:top w:val="nil"/>
              <w:left w:val="nil"/>
              <w:bottom w:val="single" w:sz="4" w:space="0" w:color="auto"/>
              <w:right w:val="single" w:sz="4" w:space="0" w:color="auto"/>
            </w:tcBorders>
            <w:shd w:val="clear" w:color="auto" w:fill="auto"/>
            <w:noWrap/>
            <w:vAlign w:val="center"/>
            <w:hideMark/>
          </w:tcPr>
          <w:p w14:paraId="65282D91" w14:textId="77777777" w:rsidR="002B51F6" w:rsidRPr="002B51F6" w:rsidRDefault="002B51F6" w:rsidP="002B51F6">
            <w:pPr>
              <w:jc w:val="center"/>
              <w:rPr>
                <w:rFonts w:cs="Calibri"/>
                <w:color w:val="000000"/>
                <w:sz w:val="22"/>
                <w:szCs w:val="22"/>
              </w:rPr>
            </w:pPr>
            <w:r w:rsidRPr="002B51F6">
              <w:rPr>
                <w:rFonts w:cs="Calibri"/>
                <w:color w:val="000000"/>
                <w:sz w:val="22"/>
                <w:szCs w:val="22"/>
              </w:rPr>
              <w:t>69</w:t>
            </w:r>
          </w:p>
        </w:tc>
      </w:tr>
      <w:tr w:rsidR="002B51F6" w:rsidRPr="002B51F6" w14:paraId="65D65C0E" w14:textId="77777777" w:rsidTr="003C544C">
        <w:trPr>
          <w:trHeight w:val="275"/>
          <w:jc w:val="center"/>
        </w:trPr>
        <w:tc>
          <w:tcPr>
            <w:tcW w:w="4394" w:type="dxa"/>
            <w:tcBorders>
              <w:top w:val="nil"/>
              <w:left w:val="single" w:sz="4" w:space="0" w:color="auto"/>
              <w:bottom w:val="single" w:sz="4" w:space="0" w:color="auto"/>
              <w:right w:val="single" w:sz="4" w:space="0" w:color="auto"/>
            </w:tcBorders>
            <w:shd w:val="clear" w:color="auto" w:fill="auto"/>
            <w:noWrap/>
            <w:vAlign w:val="center"/>
            <w:hideMark/>
          </w:tcPr>
          <w:p w14:paraId="4697AF15" w14:textId="77777777" w:rsidR="002B51F6" w:rsidRPr="002B51F6" w:rsidRDefault="002B51F6" w:rsidP="002B51F6">
            <w:pPr>
              <w:rPr>
                <w:rFonts w:ascii="Arial" w:hAnsi="Arial" w:cs="Arial"/>
                <w:color w:val="000000"/>
                <w:sz w:val="20"/>
                <w:szCs w:val="20"/>
              </w:rPr>
            </w:pPr>
            <w:r w:rsidRPr="002B51F6">
              <w:rPr>
                <w:rFonts w:ascii="Arial" w:hAnsi="Arial" w:cs="Arial"/>
                <w:color w:val="000000"/>
                <w:sz w:val="20"/>
                <w:szCs w:val="20"/>
              </w:rPr>
              <w:t>4. Retail</w:t>
            </w:r>
          </w:p>
        </w:tc>
        <w:tc>
          <w:tcPr>
            <w:tcW w:w="1721" w:type="dxa"/>
            <w:tcBorders>
              <w:top w:val="nil"/>
              <w:left w:val="nil"/>
              <w:bottom w:val="single" w:sz="4" w:space="0" w:color="auto"/>
              <w:right w:val="single" w:sz="4" w:space="0" w:color="auto"/>
            </w:tcBorders>
            <w:shd w:val="clear" w:color="auto" w:fill="auto"/>
            <w:noWrap/>
            <w:vAlign w:val="center"/>
            <w:hideMark/>
          </w:tcPr>
          <w:p w14:paraId="4424A5B9" w14:textId="77777777" w:rsidR="002B51F6" w:rsidRPr="002B51F6" w:rsidRDefault="002B51F6" w:rsidP="002B51F6">
            <w:pPr>
              <w:jc w:val="center"/>
              <w:rPr>
                <w:rFonts w:cs="Calibri"/>
                <w:color w:val="000000"/>
                <w:sz w:val="22"/>
                <w:szCs w:val="22"/>
              </w:rPr>
            </w:pPr>
            <w:r w:rsidRPr="002B51F6">
              <w:rPr>
                <w:rFonts w:cs="Calibri"/>
                <w:color w:val="000000"/>
                <w:sz w:val="22"/>
                <w:szCs w:val="22"/>
              </w:rPr>
              <w:t>9</w:t>
            </w:r>
          </w:p>
        </w:tc>
        <w:tc>
          <w:tcPr>
            <w:tcW w:w="1620" w:type="dxa"/>
            <w:tcBorders>
              <w:top w:val="nil"/>
              <w:left w:val="nil"/>
              <w:bottom w:val="single" w:sz="4" w:space="0" w:color="auto"/>
              <w:right w:val="single" w:sz="4" w:space="0" w:color="auto"/>
            </w:tcBorders>
            <w:shd w:val="clear" w:color="auto" w:fill="auto"/>
            <w:noWrap/>
            <w:vAlign w:val="center"/>
            <w:hideMark/>
          </w:tcPr>
          <w:p w14:paraId="4CF69607" w14:textId="77777777" w:rsidR="002B51F6" w:rsidRPr="002B51F6" w:rsidRDefault="002B51F6" w:rsidP="002B51F6">
            <w:pPr>
              <w:jc w:val="center"/>
              <w:rPr>
                <w:rFonts w:cs="Calibri"/>
                <w:color w:val="000000"/>
                <w:sz w:val="22"/>
                <w:szCs w:val="22"/>
              </w:rPr>
            </w:pPr>
            <w:r w:rsidRPr="002B51F6">
              <w:rPr>
                <w:rFonts w:cs="Calibri"/>
                <w:color w:val="000000"/>
                <w:sz w:val="22"/>
                <w:szCs w:val="22"/>
              </w:rPr>
              <w:t>1</w:t>
            </w:r>
          </w:p>
        </w:tc>
        <w:tc>
          <w:tcPr>
            <w:tcW w:w="1350" w:type="dxa"/>
            <w:tcBorders>
              <w:top w:val="nil"/>
              <w:left w:val="nil"/>
              <w:bottom w:val="single" w:sz="4" w:space="0" w:color="auto"/>
              <w:right w:val="single" w:sz="4" w:space="0" w:color="auto"/>
            </w:tcBorders>
            <w:shd w:val="clear" w:color="auto" w:fill="auto"/>
            <w:noWrap/>
            <w:vAlign w:val="center"/>
            <w:hideMark/>
          </w:tcPr>
          <w:p w14:paraId="2AE672FF" w14:textId="77777777" w:rsidR="002B51F6" w:rsidRPr="002B51F6" w:rsidRDefault="002B51F6" w:rsidP="002B51F6">
            <w:pPr>
              <w:jc w:val="center"/>
              <w:rPr>
                <w:rFonts w:cs="Calibri"/>
                <w:color w:val="000000"/>
                <w:sz w:val="22"/>
                <w:szCs w:val="22"/>
              </w:rPr>
            </w:pPr>
            <w:r w:rsidRPr="002B51F6">
              <w:rPr>
                <w:rFonts w:cs="Calibri"/>
                <w:color w:val="000000"/>
                <w:sz w:val="22"/>
                <w:szCs w:val="22"/>
              </w:rPr>
              <w:t>10</w:t>
            </w:r>
          </w:p>
        </w:tc>
      </w:tr>
      <w:tr w:rsidR="002B51F6" w:rsidRPr="002B51F6" w14:paraId="7BE154D3" w14:textId="77777777" w:rsidTr="003C544C">
        <w:trPr>
          <w:trHeight w:val="275"/>
          <w:jc w:val="center"/>
        </w:trPr>
        <w:tc>
          <w:tcPr>
            <w:tcW w:w="4394" w:type="dxa"/>
            <w:tcBorders>
              <w:top w:val="nil"/>
              <w:left w:val="single" w:sz="4" w:space="0" w:color="auto"/>
              <w:bottom w:val="single" w:sz="4" w:space="0" w:color="auto"/>
              <w:right w:val="single" w:sz="4" w:space="0" w:color="auto"/>
            </w:tcBorders>
            <w:shd w:val="clear" w:color="auto" w:fill="auto"/>
            <w:noWrap/>
            <w:vAlign w:val="center"/>
            <w:hideMark/>
          </w:tcPr>
          <w:p w14:paraId="6B96607F" w14:textId="77777777" w:rsidR="002B51F6" w:rsidRPr="002B51F6" w:rsidRDefault="002B51F6" w:rsidP="002B51F6">
            <w:pPr>
              <w:rPr>
                <w:rFonts w:ascii="Arial" w:hAnsi="Arial" w:cs="Arial"/>
                <w:color w:val="000000"/>
                <w:sz w:val="20"/>
                <w:szCs w:val="20"/>
              </w:rPr>
            </w:pPr>
            <w:r w:rsidRPr="002B51F6">
              <w:rPr>
                <w:rFonts w:ascii="Arial" w:hAnsi="Arial" w:cs="Arial"/>
                <w:color w:val="000000"/>
                <w:sz w:val="20"/>
                <w:szCs w:val="20"/>
              </w:rPr>
              <w:t>5. Offices, Hotels, Health, Services</w:t>
            </w:r>
          </w:p>
        </w:tc>
        <w:tc>
          <w:tcPr>
            <w:tcW w:w="1721" w:type="dxa"/>
            <w:tcBorders>
              <w:top w:val="nil"/>
              <w:left w:val="nil"/>
              <w:bottom w:val="single" w:sz="4" w:space="0" w:color="auto"/>
              <w:right w:val="single" w:sz="4" w:space="0" w:color="auto"/>
            </w:tcBorders>
            <w:shd w:val="clear" w:color="auto" w:fill="auto"/>
            <w:noWrap/>
            <w:vAlign w:val="center"/>
            <w:hideMark/>
          </w:tcPr>
          <w:p w14:paraId="0300D90F" w14:textId="77777777" w:rsidR="002B51F6" w:rsidRPr="002B51F6" w:rsidRDefault="002B51F6" w:rsidP="002B51F6">
            <w:pPr>
              <w:jc w:val="center"/>
              <w:rPr>
                <w:rFonts w:cs="Calibri"/>
                <w:color w:val="000000"/>
                <w:sz w:val="22"/>
                <w:szCs w:val="22"/>
              </w:rPr>
            </w:pPr>
            <w:r w:rsidRPr="002B51F6">
              <w:rPr>
                <w:rFonts w:cs="Calibri"/>
                <w:color w:val="000000"/>
                <w:sz w:val="22"/>
                <w:szCs w:val="22"/>
              </w:rPr>
              <w:t>14</w:t>
            </w:r>
          </w:p>
        </w:tc>
        <w:tc>
          <w:tcPr>
            <w:tcW w:w="1620" w:type="dxa"/>
            <w:tcBorders>
              <w:top w:val="nil"/>
              <w:left w:val="nil"/>
              <w:bottom w:val="single" w:sz="4" w:space="0" w:color="auto"/>
              <w:right w:val="single" w:sz="4" w:space="0" w:color="auto"/>
            </w:tcBorders>
            <w:shd w:val="clear" w:color="auto" w:fill="auto"/>
            <w:noWrap/>
            <w:vAlign w:val="center"/>
            <w:hideMark/>
          </w:tcPr>
          <w:p w14:paraId="5293BDBC" w14:textId="77777777" w:rsidR="002B51F6" w:rsidRPr="002B51F6" w:rsidRDefault="002B51F6" w:rsidP="002B51F6">
            <w:pPr>
              <w:jc w:val="center"/>
              <w:rPr>
                <w:rFonts w:cs="Calibri"/>
                <w:color w:val="000000"/>
                <w:sz w:val="22"/>
                <w:szCs w:val="22"/>
              </w:rPr>
            </w:pPr>
            <w:r w:rsidRPr="002B51F6">
              <w:rPr>
                <w:rFonts w:cs="Calibri"/>
                <w:color w:val="000000"/>
                <w:sz w:val="22"/>
                <w:szCs w:val="22"/>
              </w:rPr>
              <w:t>5</w:t>
            </w:r>
          </w:p>
        </w:tc>
        <w:tc>
          <w:tcPr>
            <w:tcW w:w="1350" w:type="dxa"/>
            <w:tcBorders>
              <w:top w:val="nil"/>
              <w:left w:val="nil"/>
              <w:bottom w:val="single" w:sz="4" w:space="0" w:color="auto"/>
              <w:right w:val="single" w:sz="4" w:space="0" w:color="auto"/>
            </w:tcBorders>
            <w:shd w:val="clear" w:color="auto" w:fill="auto"/>
            <w:noWrap/>
            <w:vAlign w:val="center"/>
            <w:hideMark/>
          </w:tcPr>
          <w:p w14:paraId="08E2B25D" w14:textId="77777777" w:rsidR="002B51F6" w:rsidRPr="002B51F6" w:rsidRDefault="002B51F6" w:rsidP="002B51F6">
            <w:pPr>
              <w:jc w:val="center"/>
              <w:rPr>
                <w:rFonts w:cs="Calibri"/>
                <w:color w:val="000000"/>
                <w:sz w:val="22"/>
                <w:szCs w:val="22"/>
              </w:rPr>
            </w:pPr>
            <w:r w:rsidRPr="002B51F6">
              <w:rPr>
                <w:rFonts w:cs="Calibri"/>
                <w:color w:val="000000"/>
                <w:sz w:val="22"/>
                <w:szCs w:val="22"/>
              </w:rPr>
              <w:t>19</w:t>
            </w:r>
          </w:p>
        </w:tc>
      </w:tr>
      <w:tr w:rsidR="002B51F6" w:rsidRPr="002B51F6" w14:paraId="1BDC65CA" w14:textId="77777777" w:rsidTr="003C544C">
        <w:trPr>
          <w:trHeight w:val="275"/>
          <w:jc w:val="center"/>
        </w:trPr>
        <w:tc>
          <w:tcPr>
            <w:tcW w:w="4394" w:type="dxa"/>
            <w:tcBorders>
              <w:top w:val="nil"/>
              <w:left w:val="single" w:sz="4" w:space="0" w:color="auto"/>
              <w:bottom w:val="single" w:sz="4" w:space="0" w:color="auto"/>
              <w:right w:val="single" w:sz="4" w:space="0" w:color="auto"/>
            </w:tcBorders>
            <w:shd w:val="clear" w:color="auto" w:fill="auto"/>
            <w:noWrap/>
            <w:vAlign w:val="center"/>
            <w:hideMark/>
          </w:tcPr>
          <w:p w14:paraId="0E8027F4" w14:textId="77777777" w:rsidR="002B51F6" w:rsidRPr="002B51F6" w:rsidRDefault="002B51F6" w:rsidP="002B51F6">
            <w:pPr>
              <w:rPr>
                <w:rFonts w:ascii="Arial" w:hAnsi="Arial" w:cs="Arial"/>
                <w:color w:val="000000"/>
                <w:sz w:val="20"/>
                <w:szCs w:val="20"/>
              </w:rPr>
            </w:pPr>
            <w:r w:rsidRPr="002B51F6">
              <w:rPr>
                <w:rFonts w:ascii="Arial" w:hAnsi="Arial" w:cs="Arial"/>
                <w:color w:val="000000"/>
                <w:sz w:val="20"/>
                <w:szCs w:val="20"/>
              </w:rPr>
              <w:t>7. Entertainment, Other Services, Government.</w:t>
            </w:r>
          </w:p>
        </w:tc>
        <w:tc>
          <w:tcPr>
            <w:tcW w:w="1721" w:type="dxa"/>
            <w:tcBorders>
              <w:top w:val="nil"/>
              <w:left w:val="nil"/>
              <w:bottom w:val="single" w:sz="4" w:space="0" w:color="auto"/>
              <w:right w:val="single" w:sz="4" w:space="0" w:color="auto"/>
            </w:tcBorders>
            <w:shd w:val="clear" w:color="auto" w:fill="auto"/>
            <w:noWrap/>
            <w:vAlign w:val="center"/>
            <w:hideMark/>
          </w:tcPr>
          <w:p w14:paraId="65897482" w14:textId="77777777" w:rsidR="002B51F6" w:rsidRPr="002B51F6" w:rsidRDefault="002B51F6" w:rsidP="002B51F6">
            <w:pPr>
              <w:jc w:val="center"/>
              <w:rPr>
                <w:rFonts w:cs="Calibri"/>
                <w:color w:val="000000"/>
                <w:sz w:val="22"/>
                <w:szCs w:val="22"/>
              </w:rPr>
            </w:pPr>
            <w:r w:rsidRPr="002B51F6">
              <w:rPr>
                <w:rFonts w:cs="Calibri"/>
                <w:color w:val="000000"/>
                <w:sz w:val="22"/>
                <w:szCs w:val="22"/>
              </w:rPr>
              <w:t>4</w:t>
            </w:r>
          </w:p>
        </w:tc>
        <w:tc>
          <w:tcPr>
            <w:tcW w:w="1620" w:type="dxa"/>
            <w:tcBorders>
              <w:top w:val="nil"/>
              <w:left w:val="nil"/>
              <w:bottom w:val="single" w:sz="4" w:space="0" w:color="auto"/>
              <w:right w:val="single" w:sz="4" w:space="0" w:color="auto"/>
            </w:tcBorders>
            <w:shd w:val="clear" w:color="auto" w:fill="auto"/>
            <w:noWrap/>
            <w:vAlign w:val="center"/>
            <w:hideMark/>
          </w:tcPr>
          <w:p w14:paraId="65479A42" w14:textId="77777777" w:rsidR="002B51F6" w:rsidRPr="002B51F6" w:rsidRDefault="002B51F6" w:rsidP="002B51F6">
            <w:pPr>
              <w:jc w:val="center"/>
              <w:rPr>
                <w:rFonts w:cs="Calibri"/>
                <w:color w:val="000000"/>
                <w:sz w:val="22"/>
                <w:szCs w:val="22"/>
              </w:rPr>
            </w:pPr>
            <w:r w:rsidRPr="002B51F6">
              <w:rPr>
                <w:rFonts w:cs="Calibri"/>
                <w:color w:val="000000"/>
                <w:sz w:val="22"/>
                <w:szCs w:val="22"/>
              </w:rPr>
              <w:t>0</w:t>
            </w:r>
          </w:p>
        </w:tc>
        <w:tc>
          <w:tcPr>
            <w:tcW w:w="1350" w:type="dxa"/>
            <w:tcBorders>
              <w:top w:val="nil"/>
              <w:left w:val="nil"/>
              <w:bottom w:val="single" w:sz="4" w:space="0" w:color="auto"/>
              <w:right w:val="single" w:sz="4" w:space="0" w:color="auto"/>
            </w:tcBorders>
            <w:shd w:val="clear" w:color="auto" w:fill="auto"/>
            <w:noWrap/>
            <w:vAlign w:val="center"/>
            <w:hideMark/>
          </w:tcPr>
          <w:p w14:paraId="06F5B98F" w14:textId="77777777" w:rsidR="002B51F6" w:rsidRPr="002B51F6" w:rsidRDefault="002B51F6" w:rsidP="002B51F6">
            <w:pPr>
              <w:jc w:val="center"/>
              <w:rPr>
                <w:rFonts w:cs="Calibri"/>
                <w:color w:val="000000"/>
                <w:sz w:val="22"/>
                <w:szCs w:val="22"/>
              </w:rPr>
            </w:pPr>
            <w:r w:rsidRPr="002B51F6">
              <w:rPr>
                <w:rFonts w:cs="Calibri"/>
                <w:color w:val="000000"/>
                <w:sz w:val="22"/>
                <w:szCs w:val="22"/>
              </w:rPr>
              <w:t>4</w:t>
            </w:r>
          </w:p>
        </w:tc>
      </w:tr>
      <w:tr w:rsidR="002B51F6" w:rsidRPr="002B51F6" w14:paraId="39566B85" w14:textId="77777777" w:rsidTr="003C544C">
        <w:trPr>
          <w:trHeight w:val="275"/>
          <w:jc w:val="center"/>
        </w:trPr>
        <w:tc>
          <w:tcPr>
            <w:tcW w:w="4394" w:type="dxa"/>
            <w:tcBorders>
              <w:top w:val="nil"/>
              <w:left w:val="single" w:sz="4" w:space="0" w:color="auto"/>
              <w:bottom w:val="single" w:sz="4" w:space="0" w:color="auto"/>
              <w:right w:val="single" w:sz="4" w:space="0" w:color="auto"/>
            </w:tcBorders>
            <w:shd w:val="clear" w:color="auto" w:fill="auto"/>
            <w:noWrap/>
            <w:vAlign w:val="center"/>
            <w:hideMark/>
          </w:tcPr>
          <w:p w14:paraId="7139AAC1" w14:textId="77777777" w:rsidR="002B51F6" w:rsidRPr="002B51F6" w:rsidRDefault="002B51F6" w:rsidP="002B51F6">
            <w:pPr>
              <w:rPr>
                <w:rFonts w:ascii="Arial" w:hAnsi="Arial" w:cs="Arial"/>
                <w:color w:val="000000"/>
                <w:sz w:val="20"/>
                <w:szCs w:val="20"/>
              </w:rPr>
            </w:pPr>
            <w:r w:rsidRPr="002B51F6">
              <w:rPr>
                <w:rFonts w:ascii="Arial" w:hAnsi="Arial" w:cs="Arial"/>
                <w:color w:val="000000"/>
                <w:sz w:val="20"/>
                <w:szCs w:val="20"/>
              </w:rPr>
              <w:t>8. Other</w:t>
            </w:r>
          </w:p>
        </w:tc>
        <w:tc>
          <w:tcPr>
            <w:tcW w:w="1721" w:type="dxa"/>
            <w:tcBorders>
              <w:top w:val="nil"/>
              <w:left w:val="nil"/>
              <w:bottom w:val="single" w:sz="4" w:space="0" w:color="auto"/>
              <w:right w:val="single" w:sz="4" w:space="0" w:color="auto"/>
            </w:tcBorders>
            <w:shd w:val="clear" w:color="auto" w:fill="auto"/>
            <w:noWrap/>
            <w:vAlign w:val="center"/>
            <w:hideMark/>
          </w:tcPr>
          <w:p w14:paraId="4C58AD0B" w14:textId="77777777" w:rsidR="002B51F6" w:rsidRPr="002B51F6" w:rsidRDefault="002B51F6" w:rsidP="002B51F6">
            <w:pPr>
              <w:jc w:val="center"/>
              <w:rPr>
                <w:rFonts w:cs="Calibri"/>
                <w:color w:val="000000"/>
                <w:sz w:val="22"/>
                <w:szCs w:val="22"/>
              </w:rPr>
            </w:pPr>
            <w:r w:rsidRPr="002B51F6">
              <w:rPr>
                <w:rFonts w:cs="Calibri"/>
                <w:color w:val="000000"/>
                <w:sz w:val="22"/>
                <w:szCs w:val="22"/>
              </w:rPr>
              <w:t>1</w:t>
            </w:r>
          </w:p>
        </w:tc>
        <w:tc>
          <w:tcPr>
            <w:tcW w:w="1620" w:type="dxa"/>
            <w:tcBorders>
              <w:top w:val="nil"/>
              <w:left w:val="nil"/>
              <w:bottom w:val="single" w:sz="4" w:space="0" w:color="auto"/>
              <w:right w:val="single" w:sz="4" w:space="0" w:color="auto"/>
            </w:tcBorders>
            <w:shd w:val="clear" w:color="auto" w:fill="auto"/>
            <w:noWrap/>
            <w:vAlign w:val="center"/>
            <w:hideMark/>
          </w:tcPr>
          <w:p w14:paraId="00F34D73" w14:textId="77777777" w:rsidR="002B51F6" w:rsidRPr="002B51F6" w:rsidRDefault="002B51F6" w:rsidP="002B51F6">
            <w:pPr>
              <w:jc w:val="center"/>
              <w:rPr>
                <w:rFonts w:cs="Calibri"/>
                <w:color w:val="000000"/>
                <w:sz w:val="22"/>
                <w:szCs w:val="22"/>
              </w:rPr>
            </w:pPr>
            <w:r w:rsidRPr="002B51F6">
              <w:rPr>
                <w:rFonts w:cs="Calibri"/>
                <w:color w:val="000000"/>
                <w:sz w:val="22"/>
                <w:szCs w:val="22"/>
              </w:rPr>
              <w:t>7</w:t>
            </w:r>
          </w:p>
        </w:tc>
        <w:tc>
          <w:tcPr>
            <w:tcW w:w="1350" w:type="dxa"/>
            <w:tcBorders>
              <w:top w:val="nil"/>
              <w:left w:val="nil"/>
              <w:bottom w:val="single" w:sz="4" w:space="0" w:color="auto"/>
              <w:right w:val="single" w:sz="4" w:space="0" w:color="auto"/>
            </w:tcBorders>
            <w:shd w:val="clear" w:color="auto" w:fill="auto"/>
            <w:noWrap/>
            <w:vAlign w:val="center"/>
            <w:hideMark/>
          </w:tcPr>
          <w:p w14:paraId="10EEEF13" w14:textId="77777777" w:rsidR="002B51F6" w:rsidRPr="002B51F6" w:rsidRDefault="002B51F6" w:rsidP="002B51F6">
            <w:pPr>
              <w:jc w:val="center"/>
              <w:rPr>
                <w:rFonts w:cs="Calibri"/>
                <w:color w:val="000000"/>
                <w:sz w:val="22"/>
                <w:szCs w:val="22"/>
              </w:rPr>
            </w:pPr>
            <w:r w:rsidRPr="002B51F6">
              <w:rPr>
                <w:rFonts w:cs="Calibri"/>
                <w:color w:val="000000"/>
                <w:sz w:val="22"/>
                <w:szCs w:val="22"/>
              </w:rPr>
              <w:t>8</w:t>
            </w:r>
          </w:p>
        </w:tc>
      </w:tr>
    </w:tbl>
    <w:p w14:paraId="16113008" w14:textId="77777777" w:rsidR="00B52D45" w:rsidRDefault="00B52D45" w:rsidP="00B52D45">
      <w:pPr>
        <w:pStyle w:val="TableCaption"/>
        <w:keepNext/>
      </w:pPr>
    </w:p>
    <w:p w14:paraId="75E4281F" w14:textId="1E0CFC09" w:rsidR="002B51F6" w:rsidRDefault="00B52D45" w:rsidP="00B52D45">
      <w:pPr>
        <w:pStyle w:val="TableCaption"/>
        <w:keepNext/>
      </w:pPr>
      <w:bookmarkStart w:id="268" w:name="_Toc508800248"/>
      <w:r>
        <w:t>Table A.2: Weather Sensitive Customer Count by Industry Type, SCE</w:t>
      </w:r>
      <w:bookmarkEnd w:id="268"/>
    </w:p>
    <w:tbl>
      <w:tblPr>
        <w:tblW w:w="9143" w:type="dxa"/>
        <w:jc w:val="center"/>
        <w:tblLook w:val="04A0" w:firstRow="1" w:lastRow="0" w:firstColumn="1" w:lastColumn="0" w:noHBand="0" w:noVBand="1"/>
      </w:tblPr>
      <w:tblGrid>
        <w:gridCol w:w="4855"/>
        <w:gridCol w:w="1745"/>
        <w:gridCol w:w="1585"/>
        <w:gridCol w:w="958"/>
      </w:tblGrid>
      <w:tr w:rsidR="00B52D45" w:rsidRPr="00B52D45" w14:paraId="06217214" w14:textId="77777777" w:rsidTr="006B55F6">
        <w:trPr>
          <w:trHeight w:val="300"/>
          <w:jc w:val="center"/>
        </w:trPr>
        <w:tc>
          <w:tcPr>
            <w:tcW w:w="4855" w:type="dxa"/>
            <w:tcBorders>
              <w:top w:val="single" w:sz="4" w:space="0" w:color="auto"/>
              <w:left w:val="single" w:sz="4" w:space="0" w:color="auto"/>
              <w:bottom w:val="single" w:sz="4" w:space="0" w:color="auto"/>
              <w:right w:val="single" w:sz="4" w:space="0" w:color="FFFFFF"/>
            </w:tcBorders>
            <w:shd w:val="clear" w:color="auto" w:fill="0C2577"/>
            <w:noWrap/>
            <w:vAlign w:val="center"/>
            <w:hideMark/>
          </w:tcPr>
          <w:p w14:paraId="70F40519" w14:textId="77777777" w:rsidR="00B52D45" w:rsidRPr="00B52D45" w:rsidRDefault="00B52D45" w:rsidP="00B52D45">
            <w:pPr>
              <w:keepNext/>
              <w:jc w:val="center"/>
              <w:rPr>
                <w:rFonts w:cs="Calibri"/>
                <w:b/>
                <w:bCs/>
                <w:color w:val="FFFFFF"/>
                <w:sz w:val="22"/>
                <w:szCs w:val="22"/>
              </w:rPr>
            </w:pPr>
            <w:r w:rsidRPr="00B52D45">
              <w:rPr>
                <w:rFonts w:cs="Calibri"/>
                <w:b/>
                <w:bCs/>
                <w:color w:val="FFFFFF"/>
                <w:sz w:val="22"/>
                <w:szCs w:val="22"/>
              </w:rPr>
              <w:t>Industry Type</w:t>
            </w:r>
          </w:p>
        </w:tc>
        <w:tc>
          <w:tcPr>
            <w:tcW w:w="1745" w:type="dxa"/>
            <w:tcBorders>
              <w:top w:val="single" w:sz="4" w:space="0" w:color="auto"/>
              <w:left w:val="nil"/>
              <w:bottom w:val="single" w:sz="4" w:space="0" w:color="auto"/>
              <w:right w:val="single" w:sz="4" w:space="0" w:color="FFFFFF"/>
            </w:tcBorders>
            <w:shd w:val="clear" w:color="auto" w:fill="0C2577"/>
            <w:noWrap/>
            <w:vAlign w:val="center"/>
            <w:hideMark/>
          </w:tcPr>
          <w:p w14:paraId="5C749052" w14:textId="560890B3" w:rsidR="00B52D45" w:rsidRPr="00B52D45" w:rsidRDefault="00B52D45" w:rsidP="00B52D45">
            <w:pPr>
              <w:keepNext/>
              <w:jc w:val="center"/>
              <w:rPr>
                <w:rFonts w:cs="Calibri"/>
                <w:b/>
                <w:bCs/>
                <w:color w:val="FFFFFF"/>
                <w:sz w:val="22"/>
                <w:szCs w:val="22"/>
              </w:rPr>
            </w:pPr>
            <w:r w:rsidRPr="00B52D45">
              <w:rPr>
                <w:rFonts w:cs="Calibri"/>
                <w:b/>
                <w:bCs/>
                <w:color w:val="FFFFFF"/>
                <w:sz w:val="22"/>
                <w:szCs w:val="22"/>
              </w:rPr>
              <w:t>Weather Sensitive</w:t>
            </w:r>
          </w:p>
        </w:tc>
        <w:tc>
          <w:tcPr>
            <w:tcW w:w="1585" w:type="dxa"/>
            <w:tcBorders>
              <w:top w:val="single" w:sz="4" w:space="0" w:color="auto"/>
              <w:left w:val="nil"/>
              <w:bottom w:val="single" w:sz="4" w:space="0" w:color="auto"/>
              <w:right w:val="single" w:sz="4" w:space="0" w:color="FFFFFF"/>
            </w:tcBorders>
            <w:shd w:val="clear" w:color="auto" w:fill="0C2577"/>
            <w:noWrap/>
            <w:vAlign w:val="center"/>
            <w:hideMark/>
          </w:tcPr>
          <w:p w14:paraId="7ED18229" w14:textId="08EB2668" w:rsidR="00B52D45" w:rsidRPr="00B52D45" w:rsidRDefault="005145FF" w:rsidP="00B52D45">
            <w:pPr>
              <w:keepNext/>
              <w:jc w:val="center"/>
              <w:rPr>
                <w:rFonts w:cs="Calibri"/>
                <w:b/>
                <w:bCs/>
                <w:color w:val="FFFFFF"/>
                <w:sz w:val="22"/>
                <w:szCs w:val="22"/>
              </w:rPr>
            </w:pPr>
            <w:r>
              <w:rPr>
                <w:rFonts w:cs="Calibri"/>
                <w:b/>
                <w:bCs/>
                <w:color w:val="FFFFFF"/>
                <w:sz w:val="22"/>
                <w:szCs w:val="22"/>
              </w:rPr>
              <w:t>Non-</w:t>
            </w:r>
            <w:r w:rsidR="00B52D45" w:rsidRPr="00B52D45">
              <w:rPr>
                <w:rFonts w:cs="Calibri"/>
                <w:b/>
                <w:bCs/>
                <w:color w:val="FFFFFF"/>
                <w:sz w:val="22"/>
                <w:szCs w:val="22"/>
              </w:rPr>
              <w:t>Weather Sensitive</w:t>
            </w:r>
          </w:p>
        </w:tc>
        <w:tc>
          <w:tcPr>
            <w:tcW w:w="958" w:type="dxa"/>
            <w:tcBorders>
              <w:top w:val="single" w:sz="4" w:space="0" w:color="auto"/>
              <w:left w:val="nil"/>
              <w:bottom w:val="single" w:sz="4" w:space="0" w:color="auto"/>
              <w:right w:val="single" w:sz="4" w:space="0" w:color="auto"/>
            </w:tcBorders>
            <w:shd w:val="clear" w:color="auto" w:fill="0C2577"/>
            <w:noWrap/>
            <w:vAlign w:val="center"/>
            <w:hideMark/>
          </w:tcPr>
          <w:p w14:paraId="467B6012" w14:textId="77777777" w:rsidR="00B52D45" w:rsidRPr="00B52D45" w:rsidRDefault="00B52D45" w:rsidP="00B52D45">
            <w:pPr>
              <w:keepNext/>
              <w:jc w:val="center"/>
              <w:rPr>
                <w:rFonts w:cs="Calibri"/>
                <w:b/>
                <w:bCs/>
                <w:color w:val="FFFFFF"/>
                <w:sz w:val="22"/>
                <w:szCs w:val="22"/>
              </w:rPr>
            </w:pPr>
            <w:r w:rsidRPr="00B52D45">
              <w:rPr>
                <w:rFonts w:cs="Calibri"/>
                <w:b/>
                <w:bCs/>
                <w:color w:val="FFFFFF"/>
                <w:sz w:val="22"/>
                <w:szCs w:val="22"/>
              </w:rPr>
              <w:t>Total</w:t>
            </w:r>
          </w:p>
        </w:tc>
      </w:tr>
      <w:tr w:rsidR="00B52D45" w:rsidRPr="00B52D45" w14:paraId="5F2E63C5" w14:textId="77777777" w:rsidTr="00B52D45">
        <w:trPr>
          <w:trHeight w:val="300"/>
          <w:jc w:val="center"/>
        </w:trPr>
        <w:tc>
          <w:tcPr>
            <w:tcW w:w="4855" w:type="dxa"/>
            <w:tcBorders>
              <w:top w:val="nil"/>
              <w:left w:val="single" w:sz="4" w:space="0" w:color="auto"/>
              <w:bottom w:val="single" w:sz="4" w:space="0" w:color="auto"/>
              <w:right w:val="single" w:sz="4" w:space="0" w:color="auto"/>
            </w:tcBorders>
            <w:shd w:val="clear" w:color="auto" w:fill="auto"/>
            <w:noWrap/>
            <w:vAlign w:val="center"/>
            <w:hideMark/>
          </w:tcPr>
          <w:p w14:paraId="4C220D15" w14:textId="77777777" w:rsidR="00B52D45" w:rsidRPr="00B52D45" w:rsidRDefault="00B52D45" w:rsidP="00B52D45">
            <w:pPr>
              <w:keepNext/>
              <w:rPr>
                <w:rFonts w:ascii="Arial" w:hAnsi="Arial" w:cs="Arial"/>
                <w:color w:val="000000"/>
                <w:sz w:val="20"/>
                <w:szCs w:val="20"/>
              </w:rPr>
            </w:pPr>
            <w:r w:rsidRPr="00B52D45">
              <w:rPr>
                <w:rFonts w:ascii="Arial" w:hAnsi="Arial" w:cs="Arial"/>
                <w:color w:val="000000"/>
                <w:sz w:val="20"/>
                <w:szCs w:val="20"/>
              </w:rPr>
              <w:t>1. Agriculture, Mining, Construction</w:t>
            </w:r>
          </w:p>
        </w:tc>
        <w:tc>
          <w:tcPr>
            <w:tcW w:w="1745" w:type="dxa"/>
            <w:tcBorders>
              <w:top w:val="nil"/>
              <w:left w:val="nil"/>
              <w:bottom w:val="single" w:sz="4" w:space="0" w:color="auto"/>
              <w:right w:val="single" w:sz="4" w:space="0" w:color="auto"/>
            </w:tcBorders>
            <w:shd w:val="clear" w:color="auto" w:fill="auto"/>
            <w:noWrap/>
            <w:vAlign w:val="center"/>
            <w:hideMark/>
          </w:tcPr>
          <w:p w14:paraId="515CB1B9"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11</w:t>
            </w:r>
          </w:p>
        </w:tc>
        <w:tc>
          <w:tcPr>
            <w:tcW w:w="1585" w:type="dxa"/>
            <w:tcBorders>
              <w:top w:val="nil"/>
              <w:left w:val="nil"/>
              <w:bottom w:val="single" w:sz="4" w:space="0" w:color="auto"/>
              <w:right w:val="single" w:sz="4" w:space="0" w:color="auto"/>
            </w:tcBorders>
            <w:shd w:val="clear" w:color="auto" w:fill="auto"/>
            <w:noWrap/>
            <w:vAlign w:val="center"/>
            <w:hideMark/>
          </w:tcPr>
          <w:p w14:paraId="6C1AF0E7"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43</w:t>
            </w:r>
          </w:p>
        </w:tc>
        <w:tc>
          <w:tcPr>
            <w:tcW w:w="958" w:type="dxa"/>
            <w:tcBorders>
              <w:top w:val="nil"/>
              <w:left w:val="nil"/>
              <w:bottom w:val="single" w:sz="4" w:space="0" w:color="auto"/>
              <w:right w:val="single" w:sz="4" w:space="0" w:color="auto"/>
            </w:tcBorders>
            <w:shd w:val="clear" w:color="auto" w:fill="auto"/>
            <w:noWrap/>
            <w:vAlign w:val="center"/>
            <w:hideMark/>
          </w:tcPr>
          <w:p w14:paraId="6098C0EE"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54</w:t>
            </w:r>
          </w:p>
        </w:tc>
      </w:tr>
      <w:tr w:rsidR="00B52D45" w:rsidRPr="00B52D45" w14:paraId="367580FF" w14:textId="77777777" w:rsidTr="00B52D45">
        <w:trPr>
          <w:trHeight w:val="300"/>
          <w:jc w:val="center"/>
        </w:trPr>
        <w:tc>
          <w:tcPr>
            <w:tcW w:w="4855" w:type="dxa"/>
            <w:tcBorders>
              <w:top w:val="nil"/>
              <w:left w:val="single" w:sz="4" w:space="0" w:color="auto"/>
              <w:bottom w:val="single" w:sz="4" w:space="0" w:color="auto"/>
              <w:right w:val="single" w:sz="4" w:space="0" w:color="auto"/>
            </w:tcBorders>
            <w:shd w:val="clear" w:color="auto" w:fill="auto"/>
            <w:noWrap/>
            <w:vAlign w:val="center"/>
            <w:hideMark/>
          </w:tcPr>
          <w:p w14:paraId="11B65955" w14:textId="77777777" w:rsidR="00B52D45" w:rsidRPr="00B52D45" w:rsidRDefault="00B52D45" w:rsidP="00B52D45">
            <w:pPr>
              <w:keepNext/>
              <w:rPr>
                <w:rFonts w:ascii="Arial" w:hAnsi="Arial" w:cs="Arial"/>
                <w:color w:val="000000"/>
                <w:sz w:val="20"/>
                <w:szCs w:val="20"/>
              </w:rPr>
            </w:pPr>
            <w:r w:rsidRPr="00B52D45">
              <w:rPr>
                <w:rFonts w:ascii="Arial" w:hAnsi="Arial" w:cs="Arial"/>
                <w:color w:val="000000"/>
                <w:sz w:val="20"/>
                <w:szCs w:val="20"/>
              </w:rPr>
              <w:t>2. Manufacturing</w:t>
            </w:r>
          </w:p>
        </w:tc>
        <w:tc>
          <w:tcPr>
            <w:tcW w:w="1745" w:type="dxa"/>
            <w:tcBorders>
              <w:top w:val="nil"/>
              <w:left w:val="nil"/>
              <w:bottom w:val="single" w:sz="4" w:space="0" w:color="auto"/>
              <w:right w:val="single" w:sz="4" w:space="0" w:color="auto"/>
            </w:tcBorders>
            <w:shd w:val="clear" w:color="auto" w:fill="auto"/>
            <w:noWrap/>
            <w:vAlign w:val="center"/>
            <w:hideMark/>
          </w:tcPr>
          <w:p w14:paraId="1B8DC069"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103</w:t>
            </w:r>
          </w:p>
        </w:tc>
        <w:tc>
          <w:tcPr>
            <w:tcW w:w="1585" w:type="dxa"/>
            <w:tcBorders>
              <w:top w:val="nil"/>
              <w:left w:val="nil"/>
              <w:bottom w:val="single" w:sz="4" w:space="0" w:color="auto"/>
              <w:right w:val="single" w:sz="4" w:space="0" w:color="auto"/>
            </w:tcBorders>
            <w:shd w:val="clear" w:color="auto" w:fill="auto"/>
            <w:noWrap/>
            <w:vAlign w:val="center"/>
            <w:hideMark/>
          </w:tcPr>
          <w:p w14:paraId="281B4E45"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241</w:t>
            </w:r>
          </w:p>
        </w:tc>
        <w:tc>
          <w:tcPr>
            <w:tcW w:w="958" w:type="dxa"/>
            <w:tcBorders>
              <w:top w:val="nil"/>
              <w:left w:val="nil"/>
              <w:bottom w:val="single" w:sz="4" w:space="0" w:color="auto"/>
              <w:right w:val="single" w:sz="4" w:space="0" w:color="auto"/>
            </w:tcBorders>
            <w:shd w:val="clear" w:color="auto" w:fill="auto"/>
            <w:noWrap/>
            <w:vAlign w:val="center"/>
            <w:hideMark/>
          </w:tcPr>
          <w:p w14:paraId="3A96638A"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344</w:t>
            </w:r>
          </w:p>
        </w:tc>
      </w:tr>
      <w:tr w:rsidR="00B52D45" w:rsidRPr="00B52D45" w14:paraId="3A686C00" w14:textId="77777777" w:rsidTr="00B52D45">
        <w:trPr>
          <w:trHeight w:val="300"/>
          <w:jc w:val="center"/>
        </w:trPr>
        <w:tc>
          <w:tcPr>
            <w:tcW w:w="4855" w:type="dxa"/>
            <w:tcBorders>
              <w:top w:val="nil"/>
              <w:left w:val="single" w:sz="4" w:space="0" w:color="auto"/>
              <w:bottom w:val="single" w:sz="4" w:space="0" w:color="auto"/>
              <w:right w:val="single" w:sz="4" w:space="0" w:color="auto"/>
            </w:tcBorders>
            <w:shd w:val="clear" w:color="auto" w:fill="auto"/>
            <w:noWrap/>
            <w:vAlign w:val="center"/>
            <w:hideMark/>
          </w:tcPr>
          <w:p w14:paraId="54E284A3" w14:textId="77777777" w:rsidR="00B52D45" w:rsidRPr="00B52D45" w:rsidRDefault="00B52D45" w:rsidP="00B52D45">
            <w:pPr>
              <w:keepNext/>
              <w:rPr>
                <w:rFonts w:ascii="Arial" w:hAnsi="Arial" w:cs="Arial"/>
                <w:color w:val="000000"/>
                <w:sz w:val="20"/>
                <w:szCs w:val="20"/>
              </w:rPr>
            </w:pPr>
            <w:r w:rsidRPr="00B52D45">
              <w:rPr>
                <w:rFonts w:ascii="Arial" w:hAnsi="Arial" w:cs="Arial"/>
                <w:color w:val="000000"/>
                <w:sz w:val="20"/>
                <w:szCs w:val="20"/>
              </w:rPr>
              <w:t>3. Wholesale, Transportation, Utilities</w:t>
            </w:r>
          </w:p>
        </w:tc>
        <w:tc>
          <w:tcPr>
            <w:tcW w:w="1745" w:type="dxa"/>
            <w:tcBorders>
              <w:top w:val="nil"/>
              <w:left w:val="nil"/>
              <w:bottom w:val="single" w:sz="4" w:space="0" w:color="auto"/>
              <w:right w:val="single" w:sz="4" w:space="0" w:color="auto"/>
            </w:tcBorders>
            <w:shd w:val="clear" w:color="auto" w:fill="auto"/>
            <w:noWrap/>
            <w:vAlign w:val="center"/>
            <w:hideMark/>
          </w:tcPr>
          <w:p w14:paraId="11073E6E"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35</w:t>
            </w:r>
          </w:p>
        </w:tc>
        <w:tc>
          <w:tcPr>
            <w:tcW w:w="1585" w:type="dxa"/>
            <w:tcBorders>
              <w:top w:val="nil"/>
              <w:left w:val="nil"/>
              <w:bottom w:val="single" w:sz="4" w:space="0" w:color="auto"/>
              <w:right w:val="single" w:sz="4" w:space="0" w:color="auto"/>
            </w:tcBorders>
            <w:shd w:val="clear" w:color="auto" w:fill="auto"/>
            <w:noWrap/>
            <w:vAlign w:val="center"/>
            <w:hideMark/>
          </w:tcPr>
          <w:p w14:paraId="5DF2B3F0"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34</w:t>
            </w:r>
          </w:p>
        </w:tc>
        <w:tc>
          <w:tcPr>
            <w:tcW w:w="958" w:type="dxa"/>
            <w:tcBorders>
              <w:top w:val="nil"/>
              <w:left w:val="nil"/>
              <w:bottom w:val="single" w:sz="4" w:space="0" w:color="auto"/>
              <w:right w:val="single" w:sz="4" w:space="0" w:color="auto"/>
            </w:tcBorders>
            <w:shd w:val="clear" w:color="auto" w:fill="auto"/>
            <w:noWrap/>
            <w:vAlign w:val="center"/>
            <w:hideMark/>
          </w:tcPr>
          <w:p w14:paraId="42EDDDF2"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69</w:t>
            </w:r>
          </w:p>
        </w:tc>
      </w:tr>
      <w:tr w:rsidR="00B52D45" w:rsidRPr="00B52D45" w14:paraId="3F9D1D22" w14:textId="77777777" w:rsidTr="00B52D45">
        <w:trPr>
          <w:trHeight w:val="300"/>
          <w:jc w:val="center"/>
        </w:trPr>
        <w:tc>
          <w:tcPr>
            <w:tcW w:w="4855" w:type="dxa"/>
            <w:tcBorders>
              <w:top w:val="nil"/>
              <w:left w:val="single" w:sz="4" w:space="0" w:color="auto"/>
              <w:bottom w:val="single" w:sz="4" w:space="0" w:color="auto"/>
              <w:right w:val="single" w:sz="4" w:space="0" w:color="auto"/>
            </w:tcBorders>
            <w:shd w:val="clear" w:color="auto" w:fill="auto"/>
            <w:noWrap/>
            <w:vAlign w:val="center"/>
            <w:hideMark/>
          </w:tcPr>
          <w:p w14:paraId="530402BB" w14:textId="77777777" w:rsidR="00B52D45" w:rsidRPr="00B52D45" w:rsidRDefault="00B52D45" w:rsidP="00B52D45">
            <w:pPr>
              <w:keepNext/>
              <w:rPr>
                <w:rFonts w:ascii="Arial" w:hAnsi="Arial" w:cs="Arial"/>
                <w:color w:val="000000"/>
                <w:sz w:val="20"/>
                <w:szCs w:val="20"/>
              </w:rPr>
            </w:pPr>
            <w:r w:rsidRPr="00B52D45">
              <w:rPr>
                <w:rFonts w:ascii="Arial" w:hAnsi="Arial" w:cs="Arial"/>
                <w:color w:val="000000"/>
                <w:sz w:val="20"/>
                <w:szCs w:val="20"/>
              </w:rPr>
              <w:t>4. Retail</w:t>
            </w:r>
          </w:p>
        </w:tc>
        <w:tc>
          <w:tcPr>
            <w:tcW w:w="1745" w:type="dxa"/>
            <w:tcBorders>
              <w:top w:val="nil"/>
              <w:left w:val="nil"/>
              <w:bottom w:val="single" w:sz="4" w:space="0" w:color="auto"/>
              <w:right w:val="single" w:sz="4" w:space="0" w:color="auto"/>
            </w:tcBorders>
            <w:shd w:val="clear" w:color="auto" w:fill="auto"/>
            <w:noWrap/>
            <w:vAlign w:val="center"/>
            <w:hideMark/>
          </w:tcPr>
          <w:p w14:paraId="5BE9ABC1"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58</w:t>
            </w:r>
          </w:p>
        </w:tc>
        <w:tc>
          <w:tcPr>
            <w:tcW w:w="1585" w:type="dxa"/>
            <w:tcBorders>
              <w:top w:val="nil"/>
              <w:left w:val="nil"/>
              <w:bottom w:val="single" w:sz="4" w:space="0" w:color="auto"/>
              <w:right w:val="single" w:sz="4" w:space="0" w:color="auto"/>
            </w:tcBorders>
            <w:shd w:val="clear" w:color="auto" w:fill="auto"/>
            <w:noWrap/>
            <w:vAlign w:val="center"/>
            <w:hideMark/>
          </w:tcPr>
          <w:p w14:paraId="2E6EF391"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1</w:t>
            </w:r>
          </w:p>
        </w:tc>
        <w:tc>
          <w:tcPr>
            <w:tcW w:w="958" w:type="dxa"/>
            <w:tcBorders>
              <w:top w:val="nil"/>
              <w:left w:val="nil"/>
              <w:bottom w:val="single" w:sz="4" w:space="0" w:color="auto"/>
              <w:right w:val="single" w:sz="4" w:space="0" w:color="auto"/>
            </w:tcBorders>
            <w:shd w:val="clear" w:color="auto" w:fill="auto"/>
            <w:noWrap/>
            <w:vAlign w:val="center"/>
            <w:hideMark/>
          </w:tcPr>
          <w:p w14:paraId="7182BD17"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59</w:t>
            </w:r>
          </w:p>
        </w:tc>
      </w:tr>
      <w:tr w:rsidR="00B52D45" w:rsidRPr="00B52D45" w14:paraId="1CA0F96E" w14:textId="77777777" w:rsidTr="00B52D45">
        <w:trPr>
          <w:trHeight w:val="300"/>
          <w:jc w:val="center"/>
        </w:trPr>
        <w:tc>
          <w:tcPr>
            <w:tcW w:w="4855" w:type="dxa"/>
            <w:tcBorders>
              <w:top w:val="nil"/>
              <w:left w:val="single" w:sz="4" w:space="0" w:color="auto"/>
              <w:bottom w:val="single" w:sz="4" w:space="0" w:color="auto"/>
              <w:right w:val="single" w:sz="4" w:space="0" w:color="auto"/>
            </w:tcBorders>
            <w:shd w:val="clear" w:color="auto" w:fill="auto"/>
            <w:noWrap/>
            <w:vAlign w:val="center"/>
            <w:hideMark/>
          </w:tcPr>
          <w:p w14:paraId="09736BE9" w14:textId="77777777" w:rsidR="00B52D45" w:rsidRPr="00B52D45" w:rsidRDefault="00B52D45" w:rsidP="00B52D45">
            <w:pPr>
              <w:keepNext/>
              <w:rPr>
                <w:rFonts w:ascii="Arial" w:hAnsi="Arial" w:cs="Arial"/>
                <w:color w:val="000000"/>
                <w:sz w:val="20"/>
                <w:szCs w:val="20"/>
              </w:rPr>
            </w:pPr>
            <w:r w:rsidRPr="00B52D45">
              <w:rPr>
                <w:rFonts w:ascii="Arial" w:hAnsi="Arial" w:cs="Arial"/>
                <w:color w:val="000000"/>
                <w:sz w:val="20"/>
                <w:szCs w:val="20"/>
              </w:rPr>
              <w:t>5. Offices, Hotels, Health, Services</w:t>
            </w:r>
          </w:p>
        </w:tc>
        <w:tc>
          <w:tcPr>
            <w:tcW w:w="1745" w:type="dxa"/>
            <w:tcBorders>
              <w:top w:val="nil"/>
              <w:left w:val="nil"/>
              <w:bottom w:val="single" w:sz="4" w:space="0" w:color="auto"/>
              <w:right w:val="single" w:sz="4" w:space="0" w:color="auto"/>
            </w:tcBorders>
            <w:shd w:val="clear" w:color="auto" w:fill="auto"/>
            <w:noWrap/>
            <w:vAlign w:val="center"/>
            <w:hideMark/>
          </w:tcPr>
          <w:p w14:paraId="2BFF72DB"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28</w:t>
            </w:r>
          </w:p>
        </w:tc>
        <w:tc>
          <w:tcPr>
            <w:tcW w:w="1585" w:type="dxa"/>
            <w:tcBorders>
              <w:top w:val="nil"/>
              <w:left w:val="nil"/>
              <w:bottom w:val="single" w:sz="4" w:space="0" w:color="auto"/>
              <w:right w:val="single" w:sz="4" w:space="0" w:color="auto"/>
            </w:tcBorders>
            <w:shd w:val="clear" w:color="auto" w:fill="auto"/>
            <w:noWrap/>
            <w:vAlign w:val="center"/>
            <w:hideMark/>
          </w:tcPr>
          <w:p w14:paraId="01E611A8"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4</w:t>
            </w:r>
          </w:p>
        </w:tc>
        <w:tc>
          <w:tcPr>
            <w:tcW w:w="958" w:type="dxa"/>
            <w:tcBorders>
              <w:top w:val="nil"/>
              <w:left w:val="nil"/>
              <w:bottom w:val="single" w:sz="4" w:space="0" w:color="auto"/>
              <w:right w:val="single" w:sz="4" w:space="0" w:color="auto"/>
            </w:tcBorders>
            <w:shd w:val="clear" w:color="auto" w:fill="auto"/>
            <w:noWrap/>
            <w:vAlign w:val="center"/>
            <w:hideMark/>
          </w:tcPr>
          <w:p w14:paraId="72400231"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32</w:t>
            </w:r>
          </w:p>
        </w:tc>
      </w:tr>
      <w:tr w:rsidR="00B52D45" w:rsidRPr="00B52D45" w14:paraId="553CE8E6" w14:textId="77777777" w:rsidTr="00B52D45">
        <w:trPr>
          <w:trHeight w:val="300"/>
          <w:jc w:val="center"/>
        </w:trPr>
        <w:tc>
          <w:tcPr>
            <w:tcW w:w="4855" w:type="dxa"/>
            <w:tcBorders>
              <w:top w:val="nil"/>
              <w:left w:val="single" w:sz="4" w:space="0" w:color="auto"/>
              <w:bottom w:val="single" w:sz="4" w:space="0" w:color="auto"/>
              <w:right w:val="single" w:sz="4" w:space="0" w:color="auto"/>
            </w:tcBorders>
            <w:shd w:val="clear" w:color="auto" w:fill="auto"/>
            <w:noWrap/>
            <w:vAlign w:val="center"/>
            <w:hideMark/>
          </w:tcPr>
          <w:p w14:paraId="668DC374" w14:textId="77777777" w:rsidR="00B52D45" w:rsidRPr="00B52D45" w:rsidRDefault="00B52D45" w:rsidP="00B52D45">
            <w:pPr>
              <w:keepNext/>
              <w:rPr>
                <w:rFonts w:ascii="Arial" w:hAnsi="Arial" w:cs="Arial"/>
                <w:color w:val="000000"/>
                <w:sz w:val="20"/>
                <w:szCs w:val="20"/>
              </w:rPr>
            </w:pPr>
            <w:r w:rsidRPr="00B52D45">
              <w:rPr>
                <w:rFonts w:ascii="Arial" w:hAnsi="Arial" w:cs="Arial"/>
                <w:color w:val="000000"/>
                <w:sz w:val="20"/>
                <w:szCs w:val="20"/>
              </w:rPr>
              <w:t>6. Schools</w:t>
            </w:r>
          </w:p>
        </w:tc>
        <w:tc>
          <w:tcPr>
            <w:tcW w:w="1745" w:type="dxa"/>
            <w:tcBorders>
              <w:top w:val="nil"/>
              <w:left w:val="nil"/>
              <w:bottom w:val="single" w:sz="4" w:space="0" w:color="auto"/>
              <w:right w:val="single" w:sz="4" w:space="0" w:color="auto"/>
            </w:tcBorders>
            <w:shd w:val="clear" w:color="auto" w:fill="auto"/>
            <w:noWrap/>
            <w:vAlign w:val="center"/>
            <w:hideMark/>
          </w:tcPr>
          <w:p w14:paraId="679038D1"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4</w:t>
            </w:r>
          </w:p>
        </w:tc>
        <w:tc>
          <w:tcPr>
            <w:tcW w:w="1585" w:type="dxa"/>
            <w:tcBorders>
              <w:top w:val="nil"/>
              <w:left w:val="nil"/>
              <w:bottom w:val="single" w:sz="4" w:space="0" w:color="auto"/>
              <w:right w:val="single" w:sz="4" w:space="0" w:color="auto"/>
            </w:tcBorders>
            <w:shd w:val="clear" w:color="auto" w:fill="auto"/>
            <w:noWrap/>
            <w:vAlign w:val="center"/>
            <w:hideMark/>
          </w:tcPr>
          <w:p w14:paraId="22E0978C"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1</w:t>
            </w:r>
          </w:p>
        </w:tc>
        <w:tc>
          <w:tcPr>
            <w:tcW w:w="958" w:type="dxa"/>
            <w:tcBorders>
              <w:top w:val="nil"/>
              <w:left w:val="nil"/>
              <w:bottom w:val="single" w:sz="4" w:space="0" w:color="auto"/>
              <w:right w:val="single" w:sz="4" w:space="0" w:color="auto"/>
            </w:tcBorders>
            <w:shd w:val="clear" w:color="auto" w:fill="auto"/>
            <w:noWrap/>
            <w:vAlign w:val="center"/>
            <w:hideMark/>
          </w:tcPr>
          <w:p w14:paraId="1D22A5BC"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5</w:t>
            </w:r>
          </w:p>
        </w:tc>
      </w:tr>
      <w:tr w:rsidR="00B52D45" w:rsidRPr="00B52D45" w14:paraId="2D348BED" w14:textId="77777777" w:rsidTr="00B52D45">
        <w:trPr>
          <w:trHeight w:val="300"/>
          <w:jc w:val="center"/>
        </w:trPr>
        <w:tc>
          <w:tcPr>
            <w:tcW w:w="4855" w:type="dxa"/>
            <w:tcBorders>
              <w:top w:val="nil"/>
              <w:left w:val="single" w:sz="4" w:space="0" w:color="auto"/>
              <w:bottom w:val="single" w:sz="4" w:space="0" w:color="auto"/>
              <w:right w:val="single" w:sz="4" w:space="0" w:color="auto"/>
            </w:tcBorders>
            <w:shd w:val="clear" w:color="auto" w:fill="auto"/>
            <w:noWrap/>
            <w:vAlign w:val="center"/>
            <w:hideMark/>
          </w:tcPr>
          <w:p w14:paraId="1CBFA3F6" w14:textId="77777777" w:rsidR="00B52D45" w:rsidRPr="00B52D45" w:rsidRDefault="00B52D45" w:rsidP="00B52D45">
            <w:pPr>
              <w:keepNext/>
              <w:rPr>
                <w:rFonts w:ascii="Arial" w:hAnsi="Arial" w:cs="Arial"/>
                <w:color w:val="000000"/>
                <w:sz w:val="20"/>
                <w:szCs w:val="20"/>
              </w:rPr>
            </w:pPr>
            <w:r w:rsidRPr="00B52D45">
              <w:rPr>
                <w:rFonts w:ascii="Arial" w:hAnsi="Arial" w:cs="Arial"/>
                <w:color w:val="000000"/>
                <w:sz w:val="20"/>
                <w:szCs w:val="20"/>
              </w:rPr>
              <w:t>7. Entertainment, Other Services, Government.</w:t>
            </w:r>
          </w:p>
        </w:tc>
        <w:tc>
          <w:tcPr>
            <w:tcW w:w="1745" w:type="dxa"/>
            <w:tcBorders>
              <w:top w:val="nil"/>
              <w:left w:val="nil"/>
              <w:bottom w:val="single" w:sz="4" w:space="0" w:color="auto"/>
              <w:right w:val="single" w:sz="4" w:space="0" w:color="auto"/>
            </w:tcBorders>
            <w:shd w:val="clear" w:color="auto" w:fill="auto"/>
            <w:noWrap/>
            <w:vAlign w:val="center"/>
            <w:hideMark/>
          </w:tcPr>
          <w:p w14:paraId="7F01D720"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7</w:t>
            </w:r>
          </w:p>
        </w:tc>
        <w:tc>
          <w:tcPr>
            <w:tcW w:w="1585" w:type="dxa"/>
            <w:tcBorders>
              <w:top w:val="nil"/>
              <w:left w:val="nil"/>
              <w:bottom w:val="single" w:sz="4" w:space="0" w:color="auto"/>
              <w:right w:val="single" w:sz="4" w:space="0" w:color="auto"/>
            </w:tcBorders>
            <w:shd w:val="clear" w:color="auto" w:fill="auto"/>
            <w:noWrap/>
            <w:vAlign w:val="center"/>
            <w:hideMark/>
          </w:tcPr>
          <w:p w14:paraId="04A6E0C3"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1</w:t>
            </w:r>
          </w:p>
        </w:tc>
        <w:tc>
          <w:tcPr>
            <w:tcW w:w="958" w:type="dxa"/>
            <w:tcBorders>
              <w:top w:val="nil"/>
              <w:left w:val="nil"/>
              <w:bottom w:val="single" w:sz="4" w:space="0" w:color="auto"/>
              <w:right w:val="single" w:sz="4" w:space="0" w:color="auto"/>
            </w:tcBorders>
            <w:shd w:val="clear" w:color="auto" w:fill="auto"/>
            <w:noWrap/>
            <w:vAlign w:val="center"/>
            <w:hideMark/>
          </w:tcPr>
          <w:p w14:paraId="11094F51" w14:textId="77777777" w:rsidR="00B52D45" w:rsidRPr="00B52D45" w:rsidRDefault="00B52D45" w:rsidP="00B52D45">
            <w:pPr>
              <w:keepNext/>
              <w:jc w:val="center"/>
              <w:rPr>
                <w:rFonts w:cs="Calibri"/>
                <w:color w:val="000000"/>
                <w:sz w:val="22"/>
                <w:szCs w:val="22"/>
              </w:rPr>
            </w:pPr>
            <w:r w:rsidRPr="00B52D45">
              <w:rPr>
                <w:rFonts w:cs="Calibri"/>
                <w:color w:val="000000"/>
                <w:sz w:val="22"/>
                <w:szCs w:val="22"/>
              </w:rPr>
              <w:t>8</w:t>
            </w:r>
          </w:p>
        </w:tc>
      </w:tr>
    </w:tbl>
    <w:p w14:paraId="662830C5" w14:textId="77777777" w:rsidR="00B52D45" w:rsidRDefault="00B52D45" w:rsidP="00B52D45">
      <w:pPr>
        <w:pStyle w:val="TableCaption"/>
        <w:keepNext/>
      </w:pPr>
    </w:p>
    <w:p w14:paraId="39C0257F" w14:textId="61FADADD" w:rsidR="00B52D45" w:rsidRDefault="00B52D45" w:rsidP="00B52D45">
      <w:pPr>
        <w:pStyle w:val="TableCaption"/>
        <w:keepNext/>
        <w:rPr>
          <w:rFonts w:cs="Calibri"/>
          <w:color w:val="FFFFFF"/>
          <w:sz w:val="22"/>
          <w:szCs w:val="22"/>
        </w:rPr>
      </w:pPr>
      <w:bookmarkStart w:id="269" w:name="_Toc508800249"/>
      <w:r>
        <w:t xml:space="preserve">Table A.3: Weather Sensitive Customer Count by Industry Type, </w:t>
      </w:r>
      <w:r w:rsidR="005E3E51">
        <w:t>SDG&amp;E</w:t>
      </w:r>
      <w:bookmarkEnd w:id="269"/>
    </w:p>
    <w:tbl>
      <w:tblPr>
        <w:tblW w:w="9143" w:type="dxa"/>
        <w:jc w:val="center"/>
        <w:tblLook w:val="04A0" w:firstRow="1" w:lastRow="0" w:firstColumn="1" w:lastColumn="0" w:noHBand="0" w:noVBand="1"/>
      </w:tblPr>
      <w:tblGrid>
        <w:gridCol w:w="4590"/>
        <w:gridCol w:w="1800"/>
        <w:gridCol w:w="1530"/>
        <w:gridCol w:w="1223"/>
      </w:tblGrid>
      <w:tr w:rsidR="00B52D45" w:rsidRPr="00B52D45" w14:paraId="1C623775" w14:textId="77777777" w:rsidTr="006B55F6">
        <w:trPr>
          <w:trHeight w:val="300"/>
          <w:jc w:val="center"/>
        </w:trPr>
        <w:tc>
          <w:tcPr>
            <w:tcW w:w="4590" w:type="dxa"/>
            <w:tcBorders>
              <w:top w:val="single" w:sz="4" w:space="0" w:color="auto"/>
              <w:left w:val="single" w:sz="4" w:space="0" w:color="auto"/>
              <w:bottom w:val="single" w:sz="4" w:space="0" w:color="auto"/>
              <w:right w:val="single" w:sz="4" w:space="0" w:color="FFFFFF"/>
            </w:tcBorders>
            <w:shd w:val="clear" w:color="auto" w:fill="0C2577"/>
            <w:noWrap/>
            <w:vAlign w:val="center"/>
            <w:hideMark/>
          </w:tcPr>
          <w:p w14:paraId="78C48B09" w14:textId="77777777" w:rsidR="00B52D45" w:rsidRPr="00B52D45" w:rsidRDefault="00B52D45" w:rsidP="00B52D45">
            <w:pPr>
              <w:jc w:val="center"/>
              <w:rPr>
                <w:rFonts w:cs="Calibri"/>
                <w:b/>
                <w:bCs/>
                <w:color w:val="FFFFFF"/>
                <w:sz w:val="22"/>
                <w:szCs w:val="22"/>
              </w:rPr>
            </w:pPr>
            <w:r w:rsidRPr="00B52D45">
              <w:rPr>
                <w:rFonts w:cs="Calibri"/>
                <w:b/>
                <w:bCs/>
                <w:color w:val="FFFFFF"/>
                <w:sz w:val="22"/>
                <w:szCs w:val="22"/>
              </w:rPr>
              <w:t>Industry Type</w:t>
            </w:r>
          </w:p>
        </w:tc>
        <w:tc>
          <w:tcPr>
            <w:tcW w:w="1800" w:type="dxa"/>
            <w:tcBorders>
              <w:top w:val="single" w:sz="4" w:space="0" w:color="auto"/>
              <w:left w:val="nil"/>
              <w:bottom w:val="single" w:sz="4" w:space="0" w:color="auto"/>
              <w:right w:val="single" w:sz="4" w:space="0" w:color="FFFFFF"/>
            </w:tcBorders>
            <w:shd w:val="clear" w:color="auto" w:fill="0C2577"/>
            <w:noWrap/>
            <w:vAlign w:val="center"/>
            <w:hideMark/>
          </w:tcPr>
          <w:p w14:paraId="2716D028" w14:textId="21A3F90C" w:rsidR="00B52D45" w:rsidRPr="00B52D45" w:rsidRDefault="00B52D45" w:rsidP="00B52D45">
            <w:pPr>
              <w:jc w:val="center"/>
              <w:rPr>
                <w:rFonts w:cs="Calibri"/>
                <w:b/>
                <w:bCs/>
                <w:color w:val="FFFFFF"/>
                <w:sz w:val="22"/>
                <w:szCs w:val="22"/>
              </w:rPr>
            </w:pPr>
            <w:r w:rsidRPr="00B52D45">
              <w:rPr>
                <w:rFonts w:cs="Calibri"/>
                <w:b/>
                <w:bCs/>
                <w:color w:val="FFFFFF"/>
                <w:sz w:val="22"/>
                <w:szCs w:val="22"/>
              </w:rPr>
              <w:t>Weather Sensitive</w:t>
            </w:r>
          </w:p>
        </w:tc>
        <w:tc>
          <w:tcPr>
            <w:tcW w:w="1530" w:type="dxa"/>
            <w:tcBorders>
              <w:top w:val="single" w:sz="4" w:space="0" w:color="auto"/>
              <w:left w:val="nil"/>
              <w:bottom w:val="single" w:sz="4" w:space="0" w:color="auto"/>
              <w:right w:val="single" w:sz="4" w:space="0" w:color="FFFFFF"/>
            </w:tcBorders>
            <w:shd w:val="clear" w:color="auto" w:fill="0C2577"/>
            <w:noWrap/>
            <w:vAlign w:val="center"/>
            <w:hideMark/>
          </w:tcPr>
          <w:p w14:paraId="313C59FC" w14:textId="414D8D8B" w:rsidR="00B52D45" w:rsidRPr="00B52D45" w:rsidRDefault="005145FF" w:rsidP="00B52D45">
            <w:pPr>
              <w:jc w:val="center"/>
              <w:rPr>
                <w:rFonts w:cs="Calibri"/>
                <w:b/>
                <w:bCs/>
                <w:color w:val="FFFFFF"/>
                <w:sz w:val="22"/>
                <w:szCs w:val="22"/>
              </w:rPr>
            </w:pPr>
            <w:r>
              <w:rPr>
                <w:rFonts w:cs="Calibri"/>
                <w:b/>
                <w:bCs/>
                <w:color w:val="FFFFFF"/>
                <w:sz w:val="22"/>
                <w:szCs w:val="22"/>
              </w:rPr>
              <w:t>Non-</w:t>
            </w:r>
            <w:r w:rsidR="00B52D45" w:rsidRPr="00B52D45">
              <w:rPr>
                <w:rFonts w:cs="Calibri"/>
                <w:b/>
                <w:bCs/>
                <w:color w:val="FFFFFF"/>
                <w:sz w:val="22"/>
                <w:szCs w:val="22"/>
              </w:rPr>
              <w:t>Weather Sensitive</w:t>
            </w:r>
          </w:p>
        </w:tc>
        <w:tc>
          <w:tcPr>
            <w:tcW w:w="1223" w:type="dxa"/>
            <w:tcBorders>
              <w:top w:val="single" w:sz="4" w:space="0" w:color="auto"/>
              <w:left w:val="nil"/>
              <w:bottom w:val="single" w:sz="4" w:space="0" w:color="auto"/>
              <w:right w:val="single" w:sz="4" w:space="0" w:color="auto"/>
            </w:tcBorders>
            <w:shd w:val="clear" w:color="auto" w:fill="0C2577"/>
            <w:noWrap/>
            <w:vAlign w:val="center"/>
            <w:hideMark/>
          </w:tcPr>
          <w:p w14:paraId="7354EF03" w14:textId="77777777" w:rsidR="00B52D45" w:rsidRPr="00B52D45" w:rsidRDefault="00B52D45" w:rsidP="00B52D45">
            <w:pPr>
              <w:jc w:val="center"/>
              <w:rPr>
                <w:rFonts w:cs="Calibri"/>
                <w:b/>
                <w:bCs/>
                <w:color w:val="FFFFFF"/>
                <w:sz w:val="22"/>
                <w:szCs w:val="22"/>
              </w:rPr>
            </w:pPr>
            <w:r w:rsidRPr="00B52D45">
              <w:rPr>
                <w:rFonts w:cs="Calibri"/>
                <w:b/>
                <w:bCs/>
                <w:color w:val="FFFFFF"/>
                <w:sz w:val="22"/>
                <w:szCs w:val="22"/>
              </w:rPr>
              <w:t>Total</w:t>
            </w:r>
          </w:p>
        </w:tc>
      </w:tr>
      <w:tr w:rsidR="00B52D45" w:rsidRPr="00B52D45" w14:paraId="29793456" w14:textId="77777777" w:rsidTr="00B52D45">
        <w:trPr>
          <w:trHeight w:val="300"/>
          <w:jc w:val="center"/>
        </w:trPr>
        <w:tc>
          <w:tcPr>
            <w:tcW w:w="4590" w:type="dxa"/>
            <w:tcBorders>
              <w:top w:val="nil"/>
              <w:left w:val="single" w:sz="4" w:space="0" w:color="auto"/>
              <w:bottom w:val="single" w:sz="4" w:space="0" w:color="auto"/>
              <w:right w:val="single" w:sz="4" w:space="0" w:color="auto"/>
            </w:tcBorders>
            <w:shd w:val="clear" w:color="auto" w:fill="auto"/>
            <w:noWrap/>
            <w:vAlign w:val="center"/>
            <w:hideMark/>
          </w:tcPr>
          <w:p w14:paraId="7EF65699" w14:textId="77777777" w:rsidR="00B52D45" w:rsidRPr="00B52D45" w:rsidRDefault="00B52D45" w:rsidP="00B52D45">
            <w:pPr>
              <w:rPr>
                <w:rFonts w:ascii="Arial" w:hAnsi="Arial" w:cs="Arial"/>
                <w:color w:val="000000"/>
                <w:sz w:val="20"/>
                <w:szCs w:val="20"/>
              </w:rPr>
            </w:pPr>
            <w:r w:rsidRPr="00B52D45">
              <w:rPr>
                <w:rFonts w:ascii="Arial" w:hAnsi="Arial" w:cs="Arial"/>
                <w:color w:val="000000"/>
                <w:sz w:val="20"/>
                <w:szCs w:val="20"/>
              </w:rPr>
              <w:t>1. Agriculture, Mining, Construction</w:t>
            </w:r>
          </w:p>
        </w:tc>
        <w:tc>
          <w:tcPr>
            <w:tcW w:w="1800" w:type="dxa"/>
            <w:tcBorders>
              <w:top w:val="nil"/>
              <w:left w:val="nil"/>
              <w:bottom w:val="single" w:sz="4" w:space="0" w:color="auto"/>
              <w:right w:val="single" w:sz="4" w:space="0" w:color="auto"/>
            </w:tcBorders>
            <w:shd w:val="clear" w:color="auto" w:fill="auto"/>
            <w:noWrap/>
            <w:vAlign w:val="center"/>
            <w:hideMark/>
          </w:tcPr>
          <w:p w14:paraId="4B651648" w14:textId="77777777" w:rsidR="00B52D45" w:rsidRPr="00B52D45" w:rsidRDefault="00B52D45" w:rsidP="00B52D45">
            <w:pPr>
              <w:jc w:val="center"/>
              <w:rPr>
                <w:rFonts w:cs="Calibri"/>
                <w:color w:val="000000"/>
                <w:sz w:val="22"/>
                <w:szCs w:val="22"/>
              </w:rPr>
            </w:pPr>
            <w:r w:rsidRPr="00B52D45">
              <w:rPr>
                <w:rFonts w:cs="Calibri"/>
                <w:color w:val="000000"/>
                <w:sz w:val="22"/>
                <w:szCs w:val="22"/>
              </w:rPr>
              <w:t>1</w:t>
            </w:r>
          </w:p>
        </w:tc>
        <w:tc>
          <w:tcPr>
            <w:tcW w:w="1530" w:type="dxa"/>
            <w:tcBorders>
              <w:top w:val="nil"/>
              <w:left w:val="nil"/>
              <w:bottom w:val="single" w:sz="4" w:space="0" w:color="auto"/>
              <w:right w:val="single" w:sz="4" w:space="0" w:color="auto"/>
            </w:tcBorders>
            <w:shd w:val="clear" w:color="auto" w:fill="auto"/>
            <w:noWrap/>
            <w:vAlign w:val="center"/>
            <w:hideMark/>
          </w:tcPr>
          <w:p w14:paraId="001494D0" w14:textId="77777777" w:rsidR="00B52D45" w:rsidRPr="00B52D45" w:rsidRDefault="00B52D45" w:rsidP="00B52D45">
            <w:pPr>
              <w:jc w:val="center"/>
              <w:rPr>
                <w:rFonts w:cs="Calibri"/>
                <w:color w:val="000000"/>
                <w:sz w:val="22"/>
                <w:szCs w:val="22"/>
              </w:rPr>
            </w:pPr>
            <w:r w:rsidRPr="00B52D45">
              <w:rPr>
                <w:rFonts w:cs="Calibri"/>
                <w:color w:val="000000"/>
                <w:sz w:val="22"/>
                <w:szCs w:val="22"/>
              </w:rPr>
              <w:t>2</w:t>
            </w:r>
          </w:p>
        </w:tc>
        <w:tc>
          <w:tcPr>
            <w:tcW w:w="1223" w:type="dxa"/>
            <w:tcBorders>
              <w:top w:val="nil"/>
              <w:left w:val="nil"/>
              <w:bottom w:val="single" w:sz="4" w:space="0" w:color="auto"/>
              <w:right w:val="single" w:sz="4" w:space="0" w:color="auto"/>
            </w:tcBorders>
            <w:shd w:val="clear" w:color="auto" w:fill="auto"/>
            <w:noWrap/>
            <w:vAlign w:val="center"/>
            <w:hideMark/>
          </w:tcPr>
          <w:p w14:paraId="309D9C12" w14:textId="77777777" w:rsidR="00B52D45" w:rsidRPr="00B52D45" w:rsidRDefault="00B52D45" w:rsidP="00B52D45">
            <w:pPr>
              <w:jc w:val="center"/>
              <w:rPr>
                <w:rFonts w:cs="Calibri"/>
                <w:color w:val="000000"/>
                <w:sz w:val="22"/>
                <w:szCs w:val="22"/>
              </w:rPr>
            </w:pPr>
            <w:r w:rsidRPr="00B52D45">
              <w:rPr>
                <w:rFonts w:cs="Calibri"/>
                <w:color w:val="000000"/>
                <w:sz w:val="22"/>
                <w:szCs w:val="22"/>
              </w:rPr>
              <w:t>3</w:t>
            </w:r>
          </w:p>
        </w:tc>
      </w:tr>
      <w:tr w:rsidR="00B52D45" w:rsidRPr="00B52D45" w14:paraId="2BB16304" w14:textId="77777777" w:rsidTr="00B52D45">
        <w:trPr>
          <w:trHeight w:val="300"/>
          <w:jc w:val="center"/>
        </w:trPr>
        <w:tc>
          <w:tcPr>
            <w:tcW w:w="4590" w:type="dxa"/>
            <w:tcBorders>
              <w:top w:val="nil"/>
              <w:left w:val="single" w:sz="4" w:space="0" w:color="auto"/>
              <w:bottom w:val="single" w:sz="4" w:space="0" w:color="auto"/>
              <w:right w:val="single" w:sz="4" w:space="0" w:color="auto"/>
            </w:tcBorders>
            <w:shd w:val="clear" w:color="auto" w:fill="auto"/>
            <w:noWrap/>
            <w:vAlign w:val="center"/>
            <w:hideMark/>
          </w:tcPr>
          <w:p w14:paraId="29D98788" w14:textId="77777777" w:rsidR="00B52D45" w:rsidRPr="00B52D45" w:rsidRDefault="00B52D45" w:rsidP="00B52D45">
            <w:pPr>
              <w:rPr>
                <w:rFonts w:ascii="Arial" w:hAnsi="Arial" w:cs="Arial"/>
                <w:color w:val="000000"/>
                <w:sz w:val="20"/>
                <w:szCs w:val="20"/>
              </w:rPr>
            </w:pPr>
            <w:r w:rsidRPr="00B52D45">
              <w:rPr>
                <w:rFonts w:ascii="Arial" w:hAnsi="Arial" w:cs="Arial"/>
                <w:color w:val="000000"/>
                <w:sz w:val="20"/>
                <w:szCs w:val="20"/>
              </w:rPr>
              <w:t>2. Manufacturing</w:t>
            </w:r>
          </w:p>
        </w:tc>
        <w:tc>
          <w:tcPr>
            <w:tcW w:w="1800" w:type="dxa"/>
            <w:tcBorders>
              <w:top w:val="nil"/>
              <w:left w:val="nil"/>
              <w:bottom w:val="single" w:sz="4" w:space="0" w:color="auto"/>
              <w:right w:val="single" w:sz="4" w:space="0" w:color="auto"/>
            </w:tcBorders>
            <w:shd w:val="clear" w:color="auto" w:fill="auto"/>
            <w:noWrap/>
            <w:vAlign w:val="center"/>
            <w:hideMark/>
          </w:tcPr>
          <w:p w14:paraId="19314067" w14:textId="77777777" w:rsidR="00B52D45" w:rsidRPr="00B52D45" w:rsidRDefault="00B52D45" w:rsidP="00B52D45">
            <w:pPr>
              <w:jc w:val="center"/>
              <w:rPr>
                <w:rFonts w:cs="Calibri"/>
                <w:color w:val="000000"/>
                <w:sz w:val="22"/>
                <w:szCs w:val="22"/>
              </w:rPr>
            </w:pPr>
            <w:r w:rsidRPr="00B52D45">
              <w:rPr>
                <w:rFonts w:cs="Calibri"/>
                <w:color w:val="000000"/>
                <w:sz w:val="22"/>
                <w:szCs w:val="22"/>
              </w:rPr>
              <w:t>1</w:t>
            </w:r>
          </w:p>
        </w:tc>
        <w:tc>
          <w:tcPr>
            <w:tcW w:w="1530" w:type="dxa"/>
            <w:tcBorders>
              <w:top w:val="nil"/>
              <w:left w:val="nil"/>
              <w:bottom w:val="single" w:sz="4" w:space="0" w:color="auto"/>
              <w:right w:val="single" w:sz="4" w:space="0" w:color="auto"/>
            </w:tcBorders>
            <w:shd w:val="clear" w:color="auto" w:fill="auto"/>
            <w:noWrap/>
            <w:vAlign w:val="center"/>
            <w:hideMark/>
          </w:tcPr>
          <w:p w14:paraId="11807AA6" w14:textId="77777777" w:rsidR="00B52D45" w:rsidRPr="00B52D45" w:rsidRDefault="00B52D45" w:rsidP="00B52D45">
            <w:pPr>
              <w:jc w:val="center"/>
              <w:rPr>
                <w:rFonts w:cs="Calibri"/>
                <w:color w:val="000000"/>
                <w:sz w:val="22"/>
                <w:szCs w:val="22"/>
              </w:rPr>
            </w:pPr>
            <w:r w:rsidRPr="00B52D45">
              <w:rPr>
                <w:rFonts w:cs="Calibri"/>
                <w:color w:val="000000"/>
                <w:sz w:val="22"/>
                <w:szCs w:val="22"/>
              </w:rPr>
              <w:t>0</w:t>
            </w:r>
          </w:p>
        </w:tc>
        <w:tc>
          <w:tcPr>
            <w:tcW w:w="1223" w:type="dxa"/>
            <w:tcBorders>
              <w:top w:val="nil"/>
              <w:left w:val="nil"/>
              <w:bottom w:val="single" w:sz="4" w:space="0" w:color="auto"/>
              <w:right w:val="single" w:sz="4" w:space="0" w:color="auto"/>
            </w:tcBorders>
            <w:shd w:val="clear" w:color="auto" w:fill="auto"/>
            <w:noWrap/>
            <w:vAlign w:val="center"/>
            <w:hideMark/>
          </w:tcPr>
          <w:p w14:paraId="08EDF3DF" w14:textId="77777777" w:rsidR="00B52D45" w:rsidRPr="00B52D45" w:rsidRDefault="00B52D45" w:rsidP="00B52D45">
            <w:pPr>
              <w:jc w:val="center"/>
              <w:rPr>
                <w:rFonts w:cs="Calibri"/>
                <w:color w:val="000000"/>
                <w:sz w:val="22"/>
                <w:szCs w:val="22"/>
              </w:rPr>
            </w:pPr>
            <w:r w:rsidRPr="00B52D45">
              <w:rPr>
                <w:rFonts w:cs="Calibri"/>
                <w:color w:val="000000"/>
                <w:sz w:val="22"/>
                <w:szCs w:val="22"/>
              </w:rPr>
              <w:t>1</w:t>
            </w:r>
          </w:p>
        </w:tc>
      </w:tr>
      <w:tr w:rsidR="00B52D45" w:rsidRPr="00B52D45" w14:paraId="79E615D0" w14:textId="77777777" w:rsidTr="00B52D45">
        <w:trPr>
          <w:trHeight w:val="300"/>
          <w:jc w:val="center"/>
        </w:trPr>
        <w:tc>
          <w:tcPr>
            <w:tcW w:w="4590" w:type="dxa"/>
            <w:tcBorders>
              <w:top w:val="nil"/>
              <w:left w:val="single" w:sz="4" w:space="0" w:color="auto"/>
              <w:bottom w:val="single" w:sz="4" w:space="0" w:color="auto"/>
              <w:right w:val="single" w:sz="4" w:space="0" w:color="auto"/>
            </w:tcBorders>
            <w:shd w:val="clear" w:color="auto" w:fill="auto"/>
            <w:noWrap/>
            <w:vAlign w:val="center"/>
            <w:hideMark/>
          </w:tcPr>
          <w:p w14:paraId="4F306259" w14:textId="77777777" w:rsidR="00B52D45" w:rsidRPr="00B52D45" w:rsidRDefault="00B52D45" w:rsidP="00B52D45">
            <w:pPr>
              <w:rPr>
                <w:rFonts w:ascii="Arial" w:hAnsi="Arial" w:cs="Arial"/>
                <w:color w:val="000000"/>
                <w:sz w:val="20"/>
                <w:szCs w:val="20"/>
              </w:rPr>
            </w:pPr>
            <w:r w:rsidRPr="00B52D45">
              <w:rPr>
                <w:rFonts w:ascii="Arial" w:hAnsi="Arial" w:cs="Arial"/>
                <w:color w:val="000000"/>
                <w:sz w:val="20"/>
                <w:szCs w:val="20"/>
              </w:rPr>
              <w:t>3. Retail</w:t>
            </w:r>
          </w:p>
        </w:tc>
        <w:tc>
          <w:tcPr>
            <w:tcW w:w="1800" w:type="dxa"/>
            <w:tcBorders>
              <w:top w:val="nil"/>
              <w:left w:val="nil"/>
              <w:bottom w:val="single" w:sz="4" w:space="0" w:color="auto"/>
              <w:right w:val="single" w:sz="4" w:space="0" w:color="auto"/>
            </w:tcBorders>
            <w:shd w:val="clear" w:color="auto" w:fill="auto"/>
            <w:noWrap/>
            <w:vAlign w:val="center"/>
            <w:hideMark/>
          </w:tcPr>
          <w:p w14:paraId="0E39DEA1" w14:textId="77777777" w:rsidR="00B52D45" w:rsidRPr="00B52D45" w:rsidRDefault="00B52D45" w:rsidP="00B52D45">
            <w:pPr>
              <w:jc w:val="center"/>
              <w:rPr>
                <w:rFonts w:cs="Calibri"/>
                <w:color w:val="000000"/>
                <w:sz w:val="22"/>
                <w:szCs w:val="22"/>
              </w:rPr>
            </w:pPr>
            <w:r w:rsidRPr="00B52D45">
              <w:rPr>
                <w:rFonts w:cs="Calibri"/>
                <w:color w:val="000000"/>
                <w:sz w:val="22"/>
                <w:szCs w:val="22"/>
              </w:rPr>
              <w:t>2</w:t>
            </w:r>
          </w:p>
        </w:tc>
        <w:tc>
          <w:tcPr>
            <w:tcW w:w="1530" w:type="dxa"/>
            <w:tcBorders>
              <w:top w:val="nil"/>
              <w:left w:val="nil"/>
              <w:bottom w:val="single" w:sz="4" w:space="0" w:color="auto"/>
              <w:right w:val="single" w:sz="4" w:space="0" w:color="auto"/>
            </w:tcBorders>
            <w:shd w:val="clear" w:color="auto" w:fill="auto"/>
            <w:noWrap/>
            <w:vAlign w:val="center"/>
            <w:hideMark/>
          </w:tcPr>
          <w:p w14:paraId="5D1E8859" w14:textId="77777777" w:rsidR="00B52D45" w:rsidRPr="00B52D45" w:rsidRDefault="00B52D45" w:rsidP="00B52D45">
            <w:pPr>
              <w:jc w:val="center"/>
              <w:rPr>
                <w:rFonts w:cs="Calibri"/>
                <w:color w:val="000000"/>
                <w:sz w:val="22"/>
                <w:szCs w:val="22"/>
              </w:rPr>
            </w:pPr>
            <w:r w:rsidRPr="00B52D45">
              <w:rPr>
                <w:rFonts w:cs="Calibri"/>
                <w:color w:val="000000"/>
                <w:sz w:val="22"/>
                <w:szCs w:val="22"/>
              </w:rPr>
              <w:t>0</w:t>
            </w:r>
          </w:p>
        </w:tc>
        <w:tc>
          <w:tcPr>
            <w:tcW w:w="1223" w:type="dxa"/>
            <w:tcBorders>
              <w:top w:val="nil"/>
              <w:left w:val="nil"/>
              <w:bottom w:val="single" w:sz="4" w:space="0" w:color="auto"/>
              <w:right w:val="single" w:sz="4" w:space="0" w:color="auto"/>
            </w:tcBorders>
            <w:shd w:val="clear" w:color="auto" w:fill="auto"/>
            <w:noWrap/>
            <w:vAlign w:val="center"/>
            <w:hideMark/>
          </w:tcPr>
          <w:p w14:paraId="7761B192" w14:textId="77777777" w:rsidR="00B52D45" w:rsidRPr="00B52D45" w:rsidRDefault="00B52D45" w:rsidP="00B52D45">
            <w:pPr>
              <w:jc w:val="center"/>
              <w:rPr>
                <w:rFonts w:cs="Calibri"/>
                <w:color w:val="000000"/>
                <w:sz w:val="22"/>
                <w:szCs w:val="22"/>
              </w:rPr>
            </w:pPr>
            <w:r w:rsidRPr="00B52D45">
              <w:rPr>
                <w:rFonts w:cs="Calibri"/>
                <w:color w:val="000000"/>
                <w:sz w:val="22"/>
                <w:szCs w:val="22"/>
              </w:rPr>
              <w:t>2</w:t>
            </w:r>
          </w:p>
        </w:tc>
      </w:tr>
    </w:tbl>
    <w:p w14:paraId="5D444A2C" w14:textId="77777777" w:rsidR="00B52D45" w:rsidRDefault="00B52D45" w:rsidP="00B52D45">
      <w:pPr>
        <w:pStyle w:val="TableCaption"/>
        <w:keepNext/>
      </w:pPr>
    </w:p>
    <w:p w14:paraId="5CE88D19" w14:textId="77777777" w:rsidR="00614D97" w:rsidRDefault="00614D97" w:rsidP="00614D97">
      <w:pPr>
        <w:pStyle w:val="Heading2"/>
      </w:pPr>
      <w:bookmarkStart w:id="270" w:name="_Toc510091149"/>
      <w:r>
        <w:t>A.2 Model Specification Tests</w:t>
      </w:r>
      <w:bookmarkEnd w:id="264"/>
      <w:bookmarkEnd w:id="265"/>
      <w:bookmarkEnd w:id="270"/>
    </w:p>
    <w:p w14:paraId="6079E207" w14:textId="363F6A39" w:rsidR="00614D97" w:rsidRDefault="00614D97" w:rsidP="00614D97">
      <w:pPr>
        <w:spacing w:after="120"/>
      </w:pPr>
      <w:r>
        <w:t xml:space="preserve">A range of model specifications were tested before arriving at the model used in the </w:t>
      </w:r>
      <w:r w:rsidRPr="00933F01">
        <w:rPr>
          <w:i/>
        </w:rPr>
        <w:t>ex-post</w:t>
      </w:r>
      <w:r>
        <w:t xml:space="preserve"> load impact analysis.</w:t>
      </w:r>
      <w:r w:rsidR="00A311D7">
        <w:t xml:space="preserve"> A separate set of specifications </w:t>
      </w:r>
      <w:r w:rsidR="00424229">
        <w:t>was</w:t>
      </w:r>
      <w:r w:rsidR="00A311D7">
        <w:t xml:space="preserve"> also tested to be used in the </w:t>
      </w:r>
      <w:r w:rsidR="00A311D7">
        <w:rPr>
          <w:i/>
        </w:rPr>
        <w:t xml:space="preserve">ex-ante </w:t>
      </w:r>
      <w:r w:rsidR="00A311D7">
        <w:t>load impact analysis.</w:t>
      </w:r>
      <w:r w:rsidR="00424229">
        <w:rPr>
          <w:rStyle w:val="FootnoteReference"/>
        </w:rPr>
        <w:footnoteReference w:id="15"/>
      </w:r>
      <w:r w:rsidR="00424229">
        <w:t xml:space="preserve"> </w:t>
      </w:r>
      <w:r>
        <w:t>The tests are conducted using average-customer data by industry group and weather-sensitivity</w:t>
      </w:r>
      <w:r w:rsidR="00740441">
        <w:t xml:space="preserve">. </w:t>
      </w:r>
      <w:r>
        <w:t xml:space="preserve">Separate model specifications were tested for weather sensitive and non-weather sensitive customers. </w:t>
      </w:r>
      <w:r w:rsidRPr="00CE0406">
        <w:t xml:space="preserve">Model variations </w:t>
      </w:r>
      <w:r w:rsidR="00740441">
        <w:t xml:space="preserve">for weather sensitive customers </w:t>
      </w:r>
      <w:r>
        <w:t>include 17</w:t>
      </w:r>
      <w:r w:rsidR="00740441">
        <w:t xml:space="preserve"> combinations of weather-related variables for </w:t>
      </w:r>
      <w:r w:rsidR="00740441">
        <w:rPr>
          <w:i/>
        </w:rPr>
        <w:t xml:space="preserve">ex-post </w:t>
      </w:r>
      <w:r w:rsidR="00740441">
        <w:t>and 7</w:t>
      </w:r>
      <w:r w:rsidR="00740441">
        <w:rPr>
          <w:i/>
        </w:rPr>
        <w:t xml:space="preserve"> </w:t>
      </w:r>
      <w:r w:rsidR="00740441">
        <w:t xml:space="preserve">combinations for </w:t>
      </w:r>
      <w:r w:rsidR="00740441">
        <w:rPr>
          <w:i/>
        </w:rPr>
        <w:t xml:space="preserve">ex-ante; </w:t>
      </w:r>
      <w:r>
        <w:t xml:space="preserve">and 5 different specifications of non-weather-related variables for non-weather sensitive customers. </w:t>
      </w:r>
    </w:p>
    <w:p w14:paraId="3EE1209A" w14:textId="3E5D0649" w:rsidR="00614D97" w:rsidRDefault="00614D97" w:rsidP="00614D97">
      <w:pPr>
        <w:spacing w:after="120"/>
      </w:pPr>
      <w:r>
        <w:t>The basic structure of the model for weather sensitive customers is shown in Section 3.2.1</w:t>
      </w:r>
      <w:r w:rsidR="00740441">
        <w:t xml:space="preserve"> for </w:t>
      </w:r>
      <w:r w:rsidR="00740441">
        <w:rPr>
          <w:i/>
        </w:rPr>
        <w:t>ex-post</w:t>
      </w:r>
      <w:r w:rsidR="00740441">
        <w:t xml:space="preserve"> and Section 5.2.2 for </w:t>
      </w:r>
      <w:r w:rsidR="00740441">
        <w:rPr>
          <w:i/>
        </w:rPr>
        <w:t>ex-ante</w:t>
      </w:r>
      <w:r>
        <w:t>.</w:t>
      </w:r>
      <w:r w:rsidR="00740441">
        <w:t xml:space="preserve"> </w:t>
      </w:r>
      <w:r>
        <w:t xml:space="preserve">The weather variables include: </w:t>
      </w:r>
      <w:r>
        <w:lastRenderedPageBreak/>
        <w:t>temperature-humidity index (THI)</w:t>
      </w:r>
      <w:r>
        <w:rPr>
          <w:rStyle w:val="FootnoteReference"/>
        </w:rPr>
        <w:footnoteReference w:id="16"/>
      </w:r>
      <w:r>
        <w:t>; heat index (HI)</w:t>
      </w:r>
      <w:r>
        <w:rPr>
          <w:rStyle w:val="FootnoteReference"/>
        </w:rPr>
        <w:footnoteReference w:id="17"/>
      </w:r>
      <w:r>
        <w:t>; cooling degree hours (CDH)</w:t>
      </w:r>
      <w:r>
        <w:rPr>
          <w:rStyle w:val="FootnoteReference"/>
        </w:rPr>
        <w:footnoteReference w:id="18"/>
      </w:r>
      <w:r>
        <w:t xml:space="preserve">, including both a 60 and 65 degree Fahrenheit threshold; the 3-hour moving average of </w:t>
      </w:r>
      <w:r w:rsidR="00740441">
        <w:t>CDH; cooling</w:t>
      </w:r>
      <w:r>
        <w:t xml:space="preserve"> degree days (CDD)</w:t>
      </w:r>
      <w:r>
        <w:rPr>
          <w:rStyle w:val="FootnoteReference"/>
        </w:rPr>
        <w:footnoteReference w:id="19"/>
      </w:r>
      <w:r>
        <w:t xml:space="preserve">, including both a 60 and 65 degree Fahrenheit threshold; the one-day lag of cooling degree days, and the average of the temperatures in degrees Fahrenheit during the first 17 hours of the day (Mean17). A list of the combinations </w:t>
      </w:r>
      <w:r w:rsidR="00740441">
        <w:t xml:space="preserve">of these variables that we tested for weather sensitive customers is provided in Table A.4, including 17 specifications for </w:t>
      </w:r>
      <w:r w:rsidR="00424229">
        <w:t xml:space="preserve">the </w:t>
      </w:r>
      <w:r w:rsidR="00740441">
        <w:rPr>
          <w:i/>
        </w:rPr>
        <w:t xml:space="preserve">ex-post </w:t>
      </w:r>
      <w:r w:rsidR="00424229">
        <w:t xml:space="preserve">analysis </w:t>
      </w:r>
      <w:r w:rsidR="00740441">
        <w:t xml:space="preserve">and 7 for </w:t>
      </w:r>
      <w:r w:rsidR="00740441">
        <w:rPr>
          <w:i/>
        </w:rPr>
        <w:t>ex-ante</w:t>
      </w:r>
      <w:r w:rsidR="00424229">
        <w:t xml:space="preserve"> analysis</w:t>
      </w:r>
      <w:r>
        <w:t xml:space="preserve">. </w:t>
      </w:r>
    </w:p>
    <w:p w14:paraId="5DAC89A9" w14:textId="77777777" w:rsidR="00614D97" w:rsidRDefault="00614D97" w:rsidP="00614D97">
      <w:pPr>
        <w:spacing w:after="120"/>
      </w:pPr>
    </w:p>
    <w:p w14:paraId="3F2A10CE" w14:textId="677C02CE" w:rsidR="00614D97" w:rsidRPr="0088530C" w:rsidRDefault="00614D97" w:rsidP="00614D97">
      <w:pPr>
        <w:pStyle w:val="TableCaption"/>
        <w:keepNext/>
        <w:keepLines/>
      </w:pPr>
      <w:bookmarkStart w:id="271" w:name="_Toc504832930"/>
      <w:bookmarkStart w:id="272" w:name="_Toc508800250"/>
      <w:r w:rsidRPr="0088530C">
        <w:t xml:space="preserve">Table </w:t>
      </w:r>
      <w:r>
        <w:t>A</w:t>
      </w:r>
      <w:r w:rsidRPr="0088530C">
        <w:t>.</w:t>
      </w:r>
      <w:r w:rsidR="001A1817">
        <w:t>4</w:t>
      </w:r>
      <w:r w:rsidRPr="0088530C">
        <w:t>: Weather Variables Included in the Tested Specifications</w:t>
      </w:r>
      <w:bookmarkEnd w:id="271"/>
      <w:r>
        <w:t xml:space="preserve"> </w:t>
      </w:r>
      <w:r>
        <w:br/>
        <w:t>for Weather Sensitive Customers</w:t>
      </w:r>
      <w:bookmarkEnd w:id="27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9"/>
        <w:gridCol w:w="2756"/>
        <w:gridCol w:w="2740"/>
      </w:tblGrid>
      <w:tr w:rsidR="00A311D7" w14:paraId="1051A981" w14:textId="37C3B0E6" w:rsidTr="006B55F6">
        <w:trPr>
          <w:trHeight w:val="404"/>
          <w:jc w:val="center"/>
        </w:trPr>
        <w:tc>
          <w:tcPr>
            <w:tcW w:w="0" w:type="auto"/>
            <w:tcBorders>
              <w:right w:val="single" w:sz="4" w:space="0" w:color="FFFFFF" w:themeColor="background1"/>
            </w:tcBorders>
            <w:shd w:val="clear" w:color="auto" w:fill="0C2577"/>
            <w:vAlign w:val="center"/>
          </w:tcPr>
          <w:p w14:paraId="4BD384B4" w14:textId="77777777" w:rsidR="00A311D7" w:rsidRPr="00266543" w:rsidRDefault="00A311D7" w:rsidP="00266543">
            <w:pPr>
              <w:jc w:val="center"/>
              <w:rPr>
                <w:rFonts w:cs="Calibri"/>
                <w:b/>
                <w:bCs/>
                <w:color w:val="FFFFFF"/>
                <w:sz w:val="22"/>
                <w:szCs w:val="22"/>
              </w:rPr>
            </w:pPr>
            <w:r w:rsidRPr="00266543">
              <w:rPr>
                <w:rFonts w:cs="Calibri"/>
                <w:b/>
                <w:bCs/>
                <w:color w:val="FFFFFF"/>
                <w:sz w:val="22"/>
                <w:szCs w:val="22"/>
              </w:rPr>
              <w:t>Model Number</w:t>
            </w:r>
          </w:p>
        </w:tc>
        <w:tc>
          <w:tcPr>
            <w:tcW w:w="2756" w:type="dxa"/>
            <w:tcBorders>
              <w:left w:val="single" w:sz="4" w:space="0" w:color="FFFFFF" w:themeColor="background1"/>
              <w:right w:val="single" w:sz="4" w:space="0" w:color="FFFFFF" w:themeColor="background1"/>
            </w:tcBorders>
            <w:shd w:val="clear" w:color="auto" w:fill="0C2577"/>
            <w:vAlign w:val="center"/>
          </w:tcPr>
          <w:p w14:paraId="0C96CD61" w14:textId="4C905B8E" w:rsidR="00A311D7" w:rsidRPr="00424229" w:rsidRDefault="00A311D7" w:rsidP="00424229">
            <w:pPr>
              <w:jc w:val="center"/>
              <w:rPr>
                <w:rFonts w:cs="Calibri"/>
                <w:b/>
                <w:bCs/>
                <w:color w:val="FFFFFF"/>
                <w:sz w:val="22"/>
                <w:szCs w:val="22"/>
              </w:rPr>
            </w:pPr>
            <w:r w:rsidRPr="00794FB6">
              <w:rPr>
                <w:rFonts w:cs="Calibri"/>
                <w:b/>
                <w:bCs/>
                <w:i/>
                <w:color w:val="FFFFFF"/>
                <w:sz w:val="22"/>
                <w:szCs w:val="22"/>
              </w:rPr>
              <w:t>E</w:t>
            </w:r>
            <w:r>
              <w:rPr>
                <w:rFonts w:cs="Calibri"/>
                <w:b/>
                <w:bCs/>
                <w:i/>
                <w:color w:val="FFFFFF"/>
                <w:sz w:val="22"/>
                <w:szCs w:val="22"/>
              </w:rPr>
              <w:t xml:space="preserve">x-post </w:t>
            </w:r>
            <w:r>
              <w:rPr>
                <w:rFonts w:cs="Calibri"/>
                <w:b/>
                <w:bCs/>
                <w:color w:val="FFFFFF"/>
                <w:sz w:val="22"/>
                <w:szCs w:val="22"/>
              </w:rPr>
              <w:t>Analysis</w:t>
            </w:r>
          </w:p>
        </w:tc>
        <w:tc>
          <w:tcPr>
            <w:tcW w:w="2740" w:type="dxa"/>
            <w:tcBorders>
              <w:left w:val="single" w:sz="4" w:space="0" w:color="FFFFFF" w:themeColor="background1"/>
            </w:tcBorders>
            <w:shd w:val="clear" w:color="auto" w:fill="0C2577"/>
            <w:vAlign w:val="center"/>
          </w:tcPr>
          <w:p w14:paraId="6966321B" w14:textId="625F965A" w:rsidR="00A311D7" w:rsidRPr="00424229" w:rsidRDefault="00A311D7" w:rsidP="00424229">
            <w:pPr>
              <w:jc w:val="center"/>
              <w:rPr>
                <w:rFonts w:cs="Calibri"/>
                <w:b/>
                <w:bCs/>
                <w:color w:val="FFFFFF"/>
                <w:sz w:val="22"/>
                <w:szCs w:val="22"/>
              </w:rPr>
            </w:pPr>
            <w:r>
              <w:rPr>
                <w:rFonts w:cs="Calibri"/>
                <w:b/>
                <w:bCs/>
                <w:i/>
                <w:color w:val="FFFFFF"/>
                <w:sz w:val="22"/>
                <w:szCs w:val="22"/>
              </w:rPr>
              <w:t xml:space="preserve">Ex-ante </w:t>
            </w:r>
            <w:r>
              <w:rPr>
                <w:rFonts w:cs="Calibri"/>
                <w:b/>
                <w:bCs/>
                <w:color w:val="FFFFFF"/>
                <w:sz w:val="22"/>
                <w:szCs w:val="22"/>
              </w:rPr>
              <w:t>Analysis</w:t>
            </w:r>
          </w:p>
        </w:tc>
      </w:tr>
      <w:tr w:rsidR="00A311D7" w14:paraId="3DFAAF20" w14:textId="109D2BC0" w:rsidTr="00794FB6">
        <w:trPr>
          <w:jc w:val="center"/>
        </w:trPr>
        <w:tc>
          <w:tcPr>
            <w:tcW w:w="0" w:type="auto"/>
            <w:shd w:val="clear" w:color="auto" w:fill="auto"/>
          </w:tcPr>
          <w:p w14:paraId="27E0743C" w14:textId="77777777" w:rsidR="00A311D7" w:rsidRPr="00AA745A" w:rsidRDefault="00A311D7" w:rsidP="00614D97">
            <w:pPr>
              <w:keepNext/>
              <w:keepLines/>
              <w:jc w:val="center"/>
              <w:rPr>
                <w:rFonts w:ascii="Arial" w:hAnsi="Arial" w:cs="Arial"/>
                <w:sz w:val="20"/>
                <w:szCs w:val="20"/>
              </w:rPr>
            </w:pPr>
            <w:r w:rsidRPr="00AA745A">
              <w:rPr>
                <w:rFonts w:ascii="Arial" w:hAnsi="Arial" w:cs="Arial"/>
                <w:sz w:val="20"/>
                <w:szCs w:val="20"/>
              </w:rPr>
              <w:t>1</w:t>
            </w:r>
          </w:p>
        </w:tc>
        <w:tc>
          <w:tcPr>
            <w:tcW w:w="2756" w:type="dxa"/>
            <w:shd w:val="clear" w:color="auto" w:fill="auto"/>
          </w:tcPr>
          <w:p w14:paraId="68D7E861" w14:textId="77777777" w:rsidR="00A311D7" w:rsidRPr="00AA745A" w:rsidRDefault="00A311D7" w:rsidP="00614D97">
            <w:pPr>
              <w:keepNext/>
              <w:keepLines/>
              <w:rPr>
                <w:rFonts w:ascii="Arial" w:hAnsi="Arial" w:cs="Arial"/>
                <w:sz w:val="20"/>
                <w:szCs w:val="20"/>
              </w:rPr>
            </w:pPr>
            <w:r w:rsidRPr="00AA745A">
              <w:rPr>
                <w:rFonts w:ascii="Arial" w:hAnsi="Arial" w:cs="Arial"/>
                <w:sz w:val="20"/>
                <w:szCs w:val="20"/>
              </w:rPr>
              <w:t>THI</w:t>
            </w:r>
          </w:p>
        </w:tc>
        <w:tc>
          <w:tcPr>
            <w:tcW w:w="2740" w:type="dxa"/>
          </w:tcPr>
          <w:p w14:paraId="78A4147A" w14:textId="4E58B261" w:rsidR="00A311D7" w:rsidRPr="00AA745A" w:rsidRDefault="00A311D7" w:rsidP="00614D97">
            <w:pPr>
              <w:keepNext/>
              <w:keepLines/>
              <w:rPr>
                <w:rFonts w:ascii="Arial" w:hAnsi="Arial" w:cs="Arial"/>
                <w:sz w:val="20"/>
                <w:szCs w:val="20"/>
              </w:rPr>
            </w:pPr>
            <w:r>
              <w:rPr>
                <w:rFonts w:ascii="Arial" w:hAnsi="Arial" w:cs="Arial"/>
                <w:sz w:val="20"/>
                <w:szCs w:val="20"/>
              </w:rPr>
              <w:t>CDH60</w:t>
            </w:r>
          </w:p>
        </w:tc>
      </w:tr>
      <w:tr w:rsidR="00A311D7" w14:paraId="054F1DF2" w14:textId="49B28135" w:rsidTr="00794FB6">
        <w:trPr>
          <w:jc w:val="center"/>
        </w:trPr>
        <w:tc>
          <w:tcPr>
            <w:tcW w:w="0" w:type="auto"/>
            <w:shd w:val="clear" w:color="auto" w:fill="auto"/>
          </w:tcPr>
          <w:p w14:paraId="551D28F4" w14:textId="77777777" w:rsidR="00A311D7" w:rsidRPr="00AA745A" w:rsidRDefault="00A311D7" w:rsidP="00614D97">
            <w:pPr>
              <w:keepNext/>
              <w:keepLines/>
              <w:jc w:val="center"/>
              <w:rPr>
                <w:rFonts w:ascii="Arial" w:hAnsi="Arial" w:cs="Arial"/>
                <w:sz w:val="20"/>
                <w:szCs w:val="20"/>
              </w:rPr>
            </w:pPr>
            <w:r w:rsidRPr="00AA745A">
              <w:rPr>
                <w:rFonts w:ascii="Arial" w:hAnsi="Arial" w:cs="Arial"/>
                <w:sz w:val="20"/>
                <w:szCs w:val="20"/>
              </w:rPr>
              <w:t>2</w:t>
            </w:r>
          </w:p>
        </w:tc>
        <w:tc>
          <w:tcPr>
            <w:tcW w:w="2756" w:type="dxa"/>
            <w:shd w:val="clear" w:color="auto" w:fill="auto"/>
          </w:tcPr>
          <w:p w14:paraId="5AB8F9AC" w14:textId="77777777" w:rsidR="00A311D7" w:rsidRPr="00AA745A" w:rsidRDefault="00A311D7" w:rsidP="00614D97">
            <w:pPr>
              <w:keepNext/>
              <w:keepLines/>
              <w:rPr>
                <w:rFonts w:ascii="Arial" w:hAnsi="Arial" w:cs="Arial"/>
                <w:sz w:val="20"/>
                <w:szCs w:val="20"/>
              </w:rPr>
            </w:pPr>
            <w:r w:rsidRPr="00AA745A">
              <w:rPr>
                <w:rFonts w:ascii="Arial" w:hAnsi="Arial" w:cs="Arial"/>
                <w:sz w:val="20"/>
                <w:szCs w:val="20"/>
              </w:rPr>
              <w:t>HI</w:t>
            </w:r>
          </w:p>
        </w:tc>
        <w:tc>
          <w:tcPr>
            <w:tcW w:w="2740" w:type="dxa"/>
          </w:tcPr>
          <w:p w14:paraId="6013B5E1" w14:textId="5D12DFFD" w:rsidR="00A311D7" w:rsidRPr="00AA745A" w:rsidRDefault="00A311D7" w:rsidP="00614D97">
            <w:pPr>
              <w:keepNext/>
              <w:keepLines/>
              <w:rPr>
                <w:rFonts w:ascii="Arial" w:hAnsi="Arial" w:cs="Arial"/>
                <w:sz w:val="20"/>
                <w:szCs w:val="20"/>
              </w:rPr>
            </w:pPr>
            <w:r>
              <w:rPr>
                <w:rFonts w:ascii="Arial" w:hAnsi="Arial" w:cs="Arial"/>
                <w:sz w:val="20"/>
                <w:szCs w:val="20"/>
              </w:rPr>
              <w:t>CDH65</w:t>
            </w:r>
          </w:p>
        </w:tc>
      </w:tr>
      <w:tr w:rsidR="00A311D7" w14:paraId="2C12858A" w14:textId="6F355A98" w:rsidTr="00794FB6">
        <w:trPr>
          <w:jc w:val="center"/>
        </w:trPr>
        <w:tc>
          <w:tcPr>
            <w:tcW w:w="0" w:type="auto"/>
            <w:shd w:val="clear" w:color="auto" w:fill="auto"/>
          </w:tcPr>
          <w:p w14:paraId="473C73F4" w14:textId="77777777" w:rsidR="00A311D7" w:rsidRPr="00AA745A" w:rsidRDefault="00A311D7" w:rsidP="00614D97">
            <w:pPr>
              <w:keepNext/>
              <w:keepLines/>
              <w:jc w:val="center"/>
              <w:rPr>
                <w:rFonts w:ascii="Arial" w:hAnsi="Arial" w:cs="Arial"/>
                <w:sz w:val="20"/>
                <w:szCs w:val="20"/>
              </w:rPr>
            </w:pPr>
            <w:r w:rsidRPr="00AA745A">
              <w:rPr>
                <w:rFonts w:ascii="Arial" w:hAnsi="Arial" w:cs="Arial"/>
                <w:sz w:val="20"/>
                <w:szCs w:val="20"/>
              </w:rPr>
              <w:t>3</w:t>
            </w:r>
          </w:p>
        </w:tc>
        <w:tc>
          <w:tcPr>
            <w:tcW w:w="2756" w:type="dxa"/>
            <w:shd w:val="clear" w:color="auto" w:fill="auto"/>
          </w:tcPr>
          <w:p w14:paraId="75392377" w14:textId="77777777" w:rsidR="00A311D7" w:rsidRPr="00AA745A" w:rsidRDefault="00A311D7" w:rsidP="00614D97">
            <w:pPr>
              <w:keepNext/>
              <w:keepLines/>
              <w:rPr>
                <w:rFonts w:ascii="Arial" w:hAnsi="Arial" w:cs="Arial"/>
                <w:sz w:val="20"/>
                <w:szCs w:val="20"/>
              </w:rPr>
            </w:pPr>
            <w:r w:rsidRPr="00AA745A">
              <w:rPr>
                <w:rFonts w:ascii="Arial" w:hAnsi="Arial" w:cs="Arial"/>
                <w:sz w:val="20"/>
                <w:szCs w:val="20"/>
              </w:rPr>
              <w:t>CDH60</w:t>
            </w:r>
          </w:p>
        </w:tc>
        <w:tc>
          <w:tcPr>
            <w:tcW w:w="2740" w:type="dxa"/>
          </w:tcPr>
          <w:p w14:paraId="6CE15B99" w14:textId="28229695" w:rsidR="00A311D7" w:rsidRPr="00AA745A" w:rsidRDefault="00A311D7" w:rsidP="00614D97">
            <w:pPr>
              <w:keepNext/>
              <w:keepLines/>
              <w:rPr>
                <w:rFonts w:ascii="Arial" w:hAnsi="Arial" w:cs="Arial"/>
                <w:sz w:val="20"/>
                <w:szCs w:val="20"/>
              </w:rPr>
            </w:pPr>
            <w:r>
              <w:rPr>
                <w:rFonts w:ascii="Arial" w:hAnsi="Arial" w:cs="Arial"/>
                <w:sz w:val="20"/>
                <w:szCs w:val="20"/>
              </w:rPr>
              <w:t>CDD60</w:t>
            </w:r>
          </w:p>
        </w:tc>
      </w:tr>
      <w:tr w:rsidR="00A311D7" w14:paraId="62974901" w14:textId="1C83E975" w:rsidTr="00794FB6">
        <w:trPr>
          <w:jc w:val="center"/>
        </w:trPr>
        <w:tc>
          <w:tcPr>
            <w:tcW w:w="0" w:type="auto"/>
            <w:shd w:val="clear" w:color="auto" w:fill="auto"/>
          </w:tcPr>
          <w:p w14:paraId="5D99DBF8" w14:textId="77777777" w:rsidR="00A311D7" w:rsidRPr="00AA745A" w:rsidRDefault="00A311D7" w:rsidP="00614D97">
            <w:pPr>
              <w:keepNext/>
              <w:keepLines/>
              <w:jc w:val="center"/>
              <w:rPr>
                <w:rFonts w:ascii="Arial" w:hAnsi="Arial" w:cs="Arial"/>
                <w:sz w:val="20"/>
                <w:szCs w:val="20"/>
              </w:rPr>
            </w:pPr>
            <w:r w:rsidRPr="00AA745A">
              <w:rPr>
                <w:rFonts w:ascii="Arial" w:hAnsi="Arial" w:cs="Arial"/>
                <w:sz w:val="20"/>
                <w:szCs w:val="20"/>
              </w:rPr>
              <w:t>4</w:t>
            </w:r>
          </w:p>
        </w:tc>
        <w:tc>
          <w:tcPr>
            <w:tcW w:w="2756" w:type="dxa"/>
            <w:shd w:val="clear" w:color="auto" w:fill="auto"/>
          </w:tcPr>
          <w:p w14:paraId="729894F4" w14:textId="77777777" w:rsidR="00A311D7" w:rsidRPr="00AA745A" w:rsidRDefault="00A311D7" w:rsidP="00614D97">
            <w:pPr>
              <w:keepNext/>
              <w:keepLines/>
              <w:rPr>
                <w:rFonts w:ascii="Arial" w:hAnsi="Arial" w:cs="Arial"/>
                <w:sz w:val="20"/>
                <w:szCs w:val="20"/>
              </w:rPr>
            </w:pPr>
            <w:r w:rsidRPr="00AA745A">
              <w:rPr>
                <w:rFonts w:ascii="Arial" w:hAnsi="Arial" w:cs="Arial"/>
                <w:sz w:val="20"/>
                <w:szCs w:val="20"/>
              </w:rPr>
              <w:t>CDH65</w:t>
            </w:r>
          </w:p>
        </w:tc>
        <w:tc>
          <w:tcPr>
            <w:tcW w:w="2740" w:type="dxa"/>
          </w:tcPr>
          <w:p w14:paraId="0B9FDE23" w14:textId="2A63B46A" w:rsidR="00A311D7" w:rsidRPr="00AA745A" w:rsidRDefault="00A311D7" w:rsidP="00614D97">
            <w:pPr>
              <w:keepNext/>
              <w:keepLines/>
              <w:rPr>
                <w:rFonts w:ascii="Arial" w:hAnsi="Arial" w:cs="Arial"/>
                <w:sz w:val="20"/>
                <w:szCs w:val="20"/>
              </w:rPr>
            </w:pPr>
            <w:r>
              <w:rPr>
                <w:rFonts w:ascii="Arial" w:hAnsi="Arial" w:cs="Arial"/>
                <w:sz w:val="20"/>
                <w:szCs w:val="20"/>
              </w:rPr>
              <w:t>CDD65</w:t>
            </w:r>
          </w:p>
        </w:tc>
      </w:tr>
      <w:tr w:rsidR="00A311D7" w14:paraId="709F8DAB" w14:textId="0F1993C6" w:rsidTr="00794FB6">
        <w:trPr>
          <w:jc w:val="center"/>
        </w:trPr>
        <w:tc>
          <w:tcPr>
            <w:tcW w:w="0" w:type="auto"/>
            <w:shd w:val="clear" w:color="auto" w:fill="auto"/>
          </w:tcPr>
          <w:p w14:paraId="60D888A6" w14:textId="77777777" w:rsidR="00A311D7" w:rsidRPr="00AA745A" w:rsidRDefault="00A311D7" w:rsidP="00614D97">
            <w:pPr>
              <w:keepNext/>
              <w:keepLines/>
              <w:jc w:val="center"/>
              <w:rPr>
                <w:rFonts w:ascii="Arial" w:hAnsi="Arial" w:cs="Arial"/>
                <w:sz w:val="20"/>
                <w:szCs w:val="20"/>
              </w:rPr>
            </w:pPr>
            <w:r w:rsidRPr="00AA745A">
              <w:rPr>
                <w:rFonts w:ascii="Arial" w:hAnsi="Arial" w:cs="Arial"/>
                <w:sz w:val="20"/>
                <w:szCs w:val="20"/>
              </w:rPr>
              <w:t>5</w:t>
            </w:r>
          </w:p>
        </w:tc>
        <w:tc>
          <w:tcPr>
            <w:tcW w:w="2756" w:type="dxa"/>
            <w:shd w:val="clear" w:color="auto" w:fill="auto"/>
          </w:tcPr>
          <w:p w14:paraId="6DFF279C" w14:textId="77777777" w:rsidR="00A311D7" w:rsidRPr="00AA745A" w:rsidRDefault="00A311D7" w:rsidP="00614D97">
            <w:pPr>
              <w:keepNext/>
              <w:keepLines/>
              <w:rPr>
                <w:rFonts w:ascii="Arial" w:hAnsi="Arial" w:cs="Arial"/>
                <w:sz w:val="20"/>
                <w:szCs w:val="20"/>
              </w:rPr>
            </w:pPr>
            <w:r>
              <w:rPr>
                <w:rFonts w:ascii="Arial" w:hAnsi="Arial" w:cs="Arial"/>
                <w:sz w:val="20"/>
                <w:szCs w:val="20"/>
              </w:rPr>
              <w:t>CDD60</w:t>
            </w:r>
          </w:p>
        </w:tc>
        <w:tc>
          <w:tcPr>
            <w:tcW w:w="2740" w:type="dxa"/>
          </w:tcPr>
          <w:p w14:paraId="6346C91A" w14:textId="27650C5D" w:rsidR="00A311D7" w:rsidRDefault="00A311D7" w:rsidP="00614D97">
            <w:pPr>
              <w:keepNext/>
              <w:keepLines/>
              <w:rPr>
                <w:rFonts w:ascii="Arial" w:hAnsi="Arial" w:cs="Arial"/>
                <w:sz w:val="20"/>
                <w:szCs w:val="20"/>
              </w:rPr>
            </w:pPr>
            <w:r>
              <w:rPr>
                <w:rFonts w:ascii="Arial" w:hAnsi="Arial" w:cs="Arial"/>
                <w:sz w:val="20"/>
                <w:szCs w:val="20"/>
              </w:rPr>
              <w:t>Mean17</w:t>
            </w:r>
          </w:p>
        </w:tc>
      </w:tr>
      <w:tr w:rsidR="00A311D7" w14:paraId="35A2C59B" w14:textId="2D9DD0CC" w:rsidTr="00794FB6">
        <w:trPr>
          <w:jc w:val="center"/>
        </w:trPr>
        <w:tc>
          <w:tcPr>
            <w:tcW w:w="0" w:type="auto"/>
            <w:shd w:val="clear" w:color="auto" w:fill="auto"/>
          </w:tcPr>
          <w:p w14:paraId="340ADF05" w14:textId="77777777" w:rsidR="00A311D7" w:rsidRPr="00AA745A" w:rsidRDefault="00A311D7" w:rsidP="00614D97">
            <w:pPr>
              <w:keepNext/>
              <w:keepLines/>
              <w:jc w:val="center"/>
              <w:rPr>
                <w:rFonts w:ascii="Arial" w:hAnsi="Arial" w:cs="Arial"/>
                <w:sz w:val="20"/>
                <w:szCs w:val="20"/>
              </w:rPr>
            </w:pPr>
            <w:r w:rsidRPr="00AA745A">
              <w:rPr>
                <w:rFonts w:ascii="Arial" w:hAnsi="Arial" w:cs="Arial"/>
                <w:sz w:val="20"/>
                <w:szCs w:val="20"/>
              </w:rPr>
              <w:t>6</w:t>
            </w:r>
          </w:p>
        </w:tc>
        <w:tc>
          <w:tcPr>
            <w:tcW w:w="2756" w:type="dxa"/>
            <w:shd w:val="clear" w:color="auto" w:fill="auto"/>
          </w:tcPr>
          <w:p w14:paraId="201A8D13" w14:textId="77777777" w:rsidR="00A311D7" w:rsidRPr="00AA745A" w:rsidRDefault="00A311D7" w:rsidP="00614D97">
            <w:pPr>
              <w:keepNext/>
              <w:keepLines/>
              <w:rPr>
                <w:rFonts w:ascii="Arial" w:hAnsi="Arial" w:cs="Arial"/>
                <w:sz w:val="20"/>
                <w:szCs w:val="20"/>
              </w:rPr>
            </w:pPr>
            <w:r>
              <w:rPr>
                <w:rFonts w:ascii="Arial" w:hAnsi="Arial" w:cs="Arial"/>
                <w:sz w:val="20"/>
                <w:szCs w:val="20"/>
              </w:rPr>
              <w:t>CDD65</w:t>
            </w:r>
          </w:p>
        </w:tc>
        <w:tc>
          <w:tcPr>
            <w:tcW w:w="2740" w:type="dxa"/>
          </w:tcPr>
          <w:p w14:paraId="1A600099" w14:textId="667BCC45" w:rsidR="00A311D7" w:rsidRDefault="00A311D7" w:rsidP="00614D97">
            <w:pPr>
              <w:keepNext/>
              <w:keepLines/>
              <w:rPr>
                <w:rFonts w:ascii="Arial" w:hAnsi="Arial" w:cs="Arial"/>
                <w:sz w:val="20"/>
                <w:szCs w:val="20"/>
              </w:rPr>
            </w:pPr>
            <w:r>
              <w:rPr>
                <w:rFonts w:ascii="Arial" w:hAnsi="Arial" w:cs="Arial"/>
                <w:sz w:val="20"/>
                <w:szCs w:val="20"/>
              </w:rPr>
              <w:t>CDH60, Mean17</w:t>
            </w:r>
          </w:p>
        </w:tc>
      </w:tr>
      <w:tr w:rsidR="00A311D7" w14:paraId="5166CF1A" w14:textId="7003A2EE" w:rsidTr="00794FB6">
        <w:trPr>
          <w:jc w:val="center"/>
        </w:trPr>
        <w:tc>
          <w:tcPr>
            <w:tcW w:w="0" w:type="auto"/>
            <w:shd w:val="clear" w:color="auto" w:fill="auto"/>
          </w:tcPr>
          <w:p w14:paraId="40838B86" w14:textId="77777777" w:rsidR="00A311D7" w:rsidRPr="00AA745A" w:rsidRDefault="00A311D7" w:rsidP="00614D97">
            <w:pPr>
              <w:keepNext/>
              <w:keepLines/>
              <w:jc w:val="center"/>
              <w:rPr>
                <w:rFonts w:ascii="Arial" w:hAnsi="Arial" w:cs="Arial"/>
                <w:sz w:val="20"/>
                <w:szCs w:val="20"/>
              </w:rPr>
            </w:pPr>
            <w:r w:rsidRPr="00AA745A">
              <w:rPr>
                <w:rFonts w:ascii="Arial" w:hAnsi="Arial" w:cs="Arial"/>
                <w:sz w:val="20"/>
                <w:szCs w:val="20"/>
              </w:rPr>
              <w:t>7</w:t>
            </w:r>
          </w:p>
        </w:tc>
        <w:tc>
          <w:tcPr>
            <w:tcW w:w="2756" w:type="dxa"/>
            <w:shd w:val="clear" w:color="auto" w:fill="auto"/>
          </w:tcPr>
          <w:p w14:paraId="118C60B6" w14:textId="77777777" w:rsidR="00A311D7" w:rsidRPr="00AA745A" w:rsidRDefault="00A311D7" w:rsidP="00614D97">
            <w:pPr>
              <w:keepNext/>
              <w:keepLines/>
              <w:rPr>
                <w:rFonts w:ascii="Arial" w:hAnsi="Arial" w:cs="Arial"/>
                <w:sz w:val="20"/>
                <w:szCs w:val="20"/>
              </w:rPr>
            </w:pPr>
            <w:r>
              <w:rPr>
                <w:rFonts w:ascii="Arial" w:hAnsi="Arial" w:cs="Arial"/>
                <w:sz w:val="20"/>
                <w:szCs w:val="20"/>
              </w:rPr>
              <w:t>Mean 17</w:t>
            </w:r>
          </w:p>
        </w:tc>
        <w:tc>
          <w:tcPr>
            <w:tcW w:w="2740" w:type="dxa"/>
          </w:tcPr>
          <w:p w14:paraId="568E6AE3" w14:textId="0288ABE7" w:rsidR="00A311D7" w:rsidRDefault="00A311D7" w:rsidP="00614D97">
            <w:pPr>
              <w:keepNext/>
              <w:keepLines/>
              <w:rPr>
                <w:rFonts w:ascii="Arial" w:hAnsi="Arial" w:cs="Arial"/>
                <w:sz w:val="20"/>
                <w:szCs w:val="20"/>
              </w:rPr>
            </w:pPr>
            <w:r>
              <w:rPr>
                <w:rFonts w:ascii="Arial" w:hAnsi="Arial" w:cs="Arial"/>
                <w:sz w:val="20"/>
                <w:szCs w:val="20"/>
              </w:rPr>
              <w:t>CDH65, Mean17</w:t>
            </w:r>
          </w:p>
        </w:tc>
      </w:tr>
      <w:tr w:rsidR="00A311D7" w14:paraId="71BA5F41" w14:textId="30A76BFE" w:rsidTr="00794FB6">
        <w:trPr>
          <w:jc w:val="center"/>
        </w:trPr>
        <w:tc>
          <w:tcPr>
            <w:tcW w:w="0" w:type="auto"/>
            <w:shd w:val="clear" w:color="auto" w:fill="auto"/>
          </w:tcPr>
          <w:p w14:paraId="7023FFFE" w14:textId="77777777" w:rsidR="00A311D7" w:rsidRPr="00AA745A" w:rsidRDefault="00A311D7" w:rsidP="00614D97">
            <w:pPr>
              <w:keepNext/>
              <w:keepLines/>
              <w:jc w:val="center"/>
              <w:rPr>
                <w:rFonts w:ascii="Arial" w:hAnsi="Arial" w:cs="Arial"/>
                <w:sz w:val="20"/>
                <w:szCs w:val="20"/>
              </w:rPr>
            </w:pPr>
            <w:r w:rsidRPr="00AA745A">
              <w:rPr>
                <w:rFonts w:ascii="Arial" w:hAnsi="Arial" w:cs="Arial"/>
                <w:sz w:val="20"/>
                <w:szCs w:val="20"/>
              </w:rPr>
              <w:t>8</w:t>
            </w:r>
          </w:p>
        </w:tc>
        <w:tc>
          <w:tcPr>
            <w:tcW w:w="2756" w:type="dxa"/>
            <w:shd w:val="clear" w:color="auto" w:fill="auto"/>
          </w:tcPr>
          <w:p w14:paraId="3020B487" w14:textId="77777777" w:rsidR="00A311D7" w:rsidRPr="00AA745A" w:rsidRDefault="00A311D7" w:rsidP="00614D97">
            <w:pPr>
              <w:keepNext/>
              <w:keepLines/>
              <w:rPr>
                <w:rFonts w:ascii="Arial" w:hAnsi="Arial" w:cs="Arial"/>
                <w:sz w:val="20"/>
                <w:szCs w:val="20"/>
              </w:rPr>
            </w:pPr>
            <w:r>
              <w:rPr>
                <w:rFonts w:ascii="Arial" w:hAnsi="Arial" w:cs="Arial"/>
                <w:sz w:val="20"/>
                <w:szCs w:val="20"/>
              </w:rPr>
              <w:t>CDH60_MA3</w:t>
            </w:r>
          </w:p>
        </w:tc>
        <w:tc>
          <w:tcPr>
            <w:tcW w:w="2740" w:type="dxa"/>
          </w:tcPr>
          <w:p w14:paraId="21E6CDD6" w14:textId="77777777" w:rsidR="00A311D7" w:rsidRDefault="00A311D7" w:rsidP="00614D97">
            <w:pPr>
              <w:keepNext/>
              <w:keepLines/>
              <w:rPr>
                <w:rFonts w:ascii="Arial" w:hAnsi="Arial" w:cs="Arial"/>
                <w:sz w:val="20"/>
                <w:szCs w:val="20"/>
              </w:rPr>
            </w:pPr>
          </w:p>
        </w:tc>
      </w:tr>
      <w:tr w:rsidR="00A311D7" w14:paraId="0F9502AC" w14:textId="2E734710" w:rsidTr="00794FB6">
        <w:trPr>
          <w:jc w:val="center"/>
        </w:trPr>
        <w:tc>
          <w:tcPr>
            <w:tcW w:w="0" w:type="auto"/>
            <w:shd w:val="clear" w:color="auto" w:fill="auto"/>
          </w:tcPr>
          <w:p w14:paraId="15E53401" w14:textId="77777777" w:rsidR="00A311D7" w:rsidRPr="00AA745A" w:rsidRDefault="00A311D7" w:rsidP="00614D97">
            <w:pPr>
              <w:keepNext/>
              <w:keepLines/>
              <w:jc w:val="center"/>
              <w:rPr>
                <w:rFonts w:ascii="Arial" w:hAnsi="Arial" w:cs="Arial"/>
                <w:sz w:val="20"/>
                <w:szCs w:val="20"/>
              </w:rPr>
            </w:pPr>
            <w:r w:rsidRPr="00AA745A">
              <w:rPr>
                <w:rFonts w:ascii="Arial" w:hAnsi="Arial" w:cs="Arial"/>
                <w:sz w:val="20"/>
                <w:szCs w:val="20"/>
              </w:rPr>
              <w:t>9</w:t>
            </w:r>
          </w:p>
        </w:tc>
        <w:tc>
          <w:tcPr>
            <w:tcW w:w="2756" w:type="dxa"/>
            <w:shd w:val="clear" w:color="auto" w:fill="auto"/>
          </w:tcPr>
          <w:p w14:paraId="1508D9B7" w14:textId="77777777" w:rsidR="00A311D7" w:rsidRPr="00AA745A" w:rsidRDefault="00A311D7" w:rsidP="00614D97">
            <w:pPr>
              <w:keepNext/>
              <w:keepLines/>
              <w:rPr>
                <w:rFonts w:ascii="Arial" w:hAnsi="Arial" w:cs="Arial"/>
                <w:sz w:val="20"/>
                <w:szCs w:val="20"/>
              </w:rPr>
            </w:pPr>
            <w:r>
              <w:rPr>
                <w:rFonts w:ascii="Arial" w:hAnsi="Arial" w:cs="Arial"/>
                <w:sz w:val="20"/>
                <w:szCs w:val="20"/>
              </w:rPr>
              <w:t>CDH65_MA3</w:t>
            </w:r>
          </w:p>
        </w:tc>
        <w:tc>
          <w:tcPr>
            <w:tcW w:w="2740" w:type="dxa"/>
          </w:tcPr>
          <w:p w14:paraId="1779ECC2" w14:textId="77777777" w:rsidR="00A311D7" w:rsidRDefault="00A311D7" w:rsidP="00614D97">
            <w:pPr>
              <w:keepNext/>
              <w:keepLines/>
              <w:rPr>
                <w:rFonts w:ascii="Arial" w:hAnsi="Arial" w:cs="Arial"/>
                <w:sz w:val="20"/>
                <w:szCs w:val="20"/>
              </w:rPr>
            </w:pPr>
          </w:p>
        </w:tc>
      </w:tr>
      <w:tr w:rsidR="00A311D7" w14:paraId="40F1C17E" w14:textId="3B7C8DF1" w:rsidTr="00794FB6">
        <w:trPr>
          <w:jc w:val="center"/>
        </w:trPr>
        <w:tc>
          <w:tcPr>
            <w:tcW w:w="0" w:type="auto"/>
            <w:shd w:val="clear" w:color="auto" w:fill="auto"/>
          </w:tcPr>
          <w:p w14:paraId="62943502" w14:textId="77777777" w:rsidR="00A311D7" w:rsidRPr="00AA745A" w:rsidRDefault="00A311D7" w:rsidP="00614D97">
            <w:pPr>
              <w:keepNext/>
              <w:keepLines/>
              <w:jc w:val="center"/>
              <w:rPr>
                <w:rFonts w:ascii="Arial" w:hAnsi="Arial" w:cs="Arial"/>
                <w:sz w:val="20"/>
                <w:szCs w:val="20"/>
              </w:rPr>
            </w:pPr>
            <w:r w:rsidRPr="00AA745A">
              <w:rPr>
                <w:rFonts w:ascii="Arial" w:hAnsi="Arial" w:cs="Arial"/>
                <w:sz w:val="20"/>
                <w:szCs w:val="20"/>
              </w:rPr>
              <w:t>10</w:t>
            </w:r>
          </w:p>
        </w:tc>
        <w:tc>
          <w:tcPr>
            <w:tcW w:w="2756" w:type="dxa"/>
            <w:shd w:val="clear" w:color="auto" w:fill="auto"/>
          </w:tcPr>
          <w:p w14:paraId="6AC2743A" w14:textId="77777777" w:rsidR="00A311D7" w:rsidRPr="00AA745A" w:rsidRDefault="00A311D7" w:rsidP="00614D97">
            <w:pPr>
              <w:keepNext/>
              <w:keepLines/>
              <w:rPr>
                <w:rFonts w:ascii="Arial" w:hAnsi="Arial" w:cs="Arial"/>
                <w:sz w:val="20"/>
                <w:szCs w:val="20"/>
              </w:rPr>
            </w:pPr>
            <w:r>
              <w:rPr>
                <w:rFonts w:ascii="Arial" w:hAnsi="Arial" w:cs="Arial"/>
                <w:sz w:val="20"/>
                <w:szCs w:val="20"/>
              </w:rPr>
              <w:t>THI Lag_CDD60</w:t>
            </w:r>
          </w:p>
        </w:tc>
        <w:tc>
          <w:tcPr>
            <w:tcW w:w="2740" w:type="dxa"/>
          </w:tcPr>
          <w:p w14:paraId="345E2A9F" w14:textId="77777777" w:rsidR="00A311D7" w:rsidRDefault="00A311D7" w:rsidP="00614D97">
            <w:pPr>
              <w:keepNext/>
              <w:keepLines/>
              <w:rPr>
                <w:rFonts w:ascii="Arial" w:hAnsi="Arial" w:cs="Arial"/>
                <w:sz w:val="20"/>
                <w:szCs w:val="20"/>
              </w:rPr>
            </w:pPr>
          </w:p>
        </w:tc>
      </w:tr>
      <w:tr w:rsidR="00A311D7" w14:paraId="33846070" w14:textId="1B95E7F6" w:rsidTr="00794FB6">
        <w:trPr>
          <w:jc w:val="center"/>
        </w:trPr>
        <w:tc>
          <w:tcPr>
            <w:tcW w:w="0" w:type="auto"/>
            <w:shd w:val="clear" w:color="auto" w:fill="auto"/>
          </w:tcPr>
          <w:p w14:paraId="1598D23F" w14:textId="77777777" w:rsidR="00A311D7" w:rsidRPr="00AA745A" w:rsidRDefault="00A311D7" w:rsidP="00614D97">
            <w:pPr>
              <w:keepNext/>
              <w:keepLines/>
              <w:jc w:val="center"/>
              <w:rPr>
                <w:rFonts w:ascii="Arial" w:hAnsi="Arial" w:cs="Arial"/>
                <w:sz w:val="20"/>
                <w:szCs w:val="20"/>
              </w:rPr>
            </w:pPr>
            <w:r w:rsidRPr="00AA745A">
              <w:rPr>
                <w:rFonts w:ascii="Arial" w:hAnsi="Arial" w:cs="Arial"/>
                <w:sz w:val="20"/>
                <w:szCs w:val="20"/>
              </w:rPr>
              <w:t>11</w:t>
            </w:r>
          </w:p>
        </w:tc>
        <w:tc>
          <w:tcPr>
            <w:tcW w:w="2756" w:type="dxa"/>
            <w:shd w:val="clear" w:color="auto" w:fill="auto"/>
          </w:tcPr>
          <w:p w14:paraId="22C67BB4" w14:textId="77777777" w:rsidR="00A311D7" w:rsidRPr="00AA745A" w:rsidRDefault="00A311D7" w:rsidP="00614D97">
            <w:pPr>
              <w:keepNext/>
              <w:keepLines/>
              <w:rPr>
                <w:rFonts w:ascii="Arial" w:hAnsi="Arial" w:cs="Arial"/>
                <w:sz w:val="20"/>
                <w:szCs w:val="20"/>
              </w:rPr>
            </w:pPr>
            <w:r>
              <w:rPr>
                <w:rFonts w:ascii="Arial" w:hAnsi="Arial" w:cs="Arial"/>
                <w:sz w:val="20"/>
                <w:szCs w:val="20"/>
              </w:rPr>
              <w:t>HI, Lag_CDD60</w:t>
            </w:r>
          </w:p>
        </w:tc>
        <w:tc>
          <w:tcPr>
            <w:tcW w:w="2740" w:type="dxa"/>
          </w:tcPr>
          <w:p w14:paraId="60F085CF" w14:textId="77777777" w:rsidR="00A311D7" w:rsidRDefault="00A311D7" w:rsidP="00614D97">
            <w:pPr>
              <w:keepNext/>
              <w:keepLines/>
              <w:rPr>
                <w:rFonts w:ascii="Arial" w:hAnsi="Arial" w:cs="Arial"/>
                <w:sz w:val="20"/>
                <w:szCs w:val="20"/>
              </w:rPr>
            </w:pPr>
          </w:p>
        </w:tc>
      </w:tr>
      <w:tr w:rsidR="00A311D7" w14:paraId="28B19375" w14:textId="064A2DF2" w:rsidTr="00794FB6">
        <w:trPr>
          <w:jc w:val="center"/>
        </w:trPr>
        <w:tc>
          <w:tcPr>
            <w:tcW w:w="0" w:type="auto"/>
            <w:shd w:val="clear" w:color="auto" w:fill="auto"/>
          </w:tcPr>
          <w:p w14:paraId="78747D6E" w14:textId="77777777" w:rsidR="00A311D7" w:rsidRPr="00AA745A" w:rsidRDefault="00A311D7" w:rsidP="00614D97">
            <w:pPr>
              <w:keepNext/>
              <w:keepLines/>
              <w:jc w:val="center"/>
              <w:rPr>
                <w:rFonts w:ascii="Arial" w:hAnsi="Arial" w:cs="Arial"/>
                <w:sz w:val="20"/>
                <w:szCs w:val="20"/>
              </w:rPr>
            </w:pPr>
            <w:r w:rsidRPr="00AA745A">
              <w:rPr>
                <w:rFonts w:ascii="Arial" w:hAnsi="Arial" w:cs="Arial"/>
                <w:sz w:val="20"/>
                <w:szCs w:val="20"/>
              </w:rPr>
              <w:t>12</w:t>
            </w:r>
          </w:p>
        </w:tc>
        <w:tc>
          <w:tcPr>
            <w:tcW w:w="2756" w:type="dxa"/>
            <w:shd w:val="clear" w:color="auto" w:fill="auto"/>
          </w:tcPr>
          <w:p w14:paraId="27FCCF83" w14:textId="77777777" w:rsidR="00A311D7" w:rsidRPr="00AA745A" w:rsidRDefault="00A311D7" w:rsidP="00614D97">
            <w:pPr>
              <w:keepNext/>
              <w:keepLines/>
              <w:rPr>
                <w:rFonts w:ascii="Arial" w:hAnsi="Arial" w:cs="Arial"/>
                <w:sz w:val="20"/>
                <w:szCs w:val="20"/>
              </w:rPr>
            </w:pPr>
            <w:r>
              <w:rPr>
                <w:rFonts w:ascii="Arial" w:hAnsi="Arial" w:cs="Arial"/>
                <w:sz w:val="20"/>
                <w:szCs w:val="20"/>
              </w:rPr>
              <w:t>CDH60, Lag_CDD60</w:t>
            </w:r>
          </w:p>
        </w:tc>
        <w:tc>
          <w:tcPr>
            <w:tcW w:w="2740" w:type="dxa"/>
          </w:tcPr>
          <w:p w14:paraId="66D144EC" w14:textId="77777777" w:rsidR="00A311D7" w:rsidRDefault="00A311D7" w:rsidP="00614D97">
            <w:pPr>
              <w:keepNext/>
              <w:keepLines/>
              <w:rPr>
                <w:rFonts w:ascii="Arial" w:hAnsi="Arial" w:cs="Arial"/>
                <w:sz w:val="20"/>
                <w:szCs w:val="20"/>
              </w:rPr>
            </w:pPr>
          </w:p>
        </w:tc>
      </w:tr>
      <w:tr w:rsidR="00A311D7" w14:paraId="3B44CAC1" w14:textId="054E11CA" w:rsidTr="00794FB6">
        <w:trPr>
          <w:jc w:val="center"/>
        </w:trPr>
        <w:tc>
          <w:tcPr>
            <w:tcW w:w="0" w:type="auto"/>
            <w:shd w:val="clear" w:color="auto" w:fill="auto"/>
          </w:tcPr>
          <w:p w14:paraId="3F72B231" w14:textId="77777777" w:rsidR="00A311D7" w:rsidRPr="00AA745A" w:rsidRDefault="00A311D7" w:rsidP="00614D97">
            <w:pPr>
              <w:keepNext/>
              <w:keepLines/>
              <w:jc w:val="center"/>
              <w:rPr>
                <w:rFonts w:ascii="Arial" w:hAnsi="Arial" w:cs="Arial"/>
                <w:sz w:val="20"/>
                <w:szCs w:val="20"/>
              </w:rPr>
            </w:pPr>
            <w:r w:rsidRPr="00AA745A">
              <w:rPr>
                <w:rFonts w:ascii="Arial" w:hAnsi="Arial" w:cs="Arial"/>
                <w:sz w:val="20"/>
                <w:szCs w:val="20"/>
              </w:rPr>
              <w:t>13</w:t>
            </w:r>
          </w:p>
        </w:tc>
        <w:tc>
          <w:tcPr>
            <w:tcW w:w="2756" w:type="dxa"/>
            <w:shd w:val="clear" w:color="auto" w:fill="auto"/>
          </w:tcPr>
          <w:p w14:paraId="2E2ACE9B" w14:textId="77777777" w:rsidR="00A311D7" w:rsidRPr="00AA745A" w:rsidRDefault="00A311D7" w:rsidP="00614D97">
            <w:pPr>
              <w:keepNext/>
              <w:keepLines/>
              <w:rPr>
                <w:rFonts w:ascii="Arial" w:hAnsi="Arial" w:cs="Arial"/>
                <w:sz w:val="20"/>
                <w:szCs w:val="20"/>
              </w:rPr>
            </w:pPr>
            <w:r>
              <w:rPr>
                <w:rFonts w:ascii="Arial" w:hAnsi="Arial" w:cs="Arial"/>
                <w:sz w:val="20"/>
                <w:szCs w:val="20"/>
              </w:rPr>
              <w:t>CDH65, Lag_CDD60</w:t>
            </w:r>
          </w:p>
        </w:tc>
        <w:tc>
          <w:tcPr>
            <w:tcW w:w="2740" w:type="dxa"/>
          </w:tcPr>
          <w:p w14:paraId="1F0D361F" w14:textId="77777777" w:rsidR="00A311D7" w:rsidRDefault="00A311D7" w:rsidP="00614D97">
            <w:pPr>
              <w:keepNext/>
              <w:keepLines/>
              <w:rPr>
                <w:rFonts w:ascii="Arial" w:hAnsi="Arial" w:cs="Arial"/>
                <w:sz w:val="20"/>
                <w:szCs w:val="20"/>
              </w:rPr>
            </w:pPr>
          </w:p>
        </w:tc>
      </w:tr>
      <w:tr w:rsidR="00A311D7" w14:paraId="34DE3962" w14:textId="58E1FE87" w:rsidTr="00794FB6">
        <w:trPr>
          <w:jc w:val="center"/>
        </w:trPr>
        <w:tc>
          <w:tcPr>
            <w:tcW w:w="0" w:type="auto"/>
            <w:shd w:val="clear" w:color="auto" w:fill="auto"/>
          </w:tcPr>
          <w:p w14:paraId="59231BAA" w14:textId="77777777" w:rsidR="00A311D7" w:rsidRPr="00AA745A" w:rsidRDefault="00A311D7" w:rsidP="00614D97">
            <w:pPr>
              <w:keepNext/>
              <w:keepLines/>
              <w:jc w:val="center"/>
              <w:rPr>
                <w:rFonts w:ascii="Arial" w:hAnsi="Arial" w:cs="Arial"/>
                <w:sz w:val="20"/>
                <w:szCs w:val="20"/>
              </w:rPr>
            </w:pPr>
            <w:r w:rsidRPr="00AA745A">
              <w:rPr>
                <w:rFonts w:ascii="Arial" w:hAnsi="Arial" w:cs="Arial"/>
                <w:sz w:val="20"/>
                <w:szCs w:val="20"/>
              </w:rPr>
              <w:t>14</w:t>
            </w:r>
          </w:p>
        </w:tc>
        <w:tc>
          <w:tcPr>
            <w:tcW w:w="2756" w:type="dxa"/>
            <w:shd w:val="clear" w:color="auto" w:fill="auto"/>
          </w:tcPr>
          <w:p w14:paraId="32E92286" w14:textId="77777777" w:rsidR="00A311D7" w:rsidRPr="00AA745A" w:rsidRDefault="00A311D7" w:rsidP="00614D97">
            <w:pPr>
              <w:keepNext/>
              <w:keepLines/>
              <w:rPr>
                <w:rFonts w:ascii="Arial" w:hAnsi="Arial" w:cs="Arial"/>
                <w:sz w:val="20"/>
                <w:szCs w:val="20"/>
              </w:rPr>
            </w:pPr>
            <w:r>
              <w:rPr>
                <w:rFonts w:ascii="Arial" w:hAnsi="Arial" w:cs="Arial"/>
                <w:sz w:val="20"/>
                <w:szCs w:val="20"/>
              </w:rPr>
              <w:t>CDH60_MA3, Lag_CDD60</w:t>
            </w:r>
          </w:p>
        </w:tc>
        <w:tc>
          <w:tcPr>
            <w:tcW w:w="2740" w:type="dxa"/>
          </w:tcPr>
          <w:p w14:paraId="70EE74E1" w14:textId="77777777" w:rsidR="00A311D7" w:rsidRDefault="00A311D7" w:rsidP="00614D97">
            <w:pPr>
              <w:keepNext/>
              <w:keepLines/>
              <w:rPr>
                <w:rFonts w:ascii="Arial" w:hAnsi="Arial" w:cs="Arial"/>
                <w:sz w:val="20"/>
                <w:szCs w:val="20"/>
              </w:rPr>
            </w:pPr>
          </w:p>
        </w:tc>
      </w:tr>
      <w:tr w:rsidR="00A311D7" w14:paraId="6E94453D" w14:textId="0706D4E7" w:rsidTr="00794FB6">
        <w:trPr>
          <w:jc w:val="center"/>
        </w:trPr>
        <w:tc>
          <w:tcPr>
            <w:tcW w:w="0" w:type="auto"/>
            <w:shd w:val="clear" w:color="auto" w:fill="auto"/>
          </w:tcPr>
          <w:p w14:paraId="4C4C421D" w14:textId="77777777" w:rsidR="00A311D7" w:rsidRPr="00AA745A" w:rsidRDefault="00A311D7" w:rsidP="00614D97">
            <w:pPr>
              <w:keepNext/>
              <w:keepLines/>
              <w:jc w:val="center"/>
              <w:rPr>
                <w:rFonts w:ascii="Arial" w:hAnsi="Arial" w:cs="Arial"/>
                <w:sz w:val="20"/>
                <w:szCs w:val="20"/>
              </w:rPr>
            </w:pPr>
            <w:r w:rsidRPr="00AA745A">
              <w:rPr>
                <w:rFonts w:ascii="Arial" w:hAnsi="Arial" w:cs="Arial"/>
                <w:sz w:val="20"/>
                <w:szCs w:val="20"/>
              </w:rPr>
              <w:t>15</w:t>
            </w:r>
          </w:p>
        </w:tc>
        <w:tc>
          <w:tcPr>
            <w:tcW w:w="2756" w:type="dxa"/>
            <w:shd w:val="clear" w:color="auto" w:fill="auto"/>
          </w:tcPr>
          <w:p w14:paraId="24912063" w14:textId="77777777" w:rsidR="00A311D7" w:rsidRPr="00AA745A" w:rsidRDefault="00A311D7" w:rsidP="00614D97">
            <w:pPr>
              <w:keepNext/>
              <w:keepLines/>
              <w:rPr>
                <w:rFonts w:ascii="Arial" w:hAnsi="Arial" w:cs="Arial"/>
                <w:sz w:val="20"/>
                <w:szCs w:val="20"/>
              </w:rPr>
            </w:pPr>
            <w:r>
              <w:rPr>
                <w:rFonts w:ascii="Arial" w:hAnsi="Arial" w:cs="Arial"/>
                <w:sz w:val="20"/>
                <w:szCs w:val="20"/>
              </w:rPr>
              <w:t>CDH65_MA3, Lag_CDD60</w:t>
            </w:r>
          </w:p>
        </w:tc>
        <w:tc>
          <w:tcPr>
            <w:tcW w:w="2740" w:type="dxa"/>
          </w:tcPr>
          <w:p w14:paraId="2C224A75" w14:textId="77777777" w:rsidR="00A311D7" w:rsidRDefault="00A311D7" w:rsidP="00614D97">
            <w:pPr>
              <w:keepNext/>
              <w:keepLines/>
              <w:rPr>
                <w:rFonts w:ascii="Arial" w:hAnsi="Arial" w:cs="Arial"/>
                <w:sz w:val="20"/>
                <w:szCs w:val="20"/>
              </w:rPr>
            </w:pPr>
          </w:p>
        </w:tc>
      </w:tr>
      <w:tr w:rsidR="00A311D7" w14:paraId="7B306DE7" w14:textId="3A8F283F" w:rsidTr="00794FB6">
        <w:trPr>
          <w:jc w:val="center"/>
        </w:trPr>
        <w:tc>
          <w:tcPr>
            <w:tcW w:w="0" w:type="auto"/>
            <w:shd w:val="clear" w:color="auto" w:fill="auto"/>
          </w:tcPr>
          <w:p w14:paraId="493115BE" w14:textId="77777777" w:rsidR="00A311D7" w:rsidRPr="00AA745A" w:rsidRDefault="00A311D7" w:rsidP="00614D97">
            <w:pPr>
              <w:keepNext/>
              <w:keepLines/>
              <w:jc w:val="center"/>
              <w:rPr>
                <w:rFonts w:ascii="Arial" w:hAnsi="Arial" w:cs="Arial"/>
                <w:sz w:val="20"/>
                <w:szCs w:val="20"/>
              </w:rPr>
            </w:pPr>
            <w:r w:rsidRPr="00AA745A">
              <w:rPr>
                <w:rFonts w:ascii="Arial" w:hAnsi="Arial" w:cs="Arial"/>
                <w:sz w:val="20"/>
                <w:szCs w:val="20"/>
              </w:rPr>
              <w:t>16</w:t>
            </w:r>
          </w:p>
        </w:tc>
        <w:tc>
          <w:tcPr>
            <w:tcW w:w="2756" w:type="dxa"/>
            <w:shd w:val="clear" w:color="auto" w:fill="auto"/>
          </w:tcPr>
          <w:p w14:paraId="7B1BF91B" w14:textId="77777777" w:rsidR="00A311D7" w:rsidRPr="00AA745A" w:rsidRDefault="00A311D7" w:rsidP="00614D97">
            <w:pPr>
              <w:keepNext/>
              <w:keepLines/>
              <w:rPr>
                <w:rFonts w:ascii="Arial" w:hAnsi="Arial" w:cs="Arial"/>
                <w:sz w:val="20"/>
                <w:szCs w:val="20"/>
              </w:rPr>
            </w:pPr>
            <w:r>
              <w:rPr>
                <w:rFonts w:ascii="Arial" w:hAnsi="Arial" w:cs="Arial"/>
                <w:sz w:val="20"/>
                <w:szCs w:val="20"/>
              </w:rPr>
              <w:t>CDH60, Mean17</w:t>
            </w:r>
          </w:p>
        </w:tc>
        <w:tc>
          <w:tcPr>
            <w:tcW w:w="2740" w:type="dxa"/>
          </w:tcPr>
          <w:p w14:paraId="2107C624" w14:textId="77777777" w:rsidR="00A311D7" w:rsidRDefault="00A311D7" w:rsidP="00614D97">
            <w:pPr>
              <w:keepNext/>
              <w:keepLines/>
              <w:rPr>
                <w:rFonts w:ascii="Arial" w:hAnsi="Arial" w:cs="Arial"/>
                <w:sz w:val="20"/>
                <w:szCs w:val="20"/>
              </w:rPr>
            </w:pPr>
          </w:p>
        </w:tc>
      </w:tr>
      <w:tr w:rsidR="00A311D7" w14:paraId="536214D3" w14:textId="424910F8" w:rsidTr="00794FB6">
        <w:trPr>
          <w:jc w:val="center"/>
        </w:trPr>
        <w:tc>
          <w:tcPr>
            <w:tcW w:w="0" w:type="auto"/>
            <w:shd w:val="clear" w:color="auto" w:fill="auto"/>
          </w:tcPr>
          <w:p w14:paraId="0BF522BE" w14:textId="77777777" w:rsidR="00A311D7" w:rsidRPr="00AA745A" w:rsidRDefault="00A311D7" w:rsidP="00614D97">
            <w:pPr>
              <w:keepNext/>
              <w:keepLines/>
              <w:jc w:val="center"/>
              <w:rPr>
                <w:rFonts w:ascii="Arial" w:hAnsi="Arial" w:cs="Arial"/>
                <w:sz w:val="20"/>
                <w:szCs w:val="20"/>
              </w:rPr>
            </w:pPr>
            <w:r w:rsidRPr="00AA745A">
              <w:rPr>
                <w:rFonts w:ascii="Arial" w:hAnsi="Arial" w:cs="Arial"/>
                <w:sz w:val="20"/>
                <w:szCs w:val="20"/>
              </w:rPr>
              <w:t>17</w:t>
            </w:r>
          </w:p>
        </w:tc>
        <w:tc>
          <w:tcPr>
            <w:tcW w:w="2756" w:type="dxa"/>
            <w:shd w:val="clear" w:color="auto" w:fill="auto"/>
          </w:tcPr>
          <w:p w14:paraId="5642952F" w14:textId="77777777" w:rsidR="00A311D7" w:rsidRPr="00AA745A" w:rsidRDefault="00A311D7" w:rsidP="00614D97">
            <w:pPr>
              <w:keepNext/>
              <w:keepLines/>
              <w:rPr>
                <w:rFonts w:ascii="Arial" w:hAnsi="Arial" w:cs="Arial"/>
                <w:sz w:val="20"/>
                <w:szCs w:val="20"/>
              </w:rPr>
            </w:pPr>
            <w:r>
              <w:rPr>
                <w:rFonts w:ascii="Arial" w:hAnsi="Arial" w:cs="Arial"/>
                <w:sz w:val="20"/>
                <w:szCs w:val="20"/>
              </w:rPr>
              <w:t>CDH65, Mean17</w:t>
            </w:r>
          </w:p>
        </w:tc>
        <w:tc>
          <w:tcPr>
            <w:tcW w:w="2740" w:type="dxa"/>
          </w:tcPr>
          <w:p w14:paraId="081CD549" w14:textId="77777777" w:rsidR="00A311D7" w:rsidRDefault="00A311D7" w:rsidP="00614D97">
            <w:pPr>
              <w:keepNext/>
              <w:keepLines/>
              <w:rPr>
                <w:rFonts w:ascii="Arial" w:hAnsi="Arial" w:cs="Arial"/>
                <w:sz w:val="20"/>
                <w:szCs w:val="20"/>
              </w:rPr>
            </w:pPr>
          </w:p>
        </w:tc>
      </w:tr>
    </w:tbl>
    <w:p w14:paraId="74C5B9F1" w14:textId="77777777" w:rsidR="00614D97" w:rsidRDefault="00614D97" w:rsidP="00614D97"/>
    <w:p w14:paraId="607B43D7" w14:textId="593ADF41" w:rsidR="00614D97" w:rsidRPr="00424229" w:rsidRDefault="00614D97" w:rsidP="00614D97">
      <w:r>
        <w:t xml:space="preserve">The model specifications tested for non-weather sensitive customers do not include any weather variables, but have different combinations of non-weather-related variables. The variables include combinations of indicator variables and interactions of month, </w:t>
      </w:r>
      <w:r>
        <w:lastRenderedPageBreak/>
        <w:t>hour, Monday, Friday, and morning load. A list of the five combinations of these variables is shown in Table A.</w:t>
      </w:r>
      <w:r w:rsidR="001A1817">
        <w:t>5</w:t>
      </w:r>
      <w:r>
        <w:t xml:space="preserve">, where an “X” between two variables represents the interaction of these two variables. Each specification includes the following variables in common: hour indicators, day type indicators, and events interacted with hour indicators. </w:t>
      </w:r>
      <w:r w:rsidR="00794FB6">
        <w:t xml:space="preserve">For the </w:t>
      </w:r>
      <w:r w:rsidR="00794FB6" w:rsidRPr="00794FB6">
        <w:rPr>
          <w:i/>
        </w:rPr>
        <w:t>ex-ante</w:t>
      </w:r>
      <w:r w:rsidR="00794FB6">
        <w:t xml:space="preserve"> analysis, we exclude the specifications with the morning load variable</w:t>
      </w:r>
      <w:r w:rsidR="00424229">
        <w:t>.</w:t>
      </w:r>
    </w:p>
    <w:p w14:paraId="73E68185" w14:textId="77777777" w:rsidR="00614D97" w:rsidRDefault="00614D97" w:rsidP="00614D97"/>
    <w:p w14:paraId="6D03B32A" w14:textId="3D4A07BC" w:rsidR="00614D97" w:rsidRDefault="00614D97" w:rsidP="00266543">
      <w:pPr>
        <w:pStyle w:val="TableCaption"/>
        <w:keepNext/>
      </w:pPr>
      <w:bookmarkStart w:id="273" w:name="_Toc508800251"/>
      <w:r>
        <w:t>Table A.</w:t>
      </w:r>
      <w:r w:rsidR="001A1817">
        <w:t>5</w:t>
      </w:r>
      <w:r w:rsidR="00B24886">
        <w:t>:</w:t>
      </w:r>
      <w:r>
        <w:t xml:space="preserve"> </w:t>
      </w:r>
      <w:r w:rsidRPr="0088530C">
        <w:t>Variables Included in the Tested Specifications</w:t>
      </w:r>
      <w:r>
        <w:t xml:space="preserve"> </w:t>
      </w:r>
      <w:r>
        <w:br/>
        <w:t>for Non-Weather Sensitive Customers</w:t>
      </w:r>
      <w:bookmarkEnd w:id="27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9"/>
        <w:gridCol w:w="6186"/>
      </w:tblGrid>
      <w:tr w:rsidR="00614D97" w14:paraId="158CFEF4" w14:textId="77777777" w:rsidTr="006B55F6">
        <w:trPr>
          <w:trHeight w:val="404"/>
          <w:jc w:val="center"/>
        </w:trPr>
        <w:tc>
          <w:tcPr>
            <w:tcW w:w="0" w:type="auto"/>
            <w:tcBorders>
              <w:right w:val="single" w:sz="4" w:space="0" w:color="FFFFFF"/>
            </w:tcBorders>
            <w:shd w:val="clear" w:color="auto" w:fill="0C2577"/>
            <w:vAlign w:val="center"/>
          </w:tcPr>
          <w:p w14:paraId="41FD492B" w14:textId="77777777" w:rsidR="00614D97" w:rsidRPr="00266543" w:rsidRDefault="00614D97" w:rsidP="00266543">
            <w:pPr>
              <w:keepNext/>
              <w:jc w:val="center"/>
              <w:rPr>
                <w:rFonts w:cs="Calibri"/>
                <w:b/>
                <w:bCs/>
                <w:color w:val="FFFFFF"/>
                <w:sz w:val="22"/>
                <w:szCs w:val="22"/>
              </w:rPr>
            </w:pPr>
            <w:r w:rsidRPr="00266543">
              <w:rPr>
                <w:rFonts w:cs="Calibri"/>
                <w:b/>
                <w:bCs/>
                <w:color w:val="FFFFFF"/>
                <w:sz w:val="22"/>
                <w:szCs w:val="22"/>
              </w:rPr>
              <w:t>Model Number</w:t>
            </w:r>
          </w:p>
        </w:tc>
        <w:tc>
          <w:tcPr>
            <w:tcW w:w="0" w:type="auto"/>
            <w:tcBorders>
              <w:left w:val="single" w:sz="4" w:space="0" w:color="FFFFFF"/>
            </w:tcBorders>
            <w:shd w:val="clear" w:color="auto" w:fill="0C2577"/>
            <w:vAlign w:val="center"/>
          </w:tcPr>
          <w:p w14:paraId="2CECDAA7" w14:textId="77777777" w:rsidR="00614D97" w:rsidRPr="00266543" w:rsidRDefault="00614D97" w:rsidP="00266543">
            <w:pPr>
              <w:keepNext/>
              <w:jc w:val="center"/>
              <w:rPr>
                <w:rFonts w:cs="Calibri"/>
                <w:b/>
                <w:bCs/>
                <w:color w:val="FFFFFF"/>
                <w:sz w:val="22"/>
                <w:szCs w:val="22"/>
              </w:rPr>
            </w:pPr>
            <w:r w:rsidRPr="00266543">
              <w:rPr>
                <w:rFonts w:cs="Calibri"/>
                <w:b/>
                <w:bCs/>
                <w:color w:val="FFFFFF"/>
                <w:sz w:val="22"/>
                <w:szCs w:val="22"/>
              </w:rPr>
              <w:t>Included Non-Weather-Related Variables</w:t>
            </w:r>
          </w:p>
        </w:tc>
      </w:tr>
      <w:tr w:rsidR="00614D97" w14:paraId="74BC6337" w14:textId="77777777" w:rsidTr="00614D97">
        <w:trPr>
          <w:jc w:val="center"/>
        </w:trPr>
        <w:tc>
          <w:tcPr>
            <w:tcW w:w="0" w:type="auto"/>
            <w:shd w:val="clear" w:color="auto" w:fill="auto"/>
          </w:tcPr>
          <w:p w14:paraId="5D1D98A7" w14:textId="77777777" w:rsidR="00614D97" w:rsidRPr="00AA745A" w:rsidRDefault="00614D97" w:rsidP="00266543">
            <w:pPr>
              <w:keepNext/>
              <w:keepLines/>
              <w:jc w:val="center"/>
              <w:rPr>
                <w:rFonts w:ascii="Arial" w:hAnsi="Arial" w:cs="Arial"/>
                <w:sz w:val="20"/>
                <w:szCs w:val="20"/>
              </w:rPr>
            </w:pPr>
            <w:r w:rsidRPr="00AA745A">
              <w:rPr>
                <w:rFonts w:ascii="Arial" w:hAnsi="Arial" w:cs="Arial"/>
                <w:sz w:val="20"/>
                <w:szCs w:val="20"/>
              </w:rPr>
              <w:t>1</w:t>
            </w:r>
          </w:p>
        </w:tc>
        <w:tc>
          <w:tcPr>
            <w:tcW w:w="0" w:type="auto"/>
            <w:shd w:val="clear" w:color="auto" w:fill="auto"/>
          </w:tcPr>
          <w:p w14:paraId="5376197B" w14:textId="77777777" w:rsidR="00614D97" w:rsidRPr="00AA745A" w:rsidRDefault="00614D97" w:rsidP="00266543">
            <w:pPr>
              <w:keepNext/>
              <w:keepLines/>
              <w:rPr>
                <w:rFonts w:ascii="Arial" w:hAnsi="Arial" w:cs="Arial"/>
                <w:sz w:val="20"/>
                <w:szCs w:val="20"/>
              </w:rPr>
            </w:pPr>
            <w:r>
              <w:rPr>
                <w:rFonts w:ascii="Arial" w:hAnsi="Arial" w:cs="Arial"/>
                <w:sz w:val="20"/>
                <w:szCs w:val="20"/>
              </w:rPr>
              <w:t>Month, Monday X Hour, Friday X Hour, Morningload X Hour</w:t>
            </w:r>
          </w:p>
        </w:tc>
      </w:tr>
      <w:tr w:rsidR="00614D97" w14:paraId="1F0B4E72" w14:textId="77777777" w:rsidTr="00614D97">
        <w:trPr>
          <w:jc w:val="center"/>
        </w:trPr>
        <w:tc>
          <w:tcPr>
            <w:tcW w:w="0" w:type="auto"/>
            <w:shd w:val="clear" w:color="auto" w:fill="auto"/>
          </w:tcPr>
          <w:p w14:paraId="7A372585" w14:textId="77777777" w:rsidR="00614D97" w:rsidRPr="00AA745A" w:rsidRDefault="00614D97" w:rsidP="00266543">
            <w:pPr>
              <w:keepNext/>
              <w:keepLines/>
              <w:jc w:val="center"/>
              <w:rPr>
                <w:rFonts w:ascii="Arial" w:hAnsi="Arial" w:cs="Arial"/>
                <w:sz w:val="20"/>
                <w:szCs w:val="20"/>
              </w:rPr>
            </w:pPr>
            <w:r w:rsidRPr="00AA745A">
              <w:rPr>
                <w:rFonts w:ascii="Arial" w:hAnsi="Arial" w:cs="Arial"/>
                <w:sz w:val="20"/>
                <w:szCs w:val="20"/>
              </w:rPr>
              <w:t>2</w:t>
            </w:r>
          </w:p>
        </w:tc>
        <w:tc>
          <w:tcPr>
            <w:tcW w:w="0" w:type="auto"/>
            <w:shd w:val="clear" w:color="auto" w:fill="auto"/>
          </w:tcPr>
          <w:p w14:paraId="30A758ED" w14:textId="77777777" w:rsidR="00614D97" w:rsidRPr="00AA745A" w:rsidRDefault="00614D97" w:rsidP="00266543">
            <w:pPr>
              <w:keepNext/>
              <w:keepLines/>
              <w:rPr>
                <w:rFonts w:ascii="Arial" w:hAnsi="Arial" w:cs="Arial"/>
                <w:sz w:val="20"/>
                <w:szCs w:val="20"/>
              </w:rPr>
            </w:pPr>
            <w:r>
              <w:rPr>
                <w:rFonts w:ascii="Arial" w:hAnsi="Arial" w:cs="Arial"/>
                <w:sz w:val="20"/>
                <w:szCs w:val="20"/>
              </w:rPr>
              <w:t>Month X Hour</w:t>
            </w:r>
          </w:p>
        </w:tc>
      </w:tr>
      <w:tr w:rsidR="00614D97" w14:paraId="178A1504" w14:textId="77777777" w:rsidTr="00614D97">
        <w:trPr>
          <w:jc w:val="center"/>
        </w:trPr>
        <w:tc>
          <w:tcPr>
            <w:tcW w:w="0" w:type="auto"/>
            <w:shd w:val="clear" w:color="auto" w:fill="auto"/>
          </w:tcPr>
          <w:p w14:paraId="0FCD36CC" w14:textId="77777777" w:rsidR="00614D97" w:rsidRPr="00AA745A" w:rsidRDefault="00614D97" w:rsidP="00266543">
            <w:pPr>
              <w:keepNext/>
              <w:keepLines/>
              <w:jc w:val="center"/>
              <w:rPr>
                <w:rFonts w:ascii="Arial" w:hAnsi="Arial" w:cs="Arial"/>
                <w:sz w:val="20"/>
                <w:szCs w:val="20"/>
              </w:rPr>
            </w:pPr>
            <w:r w:rsidRPr="00AA745A">
              <w:rPr>
                <w:rFonts w:ascii="Arial" w:hAnsi="Arial" w:cs="Arial"/>
                <w:sz w:val="20"/>
                <w:szCs w:val="20"/>
              </w:rPr>
              <w:t>3</w:t>
            </w:r>
          </w:p>
        </w:tc>
        <w:tc>
          <w:tcPr>
            <w:tcW w:w="0" w:type="auto"/>
            <w:shd w:val="clear" w:color="auto" w:fill="auto"/>
          </w:tcPr>
          <w:p w14:paraId="4EBBD93F" w14:textId="77777777" w:rsidR="00614D97" w:rsidRPr="00AA745A" w:rsidRDefault="00614D97" w:rsidP="00266543">
            <w:pPr>
              <w:keepNext/>
              <w:keepLines/>
              <w:rPr>
                <w:rFonts w:ascii="Arial" w:hAnsi="Arial" w:cs="Arial"/>
                <w:sz w:val="20"/>
                <w:szCs w:val="20"/>
              </w:rPr>
            </w:pPr>
            <w:r>
              <w:rPr>
                <w:rFonts w:ascii="Arial" w:hAnsi="Arial" w:cs="Arial"/>
                <w:sz w:val="20"/>
                <w:szCs w:val="20"/>
              </w:rPr>
              <w:t>Month X Hour, Morningload X Hour</w:t>
            </w:r>
          </w:p>
        </w:tc>
      </w:tr>
      <w:tr w:rsidR="00614D97" w14:paraId="3B565D3D" w14:textId="77777777" w:rsidTr="00614D97">
        <w:trPr>
          <w:jc w:val="center"/>
        </w:trPr>
        <w:tc>
          <w:tcPr>
            <w:tcW w:w="0" w:type="auto"/>
            <w:shd w:val="clear" w:color="auto" w:fill="auto"/>
          </w:tcPr>
          <w:p w14:paraId="2754E6BD" w14:textId="77777777" w:rsidR="00614D97" w:rsidRPr="00AA745A" w:rsidRDefault="00614D97" w:rsidP="00266543">
            <w:pPr>
              <w:keepNext/>
              <w:keepLines/>
              <w:jc w:val="center"/>
              <w:rPr>
                <w:rFonts w:ascii="Arial" w:hAnsi="Arial" w:cs="Arial"/>
                <w:sz w:val="20"/>
                <w:szCs w:val="20"/>
              </w:rPr>
            </w:pPr>
            <w:r w:rsidRPr="00AA745A">
              <w:rPr>
                <w:rFonts w:ascii="Arial" w:hAnsi="Arial" w:cs="Arial"/>
                <w:sz w:val="20"/>
                <w:szCs w:val="20"/>
              </w:rPr>
              <w:t>4</w:t>
            </w:r>
          </w:p>
        </w:tc>
        <w:tc>
          <w:tcPr>
            <w:tcW w:w="0" w:type="auto"/>
            <w:shd w:val="clear" w:color="auto" w:fill="auto"/>
          </w:tcPr>
          <w:p w14:paraId="7F24A18B" w14:textId="77777777" w:rsidR="00614D97" w:rsidRPr="00AA745A" w:rsidRDefault="00614D97" w:rsidP="00266543">
            <w:pPr>
              <w:keepNext/>
              <w:keepLines/>
              <w:rPr>
                <w:rFonts w:ascii="Arial" w:hAnsi="Arial" w:cs="Arial"/>
                <w:sz w:val="20"/>
                <w:szCs w:val="20"/>
              </w:rPr>
            </w:pPr>
            <w:r>
              <w:rPr>
                <w:rFonts w:ascii="Arial" w:hAnsi="Arial" w:cs="Arial"/>
                <w:sz w:val="20"/>
                <w:szCs w:val="20"/>
              </w:rPr>
              <w:t>Month X Hour, Monday X Hour, Friday X Hour</w:t>
            </w:r>
          </w:p>
        </w:tc>
      </w:tr>
      <w:tr w:rsidR="00614D97" w14:paraId="13685537" w14:textId="77777777" w:rsidTr="00614D97">
        <w:trPr>
          <w:jc w:val="center"/>
        </w:trPr>
        <w:tc>
          <w:tcPr>
            <w:tcW w:w="0" w:type="auto"/>
            <w:shd w:val="clear" w:color="auto" w:fill="auto"/>
          </w:tcPr>
          <w:p w14:paraId="7B43BDDB" w14:textId="77777777" w:rsidR="00614D97" w:rsidRPr="00AA745A" w:rsidRDefault="00614D97" w:rsidP="00266543">
            <w:pPr>
              <w:keepNext/>
              <w:keepLines/>
              <w:jc w:val="center"/>
              <w:rPr>
                <w:rFonts w:ascii="Arial" w:hAnsi="Arial" w:cs="Arial"/>
                <w:sz w:val="20"/>
                <w:szCs w:val="20"/>
              </w:rPr>
            </w:pPr>
            <w:r w:rsidRPr="00AA745A">
              <w:rPr>
                <w:rFonts w:ascii="Arial" w:hAnsi="Arial" w:cs="Arial"/>
                <w:sz w:val="20"/>
                <w:szCs w:val="20"/>
              </w:rPr>
              <w:t>5</w:t>
            </w:r>
          </w:p>
        </w:tc>
        <w:tc>
          <w:tcPr>
            <w:tcW w:w="0" w:type="auto"/>
            <w:shd w:val="clear" w:color="auto" w:fill="auto"/>
          </w:tcPr>
          <w:p w14:paraId="70D76C72" w14:textId="77777777" w:rsidR="00614D97" w:rsidRPr="00AA745A" w:rsidRDefault="00614D97" w:rsidP="00266543">
            <w:pPr>
              <w:keepNext/>
              <w:keepLines/>
              <w:rPr>
                <w:rFonts w:ascii="Arial" w:hAnsi="Arial" w:cs="Arial"/>
                <w:sz w:val="20"/>
                <w:szCs w:val="20"/>
              </w:rPr>
            </w:pPr>
            <w:r>
              <w:rPr>
                <w:rFonts w:ascii="Arial" w:hAnsi="Arial" w:cs="Arial"/>
                <w:sz w:val="20"/>
                <w:szCs w:val="20"/>
              </w:rPr>
              <w:t>Month X Hour, Monday X Hour, Friday X Hour, Morningload X Hour</w:t>
            </w:r>
          </w:p>
        </w:tc>
      </w:tr>
    </w:tbl>
    <w:p w14:paraId="2499E5F1" w14:textId="77777777" w:rsidR="00614D97" w:rsidRDefault="00614D97" w:rsidP="00614D97"/>
    <w:p w14:paraId="3F17028D" w14:textId="77777777" w:rsidR="00614D97" w:rsidRDefault="00614D97" w:rsidP="00614D97">
      <w:r w:rsidRPr="00CE0406">
        <w:t xml:space="preserve">The model variations </w:t>
      </w:r>
      <w:r>
        <w:t xml:space="preserve">are </w:t>
      </w:r>
      <w:r w:rsidRPr="00CE0406">
        <w:t xml:space="preserve">evaluated according to </w:t>
      </w:r>
      <w:r>
        <w:t>two primary validation tests:</w:t>
      </w:r>
    </w:p>
    <w:p w14:paraId="70C9B74F" w14:textId="77777777" w:rsidR="00614D97" w:rsidRDefault="00614D97" w:rsidP="00614D97">
      <w:pPr>
        <w:numPr>
          <w:ilvl w:val="0"/>
          <w:numId w:val="8"/>
        </w:numPr>
      </w:pPr>
      <w:r>
        <w:t>A</w:t>
      </w:r>
      <w:r w:rsidRPr="00CE0406">
        <w:t xml:space="preserve">bility to predict usage on event-like </w:t>
      </w:r>
      <w:r w:rsidRPr="005E736C">
        <w:rPr>
          <w:i/>
        </w:rPr>
        <w:t>non-event days</w:t>
      </w:r>
      <w:r w:rsidRPr="00CE0406">
        <w:t xml:space="preserve">. Specifically, we </w:t>
      </w:r>
      <w:r>
        <w:t>identified</w:t>
      </w:r>
      <w:r w:rsidRPr="00CE0406">
        <w:t xml:space="preserve"> </w:t>
      </w:r>
      <w:r>
        <w:t xml:space="preserve">a set of </w:t>
      </w:r>
      <w:r w:rsidRPr="00CE0406">
        <w:t xml:space="preserve">days that </w:t>
      </w:r>
      <w:r>
        <w:t>we</w:t>
      </w:r>
      <w:r w:rsidRPr="00CE0406">
        <w:t>re similar to event days, but were not called as event days (</w:t>
      </w:r>
      <w:r w:rsidRPr="00BB6355">
        <w:rPr>
          <w:i/>
        </w:rPr>
        <w:t>i.e.</w:t>
      </w:r>
      <w:r w:rsidRPr="00CE0406">
        <w:t xml:space="preserve">, “test days”). The use of non-event test days allows us to test model performance against known “reference loads,” or customer usage in the absence of an event. We estimate the model excluding </w:t>
      </w:r>
      <w:r>
        <w:t xml:space="preserve">one of </w:t>
      </w:r>
      <w:r w:rsidRPr="00CE0406">
        <w:t>the test days and use the estimates to make out-of-sample predictions of customer loads on th</w:t>
      </w:r>
      <w:r>
        <w:t xml:space="preserve">at </w:t>
      </w:r>
      <w:r w:rsidRPr="00CE0406">
        <w:t>day.</w:t>
      </w:r>
      <w:r>
        <w:t xml:space="preserve"> The process is repeated for all of the test days.</w:t>
      </w:r>
      <w:r w:rsidRPr="00CE0406">
        <w:t xml:space="preserve"> The model fit (</w:t>
      </w:r>
      <w:r w:rsidRPr="00BB6355">
        <w:rPr>
          <w:i/>
        </w:rPr>
        <w:t>i.e.</w:t>
      </w:r>
      <w:r w:rsidRPr="00CE0406">
        <w:t xml:space="preserve">, the difference between the actual and predicted loads on the test days, during afternoon hours in which events are typically called) </w:t>
      </w:r>
      <w:r>
        <w:t xml:space="preserve">is evaluated </w:t>
      </w:r>
      <w:r w:rsidRPr="00CE0406">
        <w:t xml:space="preserve">using mean absolute percentage error (MAPE) as </w:t>
      </w:r>
      <w:r>
        <w:t xml:space="preserve">a measure of </w:t>
      </w:r>
      <w:r w:rsidRPr="00CE0406">
        <w:t>accuracy</w:t>
      </w:r>
      <w:r>
        <w:t>,</w:t>
      </w:r>
      <w:r w:rsidRPr="00CE0406">
        <w:t xml:space="preserve"> and mean percentage error (MPE) as a measure of bias. </w:t>
      </w:r>
    </w:p>
    <w:p w14:paraId="058A349C" w14:textId="77777777" w:rsidR="00614D97" w:rsidRDefault="00614D97" w:rsidP="00614D97">
      <w:pPr>
        <w:numPr>
          <w:ilvl w:val="0"/>
          <w:numId w:val="8"/>
        </w:numPr>
      </w:pPr>
      <w:r>
        <w:t xml:space="preserve">Performance on </w:t>
      </w:r>
      <w:r w:rsidRPr="005E736C">
        <w:rPr>
          <w:i/>
        </w:rPr>
        <w:t>synthetic</w:t>
      </w:r>
      <w:r>
        <w:t xml:space="preserve"> event days (</w:t>
      </w:r>
      <w:r w:rsidRPr="00BB6355">
        <w:rPr>
          <w:i/>
        </w:rPr>
        <w:t>e.g.</w:t>
      </w:r>
      <w:r>
        <w:t>, event-like non-event days that are treated as event days in estimation), to test for “event” coefficients that demonstrate statistically significant bias, as opposed to expected non-significance, since customers have no reason to modify usage on days that are not actual events. This is an extension of the previous test. The same test days are used, with a set of hourly “synthetic” event variables included in addition to the rest of the specification to test whether non-zero load impacts are estimated for these days. A successful test involves synthetic event load impact coefficients that are not statistically significantly different from zero.</w:t>
      </w:r>
    </w:p>
    <w:p w14:paraId="2210EF29" w14:textId="77777777" w:rsidR="00614D97" w:rsidRDefault="00614D97" w:rsidP="00614D97">
      <w:pPr>
        <w:pStyle w:val="Heading3"/>
      </w:pPr>
      <w:bookmarkStart w:id="274" w:name="_Toc504832910"/>
      <w:bookmarkStart w:id="275" w:name="_Toc510091150"/>
      <w:r>
        <w:t>A.2.1 Selection of Event-Like Non-Event Days</w:t>
      </w:r>
      <w:bookmarkEnd w:id="274"/>
      <w:bookmarkEnd w:id="275"/>
    </w:p>
    <w:p w14:paraId="7EB3AAFE" w14:textId="77777777" w:rsidR="00614D97" w:rsidRDefault="00614D97" w:rsidP="00614D97">
      <w:r>
        <w:t xml:space="preserve">In order to select event-like non-event days, we created an average weather profile using the load-weighted average temperature across customers, each of which is associated with a weather station. </w:t>
      </w:r>
    </w:p>
    <w:p w14:paraId="4DB3CDD4" w14:textId="77777777" w:rsidR="00614D97" w:rsidRDefault="00614D97" w:rsidP="00614D97"/>
    <w:p w14:paraId="05EC2C17" w14:textId="3EA2CC88" w:rsidR="00614D97" w:rsidRDefault="00614D97" w:rsidP="00614D97">
      <w:r>
        <w:lastRenderedPageBreak/>
        <w:t>We selected days according to the average typical event-hour</w:t>
      </w:r>
      <w:r w:rsidR="001A1817">
        <w:t>s</w:t>
      </w:r>
      <w:r w:rsidRPr="00174739">
        <w:t>,</w:t>
      </w:r>
      <w:r>
        <w:t xml:space="preserve"> omitting holidays, weekends, and event days for programs in which DBP customers are dually enrolled (</w:t>
      </w:r>
      <w:r w:rsidRPr="00BB6355">
        <w:rPr>
          <w:i/>
        </w:rPr>
        <w:t>e.g.</w:t>
      </w:r>
      <w:r>
        <w:t xml:space="preserve">, BIP). For the most part, the selection involved selecting the hottest </w:t>
      </w:r>
      <w:r w:rsidR="001A1817">
        <w:t>qualifying days. Table A.6</w:t>
      </w:r>
      <w:r>
        <w:t xml:space="preserve"> lists the event-like non-event days selected. </w:t>
      </w:r>
    </w:p>
    <w:p w14:paraId="50641B50" w14:textId="77777777" w:rsidR="00614D97" w:rsidRDefault="00614D97" w:rsidP="00614D97"/>
    <w:p w14:paraId="1C63CC7F" w14:textId="02C586BD" w:rsidR="00053455" w:rsidRDefault="00614D97" w:rsidP="00466216">
      <w:pPr>
        <w:pStyle w:val="TableCaption"/>
        <w:keepNext/>
        <w:keepLines/>
      </w:pPr>
      <w:bookmarkStart w:id="276" w:name="_Toc504832931"/>
      <w:bookmarkStart w:id="277" w:name="_Toc508800252"/>
      <w:r w:rsidRPr="0088530C">
        <w:t xml:space="preserve">Table </w:t>
      </w:r>
      <w:r>
        <w:t>A</w:t>
      </w:r>
      <w:r w:rsidRPr="0088530C">
        <w:t>.</w:t>
      </w:r>
      <w:r w:rsidR="001A1817">
        <w:t>6</w:t>
      </w:r>
      <w:r w:rsidRPr="0088530C">
        <w:t xml:space="preserve">: List of Event-Like Non-Event Days by </w:t>
      </w:r>
      <w:r>
        <w:t>IOU</w:t>
      </w:r>
      <w:bookmarkStart w:id="278" w:name="_Toc504832911"/>
      <w:bookmarkEnd w:id="276"/>
      <w:bookmarkEnd w:id="277"/>
    </w:p>
    <w:tbl>
      <w:tblPr>
        <w:tblW w:w="3318" w:type="dxa"/>
        <w:jc w:val="center"/>
        <w:tblLook w:val="04A0" w:firstRow="1" w:lastRow="0" w:firstColumn="1" w:lastColumn="0" w:noHBand="0" w:noVBand="1"/>
      </w:tblPr>
      <w:tblGrid>
        <w:gridCol w:w="1106"/>
        <w:gridCol w:w="1106"/>
        <w:gridCol w:w="1106"/>
      </w:tblGrid>
      <w:tr w:rsidR="00466216" w:rsidRPr="00466216" w14:paraId="7AF21FB9" w14:textId="77777777" w:rsidTr="0086367A">
        <w:trPr>
          <w:trHeight w:val="275"/>
          <w:jc w:val="center"/>
        </w:trPr>
        <w:tc>
          <w:tcPr>
            <w:tcW w:w="1106" w:type="dxa"/>
            <w:tcBorders>
              <w:top w:val="single" w:sz="4" w:space="0" w:color="auto"/>
              <w:left w:val="single" w:sz="4" w:space="0" w:color="auto"/>
              <w:bottom w:val="nil"/>
              <w:right w:val="single" w:sz="4" w:space="0" w:color="FFFFFF"/>
            </w:tcBorders>
            <w:shd w:val="clear" w:color="auto" w:fill="0C2577"/>
            <w:noWrap/>
            <w:vAlign w:val="center"/>
            <w:hideMark/>
          </w:tcPr>
          <w:p w14:paraId="323BA864" w14:textId="6B3FBF77" w:rsidR="00466216" w:rsidRPr="00466216" w:rsidRDefault="00466216" w:rsidP="00466216">
            <w:pPr>
              <w:keepNext/>
              <w:jc w:val="center"/>
              <w:rPr>
                <w:rFonts w:cs="Calibri"/>
                <w:b/>
                <w:bCs/>
                <w:color w:val="FFFFFF"/>
                <w:sz w:val="22"/>
                <w:szCs w:val="22"/>
              </w:rPr>
            </w:pPr>
            <w:r w:rsidRPr="00466216">
              <w:rPr>
                <w:rFonts w:cs="Calibri"/>
                <w:b/>
                <w:bCs/>
                <w:color w:val="FFFFFF"/>
                <w:sz w:val="22"/>
                <w:szCs w:val="22"/>
              </w:rPr>
              <w:t>PG</w:t>
            </w:r>
            <w:r w:rsidR="005E3E51">
              <w:rPr>
                <w:rFonts w:cs="Calibri"/>
                <w:b/>
                <w:bCs/>
                <w:color w:val="FFFFFF"/>
                <w:sz w:val="22"/>
                <w:szCs w:val="22"/>
              </w:rPr>
              <w:t>&amp;</w:t>
            </w:r>
            <w:r w:rsidRPr="00466216">
              <w:rPr>
                <w:rFonts w:cs="Calibri"/>
                <w:b/>
                <w:bCs/>
                <w:color w:val="FFFFFF"/>
                <w:sz w:val="22"/>
                <w:szCs w:val="22"/>
              </w:rPr>
              <w:t>E</w:t>
            </w:r>
          </w:p>
        </w:tc>
        <w:tc>
          <w:tcPr>
            <w:tcW w:w="1106" w:type="dxa"/>
            <w:tcBorders>
              <w:top w:val="single" w:sz="4" w:space="0" w:color="auto"/>
              <w:left w:val="nil"/>
              <w:bottom w:val="nil"/>
              <w:right w:val="single" w:sz="4" w:space="0" w:color="FFFFFF"/>
            </w:tcBorders>
            <w:shd w:val="clear" w:color="auto" w:fill="0C2577"/>
            <w:noWrap/>
            <w:vAlign w:val="center"/>
            <w:hideMark/>
          </w:tcPr>
          <w:p w14:paraId="35B7D8A0" w14:textId="77777777" w:rsidR="00466216" w:rsidRPr="00466216" w:rsidRDefault="00466216" w:rsidP="00466216">
            <w:pPr>
              <w:keepNext/>
              <w:jc w:val="center"/>
              <w:rPr>
                <w:rFonts w:cs="Calibri"/>
                <w:b/>
                <w:bCs/>
                <w:color w:val="FFFFFF"/>
                <w:sz w:val="22"/>
                <w:szCs w:val="22"/>
              </w:rPr>
            </w:pPr>
            <w:r w:rsidRPr="00466216">
              <w:rPr>
                <w:rFonts w:cs="Calibri"/>
                <w:b/>
                <w:bCs/>
                <w:color w:val="FFFFFF"/>
                <w:sz w:val="22"/>
                <w:szCs w:val="22"/>
              </w:rPr>
              <w:t>SCE</w:t>
            </w:r>
          </w:p>
        </w:tc>
        <w:tc>
          <w:tcPr>
            <w:tcW w:w="1106" w:type="dxa"/>
            <w:tcBorders>
              <w:top w:val="single" w:sz="4" w:space="0" w:color="auto"/>
              <w:left w:val="nil"/>
              <w:bottom w:val="nil"/>
              <w:right w:val="single" w:sz="4" w:space="0" w:color="auto"/>
            </w:tcBorders>
            <w:shd w:val="clear" w:color="auto" w:fill="0C2577"/>
            <w:noWrap/>
            <w:vAlign w:val="center"/>
            <w:hideMark/>
          </w:tcPr>
          <w:p w14:paraId="68FE32DC" w14:textId="641A94BF" w:rsidR="00466216" w:rsidRPr="00466216" w:rsidRDefault="00466216" w:rsidP="00466216">
            <w:pPr>
              <w:keepNext/>
              <w:jc w:val="center"/>
              <w:rPr>
                <w:rFonts w:cs="Calibri"/>
                <w:b/>
                <w:bCs/>
                <w:color w:val="FFFFFF"/>
                <w:sz w:val="22"/>
                <w:szCs w:val="22"/>
              </w:rPr>
            </w:pPr>
            <w:r w:rsidRPr="00466216">
              <w:rPr>
                <w:rFonts w:cs="Calibri"/>
                <w:b/>
                <w:bCs/>
                <w:color w:val="FFFFFF"/>
                <w:sz w:val="22"/>
                <w:szCs w:val="22"/>
              </w:rPr>
              <w:t>SDG</w:t>
            </w:r>
            <w:r w:rsidR="005E3E51">
              <w:rPr>
                <w:rFonts w:cs="Calibri"/>
                <w:b/>
                <w:bCs/>
                <w:color w:val="FFFFFF"/>
                <w:sz w:val="22"/>
                <w:szCs w:val="22"/>
              </w:rPr>
              <w:t>&amp;</w:t>
            </w:r>
            <w:r w:rsidRPr="00466216">
              <w:rPr>
                <w:rFonts w:cs="Calibri"/>
                <w:b/>
                <w:bCs/>
                <w:color w:val="FFFFFF"/>
                <w:sz w:val="22"/>
                <w:szCs w:val="22"/>
              </w:rPr>
              <w:t>E</w:t>
            </w:r>
          </w:p>
        </w:tc>
      </w:tr>
      <w:tr w:rsidR="00466216" w:rsidRPr="00466216" w14:paraId="482EF2F2" w14:textId="77777777" w:rsidTr="00466216">
        <w:trPr>
          <w:trHeight w:val="275"/>
          <w:jc w:val="center"/>
        </w:trPr>
        <w:tc>
          <w:tcPr>
            <w:tcW w:w="1106" w:type="dxa"/>
            <w:tcBorders>
              <w:top w:val="single" w:sz="4" w:space="0" w:color="auto"/>
              <w:left w:val="single" w:sz="4" w:space="0" w:color="auto"/>
              <w:bottom w:val="nil"/>
              <w:right w:val="single" w:sz="4" w:space="0" w:color="auto"/>
            </w:tcBorders>
            <w:shd w:val="clear" w:color="000000" w:fill="FFFFFF"/>
            <w:vAlign w:val="center"/>
            <w:hideMark/>
          </w:tcPr>
          <w:p w14:paraId="35B7FB70"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5/2/2017</w:t>
            </w:r>
          </w:p>
        </w:tc>
        <w:tc>
          <w:tcPr>
            <w:tcW w:w="1106" w:type="dxa"/>
            <w:tcBorders>
              <w:top w:val="single" w:sz="4" w:space="0" w:color="auto"/>
              <w:left w:val="nil"/>
              <w:bottom w:val="nil"/>
              <w:right w:val="single" w:sz="4" w:space="0" w:color="auto"/>
            </w:tcBorders>
            <w:shd w:val="clear" w:color="000000" w:fill="FFFFFF"/>
            <w:vAlign w:val="center"/>
            <w:hideMark/>
          </w:tcPr>
          <w:p w14:paraId="6E35BBA5"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5/2/2017</w:t>
            </w:r>
          </w:p>
        </w:tc>
        <w:tc>
          <w:tcPr>
            <w:tcW w:w="1106" w:type="dxa"/>
            <w:tcBorders>
              <w:top w:val="single" w:sz="4" w:space="0" w:color="auto"/>
              <w:left w:val="nil"/>
              <w:bottom w:val="nil"/>
              <w:right w:val="single" w:sz="4" w:space="0" w:color="auto"/>
            </w:tcBorders>
            <w:shd w:val="clear" w:color="000000" w:fill="FFFFFF"/>
            <w:vAlign w:val="center"/>
            <w:hideMark/>
          </w:tcPr>
          <w:p w14:paraId="1E6C9F7B"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6/26/2017</w:t>
            </w:r>
          </w:p>
        </w:tc>
      </w:tr>
      <w:tr w:rsidR="00466216" w:rsidRPr="00466216" w14:paraId="420BB011" w14:textId="77777777" w:rsidTr="00466216">
        <w:trPr>
          <w:trHeight w:val="275"/>
          <w:jc w:val="center"/>
        </w:trPr>
        <w:tc>
          <w:tcPr>
            <w:tcW w:w="1106" w:type="dxa"/>
            <w:tcBorders>
              <w:top w:val="nil"/>
              <w:left w:val="single" w:sz="4" w:space="0" w:color="auto"/>
              <w:bottom w:val="nil"/>
              <w:right w:val="single" w:sz="4" w:space="0" w:color="auto"/>
            </w:tcBorders>
            <w:shd w:val="clear" w:color="000000" w:fill="FFFFFF"/>
            <w:vAlign w:val="center"/>
            <w:hideMark/>
          </w:tcPr>
          <w:p w14:paraId="4C2B0FC5"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5/23/2017</w:t>
            </w:r>
          </w:p>
        </w:tc>
        <w:tc>
          <w:tcPr>
            <w:tcW w:w="1106" w:type="dxa"/>
            <w:tcBorders>
              <w:top w:val="nil"/>
              <w:left w:val="nil"/>
              <w:bottom w:val="nil"/>
              <w:right w:val="single" w:sz="4" w:space="0" w:color="auto"/>
            </w:tcBorders>
            <w:shd w:val="clear" w:color="000000" w:fill="FFFFFF"/>
            <w:vAlign w:val="center"/>
            <w:hideMark/>
          </w:tcPr>
          <w:p w14:paraId="2B08DAF3"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5/4/2017</w:t>
            </w:r>
          </w:p>
        </w:tc>
        <w:tc>
          <w:tcPr>
            <w:tcW w:w="1106" w:type="dxa"/>
            <w:tcBorders>
              <w:top w:val="nil"/>
              <w:left w:val="nil"/>
              <w:bottom w:val="nil"/>
              <w:right w:val="single" w:sz="4" w:space="0" w:color="auto"/>
            </w:tcBorders>
            <w:shd w:val="clear" w:color="000000" w:fill="FFFFFF"/>
            <w:vAlign w:val="center"/>
            <w:hideMark/>
          </w:tcPr>
          <w:p w14:paraId="0DC462B7"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6/27/2017</w:t>
            </w:r>
          </w:p>
        </w:tc>
      </w:tr>
      <w:tr w:rsidR="00466216" w:rsidRPr="00466216" w14:paraId="09E9A603" w14:textId="77777777" w:rsidTr="00466216">
        <w:trPr>
          <w:trHeight w:val="275"/>
          <w:jc w:val="center"/>
        </w:trPr>
        <w:tc>
          <w:tcPr>
            <w:tcW w:w="1106" w:type="dxa"/>
            <w:tcBorders>
              <w:top w:val="nil"/>
              <w:left w:val="single" w:sz="4" w:space="0" w:color="auto"/>
              <w:bottom w:val="nil"/>
              <w:right w:val="single" w:sz="4" w:space="0" w:color="auto"/>
            </w:tcBorders>
            <w:shd w:val="clear" w:color="000000" w:fill="FFFFFF"/>
            <w:vAlign w:val="center"/>
            <w:hideMark/>
          </w:tcPr>
          <w:p w14:paraId="556E4EBF"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7/10/2017</w:t>
            </w:r>
          </w:p>
        </w:tc>
        <w:tc>
          <w:tcPr>
            <w:tcW w:w="1106" w:type="dxa"/>
            <w:tcBorders>
              <w:top w:val="nil"/>
              <w:left w:val="nil"/>
              <w:bottom w:val="nil"/>
              <w:right w:val="single" w:sz="4" w:space="0" w:color="auto"/>
            </w:tcBorders>
            <w:shd w:val="clear" w:color="000000" w:fill="FFFFFF"/>
            <w:vAlign w:val="center"/>
            <w:hideMark/>
          </w:tcPr>
          <w:p w14:paraId="03CFD5AC"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5/22/2017</w:t>
            </w:r>
          </w:p>
        </w:tc>
        <w:tc>
          <w:tcPr>
            <w:tcW w:w="1106" w:type="dxa"/>
            <w:tcBorders>
              <w:top w:val="nil"/>
              <w:left w:val="nil"/>
              <w:bottom w:val="nil"/>
              <w:right w:val="single" w:sz="4" w:space="0" w:color="auto"/>
            </w:tcBorders>
            <w:shd w:val="clear" w:color="000000" w:fill="FFFFFF"/>
            <w:vAlign w:val="center"/>
            <w:hideMark/>
          </w:tcPr>
          <w:p w14:paraId="5744EA9E"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7/6/2017</w:t>
            </w:r>
          </w:p>
        </w:tc>
      </w:tr>
      <w:tr w:rsidR="00466216" w:rsidRPr="00466216" w14:paraId="1D97F232" w14:textId="77777777" w:rsidTr="00466216">
        <w:trPr>
          <w:trHeight w:val="275"/>
          <w:jc w:val="center"/>
        </w:trPr>
        <w:tc>
          <w:tcPr>
            <w:tcW w:w="1106" w:type="dxa"/>
            <w:tcBorders>
              <w:top w:val="nil"/>
              <w:left w:val="single" w:sz="4" w:space="0" w:color="auto"/>
              <w:bottom w:val="nil"/>
              <w:right w:val="single" w:sz="4" w:space="0" w:color="auto"/>
            </w:tcBorders>
            <w:shd w:val="clear" w:color="000000" w:fill="FFFFFF"/>
            <w:vAlign w:val="center"/>
            <w:hideMark/>
          </w:tcPr>
          <w:p w14:paraId="6392892B"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7/12/2017</w:t>
            </w:r>
          </w:p>
        </w:tc>
        <w:tc>
          <w:tcPr>
            <w:tcW w:w="1106" w:type="dxa"/>
            <w:tcBorders>
              <w:top w:val="nil"/>
              <w:left w:val="nil"/>
              <w:bottom w:val="nil"/>
              <w:right w:val="single" w:sz="4" w:space="0" w:color="auto"/>
            </w:tcBorders>
            <w:shd w:val="clear" w:color="000000" w:fill="FFFFFF"/>
            <w:vAlign w:val="center"/>
            <w:hideMark/>
          </w:tcPr>
          <w:p w14:paraId="07A52CC9"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5/23/2017</w:t>
            </w:r>
          </w:p>
        </w:tc>
        <w:tc>
          <w:tcPr>
            <w:tcW w:w="1106" w:type="dxa"/>
            <w:tcBorders>
              <w:top w:val="nil"/>
              <w:left w:val="nil"/>
              <w:bottom w:val="nil"/>
              <w:right w:val="single" w:sz="4" w:space="0" w:color="auto"/>
            </w:tcBorders>
            <w:shd w:val="clear" w:color="000000" w:fill="FFFFFF"/>
            <w:vAlign w:val="center"/>
            <w:hideMark/>
          </w:tcPr>
          <w:p w14:paraId="66B3DFA7"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7/7/2017</w:t>
            </w:r>
          </w:p>
        </w:tc>
      </w:tr>
      <w:tr w:rsidR="00466216" w:rsidRPr="00466216" w14:paraId="5A433E27" w14:textId="77777777" w:rsidTr="00466216">
        <w:trPr>
          <w:trHeight w:val="275"/>
          <w:jc w:val="center"/>
        </w:trPr>
        <w:tc>
          <w:tcPr>
            <w:tcW w:w="1106" w:type="dxa"/>
            <w:tcBorders>
              <w:top w:val="nil"/>
              <w:left w:val="single" w:sz="4" w:space="0" w:color="auto"/>
              <w:bottom w:val="nil"/>
              <w:right w:val="single" w:sz="4" w:space="0" w:color="auto"/>
            </w:tcBorders>
            <w:shd w:val="clear" w:color="000000" w:fill="FFFFFF"/>
            <w:vAlign w:val="center"/>
            <w:hideMark/>
          </w:tcPr>
          <w:p w14:paraId="69332A8C"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7/14/2017</w:t>
            </w:r>
          </w:p>
        </w:tc>
        <w:tc>
          <w:tcPr>
            <w:tcW w:w="1106" w:type="dxa"/>
            <w:tcBorders>
              <w:top w:val="nil"/>
              <w:left w:val="nil"/>
              <w:bottom w:val="nil"/>
              <w:right w:val="single" w:sz="4" w:space="0" w:color="auto"/>
            </w:tcBorders>
            <w:shd w:val="clear" w:color="000000" w:fill="FFFFFF"/>
            <w:vAlign w:val="center"/>
            <w:hideMark/>
          </w:tcPr>
          <w:p w14:paraId="6AF43A83"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6/2/2017</w:t>
            </w:r>
          </w:p>
        </w:tc>
        <w:tc>
          <w:tcPr>
            <w:tcW w:w="1106" w:type="dxa"/>
            <w:tcBorders>
              <w:top w:val="nil"/>
              <w:left w:val="nil"/>
              <w:bottom w:val="nil"/>
              <w:right w:val="single" w:sz="4" w:space="0" w:color="auto"/>
            </w:tcBorders>
            <w:shd w:val="clear" w:color="000000" w:fill="FFFFFF"/>
            <w:vAlign w:val="center"/>
            <w:hideMark/>
          </w:tcPr>
          <w:p w14:paraId="3675A4E2"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8/2/2017</w:t>
            </w:r>
          </w:p>
        </w:tc>
      </w:tr>
      <w:tr w:rsidR="00466216" w:rsidRPr="00466216" w14:paraId="2FD8798F" w14:textId="77777777" w:rsidTr="00466216">
        <w:trPr>
          <w:trHeight w:val="275"/>
          <w:jc w:val="center"/>
        </w:trPr>
        <w:tc>
          <w:tcPr>
            <w:tcW w:w="1106" w:type="dxa"/>
            <w:tcBorders>
              <w:top w:val="nil"/>
              <w:left w:val="single" w:sz="4" w:space="0" w:color="auto"/>
              <w:bottom w:val="nil"/>
              <w:right w:val="single" w:sz="4" w:space="0" w:color="auto"/>
            </w:tcBorders>
            <w:shd w:val="clear" w:color="000000" w:fill="FFFFFF"/>
            <w:vAlign w:val="center"/>
            <w:hideMark/>
          </w:tcPr>
          <w:p w14:paraId="60B44604"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7/20/2017</w:t>
            </w:r>
          </w:p>
        </w:tc>
        <w:tc>
          <w:tcPr>
            <w:tcW w:w="1106" w:type="dxa"/>
            <w:tcBorders>
              <w:top w:val="nil"/>
              <w:left w:val="nil"/>
              <w:bottom w:val="nil"/>
              <w:right w:val="single" w:sz="4" w:space="0" w:color="auto"/>
            </w:tcBorders>
            <w:shd w:val="clear" w:color="000000" w:fill="FFFFFF"/>
            <w:vAlign w:val="center"/>
            <w:hideMark/>
          </w:tcPr>
          <w:p w14:paraId="7EEEFE36"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6/15/2017</w:t>
            </w:r>
          </w:p>
        </w:tc>
        <w:tc>
          <w:tcPr>
            <w:tcW w:w="1106" w:type="dxa"/>
            <w:tcBorders>
              <w:top w:val="nil"/>
              <w:left w:val="nil"/>
              <w:bottom w:val="nil"/>
              <w:right w:val="single" w:sz="4" w:space="0" w:color="auto"/>
            </w:tcBorders>
            <w:shd w:val="clear" w:color="000000" w:fill="FFFFFF"/>
            <w:vAlign w:val="center"/>
            <w:hideMark/>
          </w:tcPr>
          <w:p w14:paraId="319B5A00"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8/3/2017</w:t>
            </w:r>
          </w:p>
        </w:tc>
      </w:tr>
      <w:tr w:rsidR="00466216" w:rsidRPr="00466216" w14:paraId="0D74B432" w14:textId="77777777" w:rsidTr="00466216">
        <w:trPr>
          <w:trHeight w:val="275"/>
          <w:jc w:val="center"/>
        </w:trPr>
        <w:tc>
          <w:tcPr>
            <w:tcW w:w="1106" w:type="dxa"/>
            <w:tcBorders>
              <w:top w:val="nil"/>
              <w:left w:val="single" w:sz="4" w:space="0" w:color="auto"/>
              <w:bottom w:val="nil"/>
              <w:right w:val="single" w:sz="4" w:space="0" w:color="auto"/>
            </w:tcBorders>
            <w:shd w:val="clear" w:color="000000" w:fill="FFFFFF"/>
            <w:vAlign w:val="center"/>
            <w:hideMark/>
          </w:tcPr>
          <w:p w14:paraId="1EBC2856"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7/21/2017</w:t>
            </w:r>
          </w:p>
        </w:tc>
        <w:tc>
          <w:tcPr>
            <w:tcW w:w="1106" w:type="dxa"/>
            <w:tcBorders>
              <w:top w:val="nil"/>
              <w:left w:val="nil"/>
              <w:bottom w:val="nil"/>
              <w:right w:val="single" w:sz="4" w:space="0" w:color="auto"/>
            </w:tcBorders>
            <w:shd w:val="clear" w:color="000000" w:fill="FFFFFF"/>
            <w:vAlign w:val="center"/>
            <w:hideMark/>
          </w:tcPr>
          <w:p w14:paraId="3364265D"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6/28/2017</w:t>
            </w:r>
          </w:p>
        </w:tc>
        <w:tc>
          <w:tcPr>
            <w:tcW w:w="1106" w:type="dxa"/>
            <w:tcBorders>
              <w:top w:val="nil"/>
              <w:left w:val="nil"/>
              <w:bottom w:val="nil"/>
              <w:right w:val="single" w:sz="4" w:space="0" w:color="auto"/>
            </w:tcBorders>
            <w:shd w:val="clear" w:color="000000" w:fill="FFFFFF"/>
            <w:vAlign w:val="center"/>
            <w:hideMark/>
          </w:tcPr>
          <w:p w14:paraId="24207D54"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8/28/2017</w:t>
            </w:r>
          </w:p>
        </w:tc>
      </w:tr>
      <w:tr w:rsidR="00466216" w:rsidRPr="00466216" w14:paraId="296C17F8" w14:textId="77777777" w:rsidTr="00466216">
        <w:trPr>
          <w:trHeight w:val="275"/>
          <w:jc w:val="center"/>
        </w:trPr>
        <w:tc>
          <w:tcPr>
            <w:tcW w:w="1106" w:type="dxa"/>
            <w:tcBorders>
              <w:top w:val="nil"/>
              <w:left w:val="single" w:sz="4" w:space="0" w:color="auto"/>
              <w:bottom w:val="nil"/>
              <w:right w:val="single" w:sz="4" w:space="0" w:color="auto"/>
            </w:tcBorders>
            <w:shd w:val="clear" w:color="000000" w:fill="FFFFFF"/>
            <w:vAlign w:val="center"/>
            <w:hideMark/>
          </w:tcPr>
          <w:p w14:paraId="513189E0"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7/24/2017</w:t>
            </w:r>
          </w:p>
        </w:tc>
        <w:tc>
          <w:tcPr>
            <w:tcW w:w="1106" w:type="dxa"/>
            <w:tcBorders>
              <w:top w:val="nil"/>
              <w:left w:val="nil"/>
              <w:bottom w:val="nil"/>
              <w:right w:val="single" w:sz="4" w:space="0" w:color="auto"/>
            </w:tcBorders>
            <w:shd w:val="clear" w:color="000000" w:fill="FFFFFF"/>
            <w:vAlign w:val="center"/>
            <w:hideMark/>
          </w:tcPr>
          <w:p w14:paraId="74833A8D"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7/3/2017</w:t>
            </w:r>
          </w:p>
        </w:tc>
        <w:tc>
          <w:tcPr>
            <w:tcW w:w="1106" w:type="dxa"/>
            <w:tcBorders>
              <w:top w:val="nil"/>
              <w:left w:val="nil"/>
              <w:bottom w:val="nil"/>
              <w:right w:val="single" w:sz="4" w:space="0" w:color="auto"/>
            </w:tcBorders>
            <w:shd w:val="clear" w:color="000000" w:fill="FFFFFF"/>
            <w:vAlign w:val="center"/>
            <w:hideMark/>
          </w:tcPr>
          <w:p w14:paraId="696A2DCE"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8/29/2017</w:t>
            </w:r>
          </w:p>
        </w:tc>
      </w:tr>
      <w:tr w:rsidR="00466216" w:rsidRPr="00466216" w14:paraId="5D9202EE" w14:textId="77777777" w:rsidTr="00466216">
        <w:trPr>
          <w:trHeight w:val="275"/>
          <w:jc w:val="center"/>
        </w:trPr>
        <w:tc>
          <w:tcPr>
            <w:tcW w:w="1106" w:type="dxa"/>
            <w:tcBorders>
              <w:top w:val="nil"/>
              <w:left w:val="single" w:sz="4" w:space="0" w:color="auto"/>
              <w:bottom w:val="nil"/>
              <w:right w:val="single" w:sz="4" w:space="0" w:color="auto"/>
            </w:tcBorders>
            <w:shd w:val="clear" w:color="000000" w:fill="FFFFFF"/>
            <w:vAlign w:val="center"/>
            <w:hideMark/>
          </w:tcPr>
          <w:p w14:paraId="32E060A8"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7/26/2017</w:t>
            </w:r>
          </w:p>
        </w:tc>
        <w:tc>
          <w:tcPr>
            <w:tcW w:w="1106" w:type="dxa"/>
            <w:tcBorders>
              <w:top w:val="nil"/>
              <w:left w:val="nil"/>
              <w:bottom w:val="nil"/>
              <w:right w:val="single" w:sz="4" w:space="0" w:color="auto"/>
            </w:tcBorders>
            <w:shd w:val="clear" w:color="000000" w:fill="FFFFFF"/>
            <w:vAlign w:val="center"/>
            <w:hideMark/>
          </w:tcPr>
          <w:p w14:paraId="64E8E585"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9/29/2017</w:t>
            </w:r>
          </w:p>
        </w:tc>
        <w:tc>
          <w:tcPr>
            <w:tcW w:w="1106" w:type="dxa"/>
            <w:tcBorders>
              <w:top w:val="nil"/>
              <w:left w:val="nil"/>
              <w:bottom w:val="nil"/>
              <w:right w:val="single" w:sz="4" w:space="0" w:color="auto"/>
            </w:tcBorders>
            <w:shd w:val="clear" w:color="000000" w:fill="FFFFFF"/>
            <w:vAlign w:val="center"/>
            <w:hideMark/>
          </w:tcPr>
          <w:p w14:paraId="55BA0D03"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8/30/2017</w:t>
            </w:r>
          </w:p>
        </w:tc>
      </w:tr>
      <w:tr w:rsidR="00466216" w:rsidRPr="00466216" w14:paraId="408C413E" w14:textId="77777777" w:rsidTr="00466216">
        <w:trPr>
          <w:trHeight w:val="275"/>
          <w:jc w:val="center"/>
        </w:trPr>
        <w:tc>
          <w:tcPr>
            <w:tcW w:w="1106" w:type="dxa"/>
            <w:tcBorders>
              <w:top w:val="nil"/>
              <w:left w:val="single" w:sz="4" w:space="0" w:color="auto"/>
              <w:bottom w:val="nil"/>
              <w:right w:val="single" w:sz="4" w:space="0" w:color="auto"/>
            </w:tcBorders>
            <w:shd w:val="clear" w:color="000000" w:fill="FFFFFF"/>
            <w:vAlign w:val="center"/>
            <w:hideMark/>
          </w:tcPr>
          <w:p w14:paraId="4587524E"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7/28/2017</w:t>
            </w:r>
          </w:p>
        </w:tc>
        <w:tc>
          <w:tcPr>
            <w:tcW w:w="1106" w:type="dxa"/>
            <w:tcBorders>
              <w:top w:val="nil"/>
              <w:left w:val="nil"/>
              <w:bottom w:val="nil"/>
              <w:right w:val="single" w:sz="4" w:space="0" w:color="auto"/>
            </w:tcBorders>
            <w:shd w:val="clear" w:color="000000" w:fill="FFFFFF"/>
            <w:vAlign w:val="center"/>
            <w:hideMark/>
          </w:tcPr>
          <w:p w14:paraId="736D5F1D"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 </w:t>
            </w:r>
          </w:p>
        </w:tc>
        <w:tc>
          <w:tcPr>
            <w:tcW w:w="1106" w:type="dxa"/>
            <w:tcBorders>
              <w:top w:val="nil"/>
              <w:left w:val="nil"/>
              <w:bottom w:val="nil"/>
              <w:right w:val="single" w:sz="4" w:space="0" w:color="auto"/>
            </w:tcBorders>
            <w:shd w:val="clear" w:color="000000" w:fill="FFFFFF"/>
            <w:vAlign w:val="center"/>
            <w:hideMark/>
          </w:tcPr>
          <w:p w14:paraId="45E6C123"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9/11/2017</w:t>
            </w:r>
          </w:p>
        </w:tc>
      </w:tr>
      <w:tr w:rsidR="00466216" w:rsidRPr="00466216" w14:paraId="0F1B6732" w14:textId="77777777" w:rsidTr="00466216">
        <w:trPr>
          <w:trHeight w:val="275"/>
          <w:jc w:val="center"/>
        </w:trPr>
        <w:tc>
          <w:tcPr>
            <w:tcW w:w="1106" w:type="dxa"/>
            <w:tcBorders>
              <w:top w:val="nil"/>
              <w:left w:val="single" w:sz="4" w:space="0" w:color="auto"/>
              <w:bottom w:val="nil"/>
              <w:right w:val="single" w:sz="4" w:space="0" w:color="auto"/>
            </w:tcBorders>
            <w:shd w:val="clear" w:color="000000" w:fill="FFFFFF"/>
            <w:vAlign w:val="center"/>
            <w:hideMark/>
          </w:tcPr>
          <w:p w14:paraId="5FAFC615"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7/31/2017</w:t>
            </w:r>
          </w:p>
        </w:tc>
        <w:tc>
          <w:tcPr>
            <w:tcW w:w="1106" w:type="dxa"/>
            <w:tcBorders>
              <w:top w:val="nil"/>
              <w:left w:val="nil"/>
              <w:bottom w:val="nil"/>
              <w:right w:val="single" w:sz="4" w:space="0" w:color="auto"/>
            </w:tcBorders>
            <w:shd w:val="clear" w:color="000000" w:fill="FFFFFF"/>
            <w:vAlign w:val="center"/>
            <w:hideMark/>
          </w:tcPr>
          <w:p w14:paraId="754EF64E"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 </w:t>
            </w:r>
          </w:p>
        </w:tc>
        <w:tc>
          <w:tcPr>
            <w:tcW w:w="1106" w:type="dxa"/>
            <w:tcBorders>
              <w:top w:val="nil"/>
              <w:left w:val="nil"/>
              <w:bottom w:val="nil"/>
              <w:right w:val="single" w:sz="4" w:space="0" w:color="auto"/>
            </w:tcBorders>
            <w:shd w:val="clear" w:color="000000" w:fill="FFFFFF"/>
            <w:vAlign w:val="center"/>
            <w:hideMark/>
          </w:tcPr>
          <w:p w14:paraId="714C1701"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 </w:t>
            </w:r>
          </w:p>
        </w:tc>
      </w:tr>
      <w:tr w:rsidR="00466216" w:rsidRPr="00466216" w14:paraId="7FAE9B64" w14:textId="77777777" w:rsidTr="00466216">
        <w:trPr>
          <w:trHeight w:val="275"/>
          <w:jc w:val="center"/>
        </w:trPr>
        <w:tc>
          <w:tcPr>
            <w:tcW w:w="1106" w:type="dxa"/>
            <w:tcBorders>
              <w:top w:val="nil"/>
              <w:left w:val="single" w:sz="4" w:space="0" w:color="auto"/>
              <w:bottom w:val="nil"/>
              <w:right w:val="single" w:sz="4" w:space="0" w:color="auto"/>
            </w:tcBorders>
            <w:shd w:val="clear" w:color="000000" w:fill="FFFFFF"/>
            <w:vAlign w:val="center"/>
            <w:hideMark/>
          </w:tcPr>
          <w:p w14:paraId="295296F2"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8/25/2017</w:t>
            </w:r>
          </w:p>
        </w:tc>
        <w:tc>
          <w:tcPr>
            <w:tcW w:w="1106" w:type="dxa"/>
            <w:tcBorders>
              <w:top w:val="nil"/>
              <w:left w:val="nil"/>
              <w:bottom w:val="nil"/>
              <w:right w:val="single" w:sz="4" w:space="0" w:color="auto"/>
            </w:tcBorders>
            <w:shd w:val="clear" w:color="000000" w:fill="FFFFFF"/>
            <w:vAlign w:val="center"/>
            <w:hideMark/>
          </w:tcPr>
          <w:p w14:paraId="60759B14"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 </w:t>
            </w:r>
          </w:p>
        </w:tc>
        <w:tc>
          <w:tcPr>
            <w:tcW w:w="1106" w:type="dxa"/>
            <w:tcBorders>
              <w:top w:val="nil"/>
              <w:left w:val="nil"/>
              <w:bottom w:val="nil"/>
              <w:right w:val="single" w:sz="4" w:space="0" w:color="auto"/>
            </w:tcBorders>
            <w:shd w:val="clear" w:color="000000" w:fill="FFFFFF"/>
            <w:vAlign w:val="center"/>
            <w:hideMark/>
          </w:tcPr>
          <w:p w14:paraId="1ACB2DF4"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 </w:t>
            </w:r>
          </w:p>
        </w:tc>
      </w:tr>
      <w:tr w:rsidR="00466216" w:rsidRPr="00466216" w14:paraId="77ACB697" w14:textId="77777777" w:rsidTr="00466216">
        <w:trPr>
          <w:trHeight w:val="275"/>
          <w:jc w:val="center"/>
        </w:trPr>
        <w:tc>
          <w:tcPr>
            <w:tcW w:w="1106" w:type="dxa"/>
            <w:tcBorders>
              <w:top w:val="nil"/>
              <w:left w:val="single" w:sz="4" w:space="0" w:color="auto"/>
              <w:bottom w:val="single" w:sz="4" w:space="0" w:color="auto"/>
              <w:right w:val="single" w:sz="4" w:space="0" w:color="auto"/>
            </w:tcBorders>
            <w:shd w:val="clear" w:color="000000" w:fill="FFFFFF"/>
            <w:vAlign w:val="center"/>
            <w:hideMark/>
          </w:tcPr>
          <w:p w14:paraId="688C3C8B"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8/30/2017</w:t>
            </w:r>
          </w:p>
        </w:tc>
        <w:tc>
          <w:tcPr>
            <w:tcW w:w="1106" w:type="dxa"/>
            <w:tcBorders>
              <w:top w:val="nil"/>
              <w:left w:val="nil"/>
              <w:bottom w:val="single" w:sz="4" w:space="0" w:color="auto"/>
              <w:right w:val="single" w:sz="4" w:space="0" w:color="auto"/>
            </w:tcBorders>
            <w:shd w:val="clear" w:color="000000" w:fill="FFFFFF"/>
            <w:vAlign w:val="center"/>
            <w:hideMark/>
          </w:tcPr>
          <w:p w14:paraId="66FB8C04"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 </w:t>
            </w:r>
          </w:p>
        </w:tc>
        <w:tc>
          <w:tcPr>
            <w:tcW w:w="1106" w:type="dxa"/>
            <w:tcBorders>
              <w:top w:val="nil"/>
              <w:left w:val="nil"/>
              <w:bottom w:val="single" w:sz="4" w:space="0" w:color="auto"/>
              <w:right w:val="single" w:sz="4" w:space="0" w:color="auto"/>
            </w:tcBorders>
            <w:shd w:val="clear" w:color="000000" w:fill="FFFFFF"/>
            <w:vAlign w:val="center"/>
            <w:hideMark/>
          </w:tcPr>
          <w:p w14:paraId="5B376864" w14:textId="77777777" w:rsidR="00466216" w:rsidRPr="00466216" w:rsidRDefault="00466216" w:rsidP="00466216">
            <w:pPr>
              <w:keepNext/>
              <w:jc w:val="right"/>
              <w:rPr>
                <w:rFonts w:ascii="Arial" w:hAnsi="Arial" w:cs="Arial"/>
                <w:color w:val="000000"/>
                <w:sz w:val="20"/>
                <w:szCs w:val="20"/>
              </w:rPr>
            </w:pPr>
            <w:r w:rsidRPr="00466216">
              <w:rPr>
                <w:rFonts w:ascii="Arial" w:hAnsi="Arial" w:cs="Arial"/>
                <w:color w:val="000000"/>
                <w:sz w:val="20"/>
                <w:szCs w:val="20"/>
              </w:rPr>
              <w:t> </w:t>
            </w:r>
          </w:p>
        </w:tc>
      </w:tr>
    </w:tbl>
    <w:p w14:paraId="5E3034CF" w14:textId="77777777" w:rsidR="00466216" w:rsidRDefault="00466216" w:rsidP="00466216">
      <w:pPr>
        <w:pStyle w:val="TableCaption"/>
        <w:keepNext/>
        <w:keepLines/>
      </w:pPr>
    </w:p>
    <w:p w14:paraId="728B4C47" w14:textId="755A1851" w:rsidR="00614D97" w:rsidRDefault="00614D97" w:rsidP="00614D97">
      <w:pPr>
        <w:pStyle w:val="Heading3"/>
      </w:pPr>
      <w:bookmarkStart w:id="279" w:name="_Toc510091151"/>
      <w:r>
        <w:t>A.2.2 Results from Tests of Alternative Weather Specifications</w:t>
      </w:r>
      <w:bookmarkEnd w:id="278"/>
      <w:bookmarkEnd w:id="279"/>
    </w:p>
    <w:p w14:paraId="64FA2DDC" w14:textId="77777777" w:rsidR="00614D97" w:rsidRDefault="00614D97" w:rsidP="00614D97">
      <w:r>
        <w:t>For each industry group, we tested 17 different sets of weather variables for weather sensitive customers and five different specifications for non-weather sensitive customers. The aggregate load used in conducting these tests was constructed separately for each industry group and weather sensitivity categorization. Only customers who submitted a bid on at least one event day are included.</w:t>
      </w:r>
    </w:p>
    <w:p w14:paraId="6CBE4AAE" w14:textId="77777777" w:rsidR="00614D97" w:rsidRDefault="00614D97" w:rsidP="00614D97"/>
    <w:p w14:paraId="5B43D56B" w14:textId="1163FFE2" w:rsidR="00614D97" w:rsidRDefault="00614D97" w:rsidP="00614D97">
      <w:r>
        <w:t>The tests are conducted by estimatin</w:t>
      </w:r>
      <w:r w:rsidR="005338D2">
        <w:t>g one model for every industry</w:t>
      </w:r>
      <w:r>
        <w:t>, weather sensiti</w:t>
      </w:r>
      <w:r w:rsidR="005338D2">
        <w:t>vity</w:t>
      </w:r>
      <w:r>
        <w:t>, specification (17 for weather sensitive customers, 5 for non-weather sensitive cus</w:t>
      </w:r>
      <w:r w:rsidR="005338D2">
        <w:t>tomers), and event-like day</w:t>
      </w:r>
      <w:r>
        <w:t>. Each model excludes one event-like day from the estimation model and uses the estimated parameters to predict the usage for that day. The MPE and MAPE are calculated across the event windows of the withheld days.</w:t>
      </w:r>
    </w:p>
    <w:p w14:paraId="545F4C67" w14:textId="77777777" w:rsidR="00614D97" w:rsidRDefault="00614D97" w:rsidP="00614D97"/>
    <w:p w14:paraId="6702DFC9" w14:textId="0056C14F" w:rsidR="00614D97" w:rsidRDefault="00614D97" w:rsidP="00614D97">
      <w:r>
        <w:t>Table</w:t>
      </w:r>
      <w:r w:rsidR="00B51AB0">
        <w:t>s</w:t>
      </w:r>
      <w:r>
        <w:t xml:space="preserve"> A.</w:t>
      </w:r>
      <w:r w:rsidR="001A1817">
        <w:t>7</w:t>
      </w:r>
      <w:r>
        <w:t xml:space="preserve"> </w:t>
      </w:r>
      <w:r w:rsidR="00B51AB0">
        <w:t xml:space="preserve">through A.9 </w:t>
      </w:r>
      <w:r>
        <w:t xml:space="preserve">summarize </w:t>
      </w:r>
      <w:r w:rsidR="00B51AB0">
        <w:t xml:space="preserve">for each utility </w:t>
      </w:r>
      <w:r>
        <w:t xml:space="preserve">the mean percentage error (MPE), mean absolute percentage error (MAPE), and </w:t>
      </w:r>
      <w:r w:rsidR="00A46010">
        <w:t xml:space="preserve">number of </w:t>
      </w:r>
      <w:r>
        <w:t>customer</w:t>
      </w:r>
      <w:r w:rsidR="00A46010">
        <w:t>s</w:t>
      </w:r>
      <w:r>
        <w:t xml:space="preserve"> </w:t>
      </w:r>
      <w:r w:rsidR="00A46010">
        <w:t>in the sub-group</w:t>
      </w:r>
      <w:r>
        <w:t xml:space="preserve"> for each industry by weather sensitivity type</w:t>
      </w:r>
      <w:r w:rsidR="005338D2">
        <w:t xml:space="preserve"> (specified in Table</w:t>
      </w:r>
      <w:r w:rsidR="003F1568">
        <w:t>s</w:t>
      </w:r>
      <w:r w:rsidR="005338D2">
        <w:t xml:space="preserve"> A.</w:t>
      </w:r>
      <w:r w:rsidR="001A1817">
        <w:t>4 and A.5</w:t>
      </w:r>
      <w:r w:rsidR="005338D2">
        <w:t>)</w:t>
      </w:r>
      <w:r w:rsidR="00731D0B">
        <w:t xml:space="preserve"> for specifications in the </w:t>
      </w:r>
      <w:r w:rsidR="00731D0B">
        <w:rPr>
          <w:i/>
        </w:rPr>
        <w:t>ex-post</w:t>
      </w:r>
      <w:r w:rsidR="00731D0B">
        <w:t xml:space="preserve"> analysis</w:t>
      </w:r>
      <w:r>
        <w:t xml:space="preserve">. </w:t>
      </w:r>
    </w:p>
    <w:p w14:paraId="74501016" w14:textId="77777777" w:rsidR="00614D97" w:rsidRDefault="00614D97" w:rsidP="00614D97"/>
    <w:p w14:paraId="676FAEF9" w14:textId="74998E39" w:rsidR="00614D97" w:rsidRPr="0088530C" w:rsidRDefault="00614D97" w:rsidP="00AF60E4">
      <w:pPr>
        <w:pStyle w:val="TableCaption"/>
        <w:keepNext/>
        <w:keepLines/>
      </w:pPr>
      <w:bookmarkStart w:id="280" w:name="_Toc504832932"/>
      <w:bookmarkStart w:id="281" w:name="_Toc508800253"/>
      <w:r w:rsidRPr="0088530C">
        <w:lastRenderedPageBreak/>
        <w:t xml:space="preserve">Table </w:t>
      </w:r>
      <w:r>
        <w:t>A</w:t>
      </w:r>
      <w:r w:rsidRPr="0088530C">
        <w:t>.</w:t>
      </w:r>
      <w:r w:rsidR="001A1817">
        <w:t>7</w:t>
      </w:r>
      <w:r w:rsidRPr="0088530C">
        <w:t>: Specification Test Results</w:t>
      </w:r>
      <w:bookmarkEnd w:id="280"/>
      <w:r w:rsidR="00C34420">
        <w:t xml:space="preserve"> for the </w:t>
      </w:r>
      <w:r w:rsidR="00C34420">
        <w:rPr>
          <w:i/>
        </w:rPr>
        <w:t xml:space="preserve">Ex-Post </w:t>
      </w:r>
      <w:r w:rsidR="00C34420">
        <w:t>analysis</w:t>
      </w:r>
      <w:r w:rsidR="00E043E2">
        <w:t>, PG</w:t>
      </w:r>
      <w:r w:rsidR="005E3E51">
        <w:t>&amp;</w:t>
      </w:r>
      <w:r w:rsidR="00E043E2">
        <w:t>E</w:t>
      </w:r>
      <w:bookmarkEnd w:id="281"/>
    </w:p>
    <w:tbl>
      <w:tblPr>
        <w:tblW w:w="9486" w:type="dxa"/>
        <w:jc w:val="center"/>
        <w:tblLook w:val="04A0" w:firstRow="1" w:lastRow="0" w:firstColumn="1" w:lastColumn="0" w:noHBand="0" w:noVBand="1"/>
      </w:tblPr>
      <w:tblGrid>
        <w:gridCol w:w="1028"/>
        <w:gridCol w:w="3779"/>
        <w:gridCol w:w="1386"/>
        <w:gridCol w:w="1053"/>
        <w:gridCol w:w="1051"/>
        <w:gridCol w:w="1189"/>
      </w:tblGrid>
      <w:tr w:rsidR="00AF60E4" w:rsidRPr="00AF60E4" w14:paraId="0EE21A38" w14:textId="77777777" w:rsidTr="0086367A">
        <w:trPr>
          <w:trHeight w:val="600"/>
          <w:jc w:val="center"/>
        </w:trPr>
        <w:tc>
          <w:tcPr>
            <w:tcW w:w="1028" w:type="dxa"/>
            <w:tcBorders>
              <w:top w:val="single" w:sz="4" w:space="0" w:color="auto"/>
              <w:left w:val="single" w:sz="4" w:space="0" w:color="auto"/>
              <w:bottom w:val="single" w:sz="4" w:space="0" w:color="auto"/>
              <w:right w:val="single" w:sz="4" w:space="0" w:color="FFFFFF"/>
            </w:tcBorders>
            <w:shd w:val="clear" w:color="auto" w:fill="0C2577"/>
            <w:noWrap/>
            <w:vAlign w:val="center"/>
            <w:hideMark/>
          </w:tcPr>
          <w:p w14:paraId="0AC454B2" w14:textId="77777777" w:rsidR="00AF60E4" w:rsidRPr="00AF60E4" w:rsidRDefault="00AF60E4" w:rsidP="00AF60E4">
            <w:pPr>
              <w:keepNext/>
              <w:jc w:val="center"/>
              <w:rPr>
                <w:rFonts w:cs="Calibri"/>
                <w:b/>
                <w:bCs/>
                <w:color w:val="FFFFFF"/>
                <w:sz w:val="22"/>
                <w:szCs w:val="22"/>
              </w:rPr>
            </w:pPr>
            <w:r w:rsidRPr="00AF60E4">
              <w:rPr>
                <w:rFonts w:cs="Calibri"/>
                <w:b/>
                <w:bCs/>
                <w:color w:val="FFFFFF"/>
                <w:sz w:val="22"/>
                <w:szCs w:val="22"/>
              </w:rPr>
              <w:t>Group</w:t>
            </w:r>
          </w:p>
        </w:tc>
        <w:tc>
          <w:tcPr>
            <w:tcW w:w="3779" w:type="dxa"/>
            <w:tcBorders>
              <w:top w:val="single" w:sz="4" w:space="0" w:color="auto"/>
              <w:left w:val="nil"/>
              <w:bottom w:val="single" w:sz="4" w:space="0" w:color="auto"/>
              <w:right w:val="single" w:sz="4" w:space="0" w:color="FFFFFF"/>
            </w:tcBorders>
            <w:shd w:val="clear" w:color="auto" w:fill="0C2577"/>
            <w:noWrap/>
            <w:vAlign w:val="center"/>
            <w:hideMark/>
          </w:tcPr>
          <w:p w14:paraId="28F1E770" w14:textId="77777777" w:rsidR="00AF60E4" w:rsidRPr="00AF60E4" w:rsidRDefault="00AF60E4" w:rsidP="00AF60E4">
            <w:pPr>
              <w:keepNext/>
              <w:jc w:val="center"/>
              <w:rPr>
                <w:rFonts w:cs="Calibri"/>
                <w:b/>
                <w:bCs/>
                <w:color w:val="FFFFFF"/>
                <w:sz w:val="22"/>
                <w:szCs w:val="22"/>
              </w:rPr>
            </w:pPr>
            <w:r w:rsidRPr="00AF60E4">
              <w:rPr>
                <w:rFonts w:cs="Calibri"/>
                <w:b/>
                <w:bCs/>
                <w:color w:val="FFFFFF"/>
                <w:sz w:val="22"/>
                <w:szCs w:val="22"/>
              </w:rPr>
              <w:t>Industry Type</w:t>
            </w:r>
          </w:p>
        </w:tc>
        <w:tc>
          <w:tcPr>
            <w:tcW w:w="1386" w:type="dxa"/>
            <w:tcBorders>
              <w:top w:val="single" w:sz="4" w:space="0" w:color="auto"/>
              <w:left w:val="nil"/>
              <w:bottom w:val="single" w:sz="4" w:space="0" w:color="auto"/>
              <w:right w:val="single" w:sz="4" w:space="0" w:color="FFFFFF"/>
            </w:tcBorders>
            <w:shd w:val="clear" w:color="auto" w:fill="0C2577"/>
            <w:vAlign w:val="center"/>
            <w:hideMark/>
          </w:tcPr>
          <w:p w14:paraId="6348850F" w14:textId="77777777" w:rsidR="00AF60E4" w:rsidRPr="00AF60E4" w:rsidRDefault="00AF60E4" w:rsidP="00AF60E4">
            <w:pPr>
              <w:keepNext/>
              <w:jc w:val="center"/>
              <w:rPr>
                <w:rFonts w:cs="Calibri"/>
                <w:b/>
                <w:bCs/>
                <w:color w:val="FFFFFF"/>
                <w:sz w:val="22"/>
                <w:szCs w:val="22"/>
              </w:rPr>
            </w:pPr>
            <w:r w:rsidRPr="00AF60E4">
              <w:rPr>
                <w:rFonts w:cs="Calibri"/>
                <w:b/>
                <w:bCs/>
                <w:color w:val="FFFFFF"/>
                <w:sz w:val="22"/>
                <w:szCs w:val="22"/>
              </w:rPr>
              <w:t>Selected Specification</w:t>
            </w:r>
          </w:p>
        </w:tc>
        <w:tc>
          <w:tcPr>
            <w:tcW w:w="1053" w:type="dxa"/>
            <w:tcBorders>
              <w:top w:val="single" w:sz="4" w:space="0" w:color="auto"/>
              <w:left w:val="nil"/>
              <w:bottom w:val="single" w:sz="4" w:space="0" w:color="auto"/>
              <w:right w:val="single" w:sz="4" w:space="0" w:color="FFFFFF"/>
            </w:tcBorders>
            <w:shd w:val="clear" w:color="auto" w:fill="0C2577"/>
            <w:noWrap/>
            <w:vAlign w:val="center"/>
            <w:hideMark/>
          </w:tcPr>
          <w:p w14:paraId="70257453" w14:textId="77777777" w:rsidR="00AF60E4" w:rsidRPr="00AF60E4" w:rsidRDefault="00AF60E4" w:rsidP="00AF60E4">
            <w:pPr>
              <w:keepNext/>
              <w:jc w:val="center"/>
              <w:rPr>
                <w:rFonts w:cs="Calibri"/>
                <w:b/>
                <w:bCs/>
                <w:color w:val="FFFFFF"/>
                <w:sz w:val="22"/>
                <w:szCs w:val="22"/>
              </w:rPr>
            </w:pPr>
            <w:r w:rsidRPr="00AF60E4">
              <w:rPr>
                <w:rFonts w:cs="Calibri"/>
                <w:b/>
                <w:bCs/>
                <w:color w:val="FFFFFF"/>
                <w:sz w:val="22"/>
                <w:szCs w:val="22"/>
              </w:rPr>
              <w:t>MPE</w:t>
            </w:r>
          </w:p>
        </w:tc>
        <w:tc>
          <w:tcPr>
            <w:tcW w:w="1051" w:type="dxa"/>
            <w:tcBorders>
              <w:top w:val="single" w:sz="4" w:space="0" w:color="auto"/>
              <w:left w:val="nil"/>
              <w:bottom w:val="single" w:sz="4" w:space="0" w:color="auto"/>
              <w:right w:val="single" w:sz="4" w:space="0" w:color="FFFFFF"/>
            </w:tcBorders>
            <w:shd w:val="clear" w:color="auto" w:fill="0C2577"/>
            <w:noWrap/>
            <w:vAlign w:val="center"/>
            <w:hideMark/>
          </w:tcPr>
          <w:p w14:paraId="67EC9939" w14:textId="77777777" w:rsidR="00AF60E4" w:rsidRPr="00AF60E4" w:rsidRDefault="00AF60E4" w:rsidP="00AF60E4">
            <w:pPr>
              <w:keepNext/>
              <w:jc w:val="center"/>
              <w:rPr>
                <w:rFonts w:cs="Calibri"/>
                <w:b/>
                <w:bCs/>
                <w:color w:val="FFFFFF"/>
                <w:sz w:val="22"/>
                <w:szCs w:val="22"/>
              </w:rPr>
            </w:pPr>
            <w:r w:rsidRPr="00AF60E4">
              <w:rPr>
                <w:rFonts w:cs="Calibri"/>
                <w:b/>
                <w:bCs/>
                <w:color w:val="FFFFFF"/>
                <w:sz w:val="22"/>
                <w:szCs w:val="22"/>
              </w:rPr>
              <w:t>MAPE</w:t>
            </w:r>
          </w:p>
        </w:tc>
        <w:tc>
          <w:tcPr>
            <w:tcW w:w="1189" w:type="dxa"/>
            <w:tcBorders>
              <w:top w:val="single" w:sz="4" w:space="0" w:color="auto"/>
              <w:left w:val="nil"/>
              <w:bottom w:val="single" w:sz="4" w:space="0" w:color="auto"/>
              <w:right w:val="single" w:sz="4" w:space="0" w:color="auto"/>
            </w:tcBorders>
            <w:shd w:val="clear" w:color="auto" w:fill="0C2577"/>
            <w:vAlign w:val="center"/>
            <w:hideMark/>
          </w:tcPr>
          <w:p w14:paraId="7ABF1052" w14:textId="77777777" w:rsidR="00AF60E4" w:rsidRPr="00AF60E4" w:rsidRDefault="00AF60E4" w:rsidP="00AF60E4">
            <w:pPr>
              <w:keepNext/>
              <w:jc w:val="center"/>
              <w:rPr>
                <w:rFonts w:cs="Calibri"/>
                <w:b/>
                <w:bCs/>
                <w:color w:val="FFFFFF"/>
                <w:sz w:val="22"/>
                <w:szCs w:val="22"/>
              </w:rPr>
            </w:pPr>
            <w:r w:rsidRPr="00AF60E4">
              <w:rPr>
                <w:rFonts w:cs="Calibri"/>
                <w:b/>
                <w:bCs/>
                <w:color w:val="FFFFFF"/>
                <w:sz w:val="22"/>
                <w:szCs w:val="22"/>
              </w:rPr>
              <w:t>Number of Customers</w:t>
            </w:r>
          </w:p>
        </w:tc>
      </w:tr>
      <w:tr w:rsidR="00E043E2" w:rsidRPr="00AF60E4" w14:paraId="5CDA3852" w14:textId="77777777" w:rsidTr="00A46010">
        <w:trPr>
          <w:trHeight w:val="322"/>
          <w:jc w:val="center"/>
        </w:trPr>
        <w:tc>
          <w:tcPr>
            <w:tcW w:w="102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31496B6" w14:textId="77777777" w:rsidR="00E043E2" w:rsidRPr="00AF60E4" w:rsidRDefault="00E043E2" w:rsidP="00E043E2">
            <w:pPr>
              <w:keepNext/>
              <w:jc w:val="center"/>
              <w:rPr>
                <w:rFonts w:ascii="Arial" w:hAnsi="Arial" w:cs="Arial"/>
                <w:color w:val="000000"/>
                <w:sz w:val="20"/>
                <w:szCs w:val="20"/>
              </w:rPr>
            </w:pPr>
            <w:r w:rsidRPr="00AF60E4">
              <w:rPr>
                <w:rFonts w:ascii="Arial" w:hAnsi="Arial" w:cs="Arial"/>
                <w:color w:val="000000"/>
                <w:sz w:val="20"/>
                <w:szCs w:val="20"/>
              </w:rPr>
              <w:t>Weather Sensitive</w:t>
            </w:r>
          </w:p>
        </w:tc>
        <w:tc>
          <w:tcPr>
            <w:tcW w:w="3779" w:type="dxa"/>
            <w:tcBorders>
              <w:top w:val="nil"/>
              <w:left w:val="nil"/>
              <w:bottom w:val="single" w:sz="4" w:space="0" w:color="auto"/>
              <w:right w:val="single" w:sz="4" w:space="0" w:color="auto"/>
            </w:tcBorders>
            <w:shd w:val="clear" w:color="000000" w:fill="FFFFFF"/>
            <w:noWrap/>
            <w:vAlign w:val="center"/>
            <w:hideMark/>
          </w:tcPr>
          <w:p w14:paraId="17E678B8" w14:textId="77777777" w:rsidR="00E043E2" w:rsidRPr="00AF60E4" w:rsidRDefault="00E043E2" w:rsidP="00E043E2">
            <w:pPr>
              <w:keepNext/>
              <w:rPr>
                <w:rFonts w:cs="Calibri"/>
                <w:color w:val="000000"/>
                <w:sz w:val="22"/>
                <w:szCs w:val="22"/>
              </w:rPr>
            </w:pPr>
            <w:r w:rsidRPr="00AF60E4">
              <w:rPr>
                <w:rFonts w:cs="Calibri"/>
                <w:color w:val="000000"/>
                <w:sz w:val="22"/>
                <w:szCs w:val="22"/>
              </w:rPr>
              <w:t>1. Agriculture, Mining, Construction</w:t>
            </w:r>
          </w:p>
        </w:tc>
        <w:tc>
          <w:tcPr>
            <w:tcW w:w="1386" w:type="dxa"/>
            <w:tcBorders>
              <w:top w:val="nil"/>
              <w:left w:val="nil"/>
              <w:bottom w:val="single" w:sz="4" w:space="0" w:color="auto"/>
              <w:right w:val="single" w:sz="4" w:space="0" w:color="auto"/>
            </w:tcBorders>
            <w:shd w:val="clear" w:color="000000" w:fill="FFFFFF"/>
            <w:noWrap/>
            <w:vAlign w:val="center"/>
            <w:hideMark/>
          </w:tcPr>
          <w:p w14:paraId="7FB1F1F2"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7</w:t>
            </w:r>
          </w:p>
        </w:tc>
        <w:tc>
          <w:tcPr>
            <w:tcW w:w="1053" w:type="dxa"/>
            <w:tcBorders>
              <w:top w:val="nil"/>
              <w:left w:val="nil"/>
              <w:bottom w:val="single" w:sz="4" w:space="0" w:color="auto"/>
              <w:right w:val="single" w:sz="4" w:space="0" w:color="auto"/>
            </w:tcBorders>
            <w:shd w:val="clear" w:color="000000" w:fill="FFFFFF"/>
            <w:noWrap/>
            <w:vAlign w:val="center"/>
            <w:hideMark/>
          </w:tcPr>
          <w:p w14:paraId="689BDF93" w14:textId="7B2085DC" w:rsidR="00E043E2" w:rsidRPr="00AF60E4" w:rsidRDefault="00E043E2" w:rsidP="00E043E2">
            <w:pPr>
              <w:keepNext/>
              <w:jc w:val="center"/>
              <w:rPr>
                <w:rFonts w:cs="Calibri"/>
                <w:color w:val="000000"/>
                <w:sz w:val="22"/>
                <w:szCs w:val="22"/>
              </w:rPr>
            </w:pPr>
            <w:r>
              <w:rPr>
                <w:rFonts w:cs="Calibri"/>
                <w:color w:val="000000"/>
                <w:sz w:val="22"/>
                <w:szCs w:val="22"/>
              </w:rPr>
              <w:t>0.6%</w:t>
            </w:r>
          </w:p>
        </w:tc>
        <w:tc>
          <w:tcPr>
            <w:tcW w:w="1051" w:type="dxa"/>
            <w:tcBorders>
              <w:top w:val="nil"/>
              <w:left w:val="nil"/>
              <w:bottom w:val="single" w:sz="4" w:space="0" w:color="auto"/>
              <w:right w:val="single" w:sz="4" w:space="0" w:color="auto"/>
            </w:tcBorders>
            <w:shd w:val="clear" w:color="000000" w:fill="FFFFFF"/>
            <w:noWrap/>
            <w:vAlign w:val="center"/>
            <w:hideMark/>
          </w:tcPr>
          <w:p w14:paraId="3EDD049C" w14:textId="363FEE88"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5.4%</w:t>
            </w:r>
          </w:p>
        </w:tc>
        <w:tc>
          <w:tcPr>
            <w:tcW w:w="1189" w:type="dxa"/>
            <w:tcBorders>
              <w:top w:val="nil"/>
              <w:left w:val="nil"/>
              <w:bottom w:val="single" w:sz="4" w:space="0" w:color="auto"/>
              <w:right w:val="single" w:sz="4" w:space="0" w:color="auto"/>
            </w:tcBorders>
            <w:shd w:val="clear" w:color="000000" w:fill="FFFFFF"/>
            <w:noWrap/>
            <w:vAlign w:val="center"/>
            <w:hideMark/>
          </w:tcPr>
          <w:p w14:paraId="4006B854"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38</w:t>
            </w:r>
          </w:p>
        </w:tc>
      </w:tr>
      <w:tr w:rsidR="00E043E2" w:rsidRPr="00AF60E4" w14:paraId="5C300479"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3AAF7868"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78AB06B8" w14:textId="77777777" w:rsidR="00E043E2" w:rsidRPr="00AF60E4" w:rsidRDefault="00E043E2" w:rsidP="00E043E2">
            <w:pPr>
              <w:keepNext/>
              <w:rPr>
                <w:rFonts w:cs="Calibri"/>
                <w:color w:val="000000"/>
                <w:sz w:val="22"/>
                <w:szCs w:val="22"/>
              </w:rPr>
            </w:pPr>
            <w:r w:rsidRPr="00AF60E4">
              <w:rPr>
                <w:rFonts w:cs="Calibri"/>
                <w:color w:val="000000"/>
                <w:sz w:val="22"/>
                <w:szCs w:val="22"/>
              </w:rPr>
              <w:t>2. Manufacturing</w:t>
            </w:r>
          </w:p>
        </w:tc>
        <w:tc>
          <w:tcPr>
            <w:tcW w:w="1386" w:type="dxa"/>
            <w:tcBorders>
              <w:top w:val="nil"/>
              <w:left w:val="nil"/>
              <w:bottom w:val="single" w:sz="4" w:space="0" w:color="auto"/>
              <w:right w:val="single" w:sz="4" w:space="0" w:color="auto"/>
            </w:tcBorders>
            <w:shd w:val="clear" w:color="000000" w:fill="FFFFFF"/>
            <w:noWrap/>
            <w:vAlign w:val="center"/>
            <w:hideMark/>
          </w:tcPr>
          <w:p w14:paraId="542DB1FC"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3</w:t>
            </w:r>
          </w:p>
        </w:tc>
        <w:tc>
          <w:tcPr>
            <w:tcW w:w="1053" w:type="dxa"/>
            <w:tcBorders>
              <w:top w:val="nil"/>
              <w:left w:val="nil"/>
              <w:bottom w:val="single" w:sz="4" w:space="0" w:color="auto"/>
              <w:right w:val="single" w:sz="4" w:space="0" w:color="auto"/>
            </w:tcBorders>
            <w:shd w:val="clear" w:color="000000" w:fill="FFFFFF"/>
            <w:noWrap/>
            <w:vAlign w:val="center"/>
            <w:hideMark/>
          </w:tcPr>
          <w:p w14:paraId="7811F52C" w14:textId="3D9CA00E" w:rsidR="00E043E2" w:rsidRPr="00AF60E4" w:rsidRDefault="00E043E2" w:rsidP="00E043E2">
            <w:pPr>
              <w:keepNext/>
              <w:jc w:val="center"/>
              <w:rPr>
                <w:rFonts w:cs="Calibri"/>
                <w:color w:val="000000"/>
                <w:sz w:val="22"/>
                <w:szCs w:val="22"/>
              </w:rPr>
            </w:pPr>
            <w:r>
              <w:rPr>
                <w:rFonts w:cs="Calibri"/>
                <w:color w:val="000000"/>
                <w:sz w:val="22"/>
                <w:szCs w:val="22"/>
              </w:rPr>
              <w:t>-0.5%</w:t>
            </w:r>
          </w:p>
        </w:tc>
        <w:tc>
          <w:tcPr>
            <w:tcW w:w="1051" w:type="dxa"/>
            <w:tcBorders>
              <w:top w:val="nil"/>
              <w:left w:val="nil"/>
              <w:bottom w:val="single" w:sz="4" w:space="0" w:color="auto"/>
              <w:right w:val="single" w:sz="4" w:space="0" w:color="auto"/>
            </w:tcBorders>
            <w:shd w:val="clear" w:color="000000" w:fill="FFFFFF"/>
            <w:noWrap/>
            <w:vAlign w:val="center"/>
            <w:hideMark/>
          </w:tcPr>
          <w:p w14:paraId="63F79703" w14:textId="0B336DCC"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1.3%</w:t>
            </w:r>
          </w:p>
        </w:tc>
        <w:tc>
          <w:tcPr>
            <w:tcW w:w="1189" w:type="dxa"/>
            <w:tcBorders>
              <w:top w:val="nil"/>
              <w:left w:val="nil"/>
              <w:bottom w:val="single" w:sz="4" w:space="0" w:color="auto"/>
              <w:right w:val="single" w:sz="4" w:space="0" w:color="auto"/>
            </w:tcBorders>
            <w:shd w:val="clear" w:color="000000" w:fill="FFFFFF"/>
            <w:noWrap/>
            <w:vAlign w:val="center"/>
            <w:hideMark/>
          </w:tcPr>
          <w:p w14:paraId="2C693C03"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21</w:t>
            </w:r>
          </w:p>
        </w:tc>
      </w:tr>
      <w:tr w:rsidR="00E043E2" w:rsidRPr="00AF60E4" w14:paraId="4ADC42EC" w14:textId="77777777" w:rsidTr="00A46010">
        <w:trPr>
          <w:trHeight w:val="307"/>
          <w:jc w:val="center"/>
        </w:trPr>
        <w:tc>
          <w:tcPr>
            <w:tcW w:w="1028" w:type="dxa"/>
            <w:vMerge/>
            <w:tcBorders>
              <w:top w:val="nil"/>
              <w:left w:val="single" w:sz="4" w:space="0" w:color="auto"/>
              <w:bottom w:val="single" w:sz="4" w:space="0" w:color="000000"/>
              <w:right w:val="single" w:sz="4" w:space="0" w:color="auto"/>
            </w:tcBorders>
            <w:vAlign w:val="center"/>
            <w:hideMark/>
          </w:tcPr>
          <w:p w14:paraId="39287771"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607AE997" w14:textId="77777777" w:rsidR="00E043E2" w:rsidRPr="00AF60E4" w:rsidRDefault="00E043E2" w:rsidP="00E043E2">
            <w:pPr>
              <w:keepNext/>
              <w:rPr>
                <w:rFonts w:cs="Calibri"/>
                <w:color w:val="000000"/>
                <w:sz w:val="22"/>
                <w:szCs w:val="22"/>
              </w:rPr>
            </w:pPr>
            <w:r w:rsidRPr="00AF60E4">
              <w:rPr>
                <w:rFonts w:cs="Calibri"/>
                <w:color w:val="000000"/>
                <w:sz w:val="22"/>
                <w:szCs w:val="22"/>
              </w:rPr>
              <w:t>3. Wholesale, Transportation, Utilities</w:t>
            </w:r>
          </w:p>
        </w:tc>
        <w:tc>
          <w:tcPr>
            <w:tcW w:w="1386" w:type="dxa"/>
            <w:tcBorders>
              <w:top w:val="nil"/>
              <w:left w:val="nil"/>
              <w:bottom w:val="single" w:sz="4" w:space="0" w:color="auto"/>
              <w:right w:val="single" w:sz="4" w:space="0" w:color="auto"/>
            </w:tcBorders>
            <w:shd w:val="clear" w:color="000000" w:fill="FFFFFF"/>
            <w:noWrap/>
            <w:vAlign w:val="center"/>
            <w:hideMark/>
          </w:tcPr>
          <w:p w14:paraId="666020E4"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7</w:t>
            </w:r>
          </w:p>
        </w:tc>
        <w:tc>
          <w:tcPr>
            <w:tcW w:w="1053" w:type="dxa"/>
            <w:tcBorders>
              <w:top w:val="nil"/>
              <w:left w:val="nil"/>
              <w:bottom w:val="single" w:sz="4" w:space="0" w:color="auto"/>
              <w:right w:val="single" w:sz="4" w:space="0" w:color="auto"/>
            </w:tcBorders>
            <w:shd w:val="clear" w:color="000000" w:fill="FFFFFF"/>
            <w:noWrap/>
            <w:vAlign w:val="center"/>
            <w:hideMark/>
          </w:tcPr>
          <w:p w14:paraId="10DABF45" w14:textId="7C464E69" w:rsidR="00E043E2" w:rsidRPr="00AF60E4" w:rsidRDefault="00E043E2" w:rsidP="00E043E2">
            <w:pPr>
              <w:keepNext/>
              <w:jc w:val="center"/>
              <w:rPr>
                <w:rFonts w:cs="Calibri"/>
                <w:color w:val="000000"/>
                <w:sz w:val="22"/>
                <w:szCs w:val="22"/>
              </w:rPr>
            </w:pPr>
            <w:r>
              <w:rPr>
                <w:rFonts w:cs="Calibri"/>
                <w:color w:val="000000"/>
                <w:sz w:val="22"/>
                <w:szCs w:val="22"/>
              </w:rPr>
              <w:t>0.0%</w:t>
            </w:r>
          </w:p>
        </w:tc>
        <w:tc>
          <w:tcPr>
            <w:tcW w:w="1051" w:type="dxa"/>
            <w:tcBorders>
              <w:top w:val="nil"/>
              <w:left w:val="nil"/>
              <w:bottom w:val="single" w:sz="4" w:space="0" w:color="auto"/>
              <w:right w:val="single" w:sz="4" w:space="0" w:color="auto"/>
            </w:tcBorders>
            <w:shd w:val="clear" w:color="000000" w:fill="FFFFFF"/>
            <w:noWrap/>
            <w:vAlign w:val="center"/>
            <w:hideMark/>
          </w:tcPr>
          <w:p w14:paraId="32E877E2" w14:textId="6480DA8F"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4.0%</w:t>
            </w:r>
          </w:p>
        </w:tc>
        <w:tc>
          <w:tcPr>
            <w:tcW w:w="1189" w:type="dxa"/>
            <w:tcBorders>
              <w:top w:val="nil"/>
              <w:left w:val="nil"/>
              <w:bottom w:val="single" w:sz="4" w:space="0" w:color="auto"/>
              <w:right w:val="single" w:sz="4" w:space="0" w:color="auto"/>
            </w:tcBorders>
            <w:shd w:val="clear" w:color="000000" w:fill="FFFFFF"/>
            <w:noWrap/>
            <w:vAlign w:val="center"/>
            <w:hideMark/>
          </w:tcPr>
          <w:p w14:paraId="1B4BED53"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20</w:t>
            </w:r>
          </w:p>
        </w:tc>
      </w:tr>
      <w:tr w:rsidR="00E043E2" w:rsidRPr="00AF60E4" w14:paraId="35FC6A86"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7F00334B"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45BCC31A" w14:textId="77777777" w:rsidR="00E043E2" w:rsidRPr="00AF60E4" w:rsidRDefault="00E043E2" w:rsidP="00E043E2">
            <w:pPr>
              <w:keepNext/>
              <w:rPr>
                <w:rFonts w:cs="Calibri"/>
                <w:color w:val="000000"/>
                <w:sz w:val="22"/>
                <w:szCs w:val="22"/>
              </w:rPr>
            </w:pPr>
            <w:r w:rsidRPr="00AF60E4">
              <w:rPr>
                <w:rFonts w:cs="Calibri"/>
                <w:color w:val="000000"/>
                <w:sz w:val="22"/>
                <w:szCs w:val="22"/>
              </w:rPr>
              <w:t>4. Retail</w:t>
            </w:r>
          </w:p>
        </w:tc>
        <w:tc>
          <w:tcPr>
            <w:tcW w:w="1386" w:type="dxa"/>
            <w:tcBorders>
              <w:top w:val="nil"/>
              <w:left w:val="nil"/>
              <w:bottom w:val="single" w:sz="4" w:space="0" w:color="auto"/>
              <w:right w:val="single" w:sz="4" w:space="0" w:color="auto"/>
            </w:tcBorders>
            <w:shd w:val="clear" w:color="000000" w:fill="FFFFFF"/>
            <w:noWrap/>
            <w:vAlign w:val="center"/>
            <w:hideMark/>
          </w:tcPr>
          <w:p w14:paraId="759583D9"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3</w:t>
            </w:r>
          </w:p>
        </w:tc>
        <w:tc>
          <w:tcPr>
            <w:tcW w:w="1053" w:type="dxa"/>
            <w:tcBorders>
              <w:top w:val="nil"/>
              <w:left w:val="nil"/>
              <w:bottom w:val="single" w:sz="4" w:space="0" w:color="auto"/>
              <w:right w:val="single" w:sz="4" w:space="0" w:color="auto"/>
            </w:tcBorders>
            <w:shd w:val="clear" w:color="000000" w:fill="FFFFFF"/>
            <w:noWrap/>
            <w:vAlign w:val="center"/>
            <w:hideMark/>
          </w:tcPr>
          <w:p w14:paraId="03F02002" w14:textId="3F3195F1" w:rsidR="00E043E2" w:rsidRPr="00AF60E4" w:rsidRDefault="00E043E2" w:rsidP="00E043E2">
            <w:pPr>
              <w:keepNext/>
              <w:jc w:val="center"/>
              <w:rPr>
                <w:rFonts w:cs="Calibri"/>
                <w:color w:val="000000"/>
                <w:sz w:val="22"/>
                <w:szCs w:val="22"/>
              </w:rPr>
            </w:pPr>
            <w:r>
              <w:rPr>
                <w:rFonts w:cs="Calibri"/>
                <w:color w:val="000000"/>
                <w:sz w:val="22"/>
                <w:szCs w:val="22"/>
              </w:rPr>
              <w:t>0.0%</w:t>
            </w:r>
          </w:p>
        </w:tc>
        <w:tc>
          <w:tcPr>
            <w:tcW w:w="1051" w:type="dxa"/>
            <w:tcBorders>
              <w:top w:val="nil"/>
              <w:left w:val="nil"/>
              <w:bottom w:val="single" w:sz="4" w:space="0" w:color="auto"/>
              <w:right w:val="single" w:sz="4" w:space="0" w:color="auto"/>
            </w:tcBorders>
            <w:shd w:val="clear" w:color="000000" w:fill="FFFFFF"/>
            <w:noWrap/>
            <w:vAlign w:val="center"/>
            <w:hideMark/>
          </w:tcPr>
          <w:p w14:paraId="2E08B017" w14:textId="224DFF38"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0.8%</w:t>
            </w:r>
          </w:p>
        </w:tc>
        <w:tc>
          <w:tcPr>
            <w:tcW w:w="1189" w:type="dxa"/>
            <w:tcBorders>
              <w:top w:val="nil"/>
              <w:left w:val="nil"/>
              <w:bottom w:val="single" w:sz="4" w:space="0" w:color="auto"/>
              <w:right w:val="single" w:sz="4" w:space="0" w:color="auto"/>
            </w:tcBorders>
            <w:shd w:val="clear" w:color="000000" w:fill="FFFFFF"/>
            <w:noWrap/>
            <w:vAlign w:val="center"/>
            <w:hideMark/>
          </w:tcPr>
          <w:p w14:paraId="1E582126"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9</w:t>
            </w:r>
          </w:p>
        </w:tc>
      </w:tr>
      <w:tr w:rsidR="00E043E2" w:rsidRPr="00AF60E4" w14:paraId="16B4C2DB"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2F8F679B"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2B865F61" w14:textId="77777777" w:rsidR="00E043E2" w:rsidRPr="00AF60E4" w:rsidRDefault="00E043E2" w:rsidP="00E043E2">
            <w:pPr>
              <w:keepNext/>
              <w:rPr>
                <w:rFonts w:cs="Calibri"/>
                <w:color w:val="000000"/>
                <w:sz w:val="22"/>
                <w:szCs w:val="22"/>
              </w:rPr>
            </w:pPr>
            <w:r w:rsidRPr="00AF60E4">
              <w:rPr>
                <w:rFonts w:cs="Calibri"/>
                <w:color w:val="000000"/>
                <w:sz w:val="22"/>
                <w:szCs w:val="22"/>
              </w:rPr>
              <w:t>5. Offices, Hotels, Health, Services</w:t>
            </w:r>
          </w:p>
        </w:tc>
        <w:tc>
          <w:tcPr>
            <w:tcW w:w="1386" w:type="dxa"/>
            <w:tcBorders>
              <w:top w:val="nil"/>
              <w:left w:val="nil"/>
              <w:bottom w:val="single" w:sz="4" w:space="0" w:color="auto"/>
              <w:right w:val="single" w:sz="4" w:space="0" w:color="auto"/>
            </w:tcBorders>
            <w:shd w:val="clear" w:color="000000" w:fill="FFFFFF"/>
            <w:noWrap/>
            <w:vAlign w:val="center"/>
            <w:hideMark/>
          </w:tcPr>
          <w:p w14:paraId="5D05DD4F"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1</w:t>
            </w:r>
          </w:p>
        </w:tc>
        <w:tc>
          <w:tcPr>
            <w:tcW w:w="1053" w:type="dxa"/>
            <w:tcBorders>
              <w:top w:val="nil"/>
              <w:left w:val="nil"/>
              <w:bottom w:val="single" w:sz="4" w:space="0" w:color="auto"/>
              <w:right w:val="single" w:sz="4" w:space="0" w:color="auto"/>
            </w:tcBorders>
            <w:shd w:val="clear" w:color="000000" w:fill="FFFFFF"/>
            <w:noWrap/>
            <w:vAlign w:val="center"/>
            <w:hideMark/>
          </w:tcPr>
          <w:p w14:paraId="45080E12" w14:textId="5E239DE2" w:rsidR="00E043E2" w:rsidRPr="00AF60E4" w:rsidRDefault="00E043E2" w:rsidP="00E043E2">
            <w:pPr>
              <w:keepNext/>
              <w:jc w:val="center"/>
              <w:rPr>
                <w:rFonts w:cs="Calibri"/>
                <w:color w:val="000000"/>
                <w:sz w:val="22"/>
                <w:szCs w:val="22"/>
              </w:rPr>
            </w:pPr>
            <w:r>
              <w:rPr>
                <w:rFonts w:cs="Calibri"/>
                <w:color w:val="000000"/>
                <w:sz w:val="22"/>
                <w:szCs w:val="22"/>
              </w:rPr>
              <w:t>0.0%</w:t>
            </w:r>
          </w:p>
        </w:tc>
        <w:tc>
          <w:tcPr>
            <w:tcW w:w="1051" w:type="dxa"/>
            <w:tcBorders>
              <w:top w:val="nil"/>
              <w:left w:val="nil"/>
              <w:bottom w:val="single" w:sz="4" w:space="0" w:color="auto"/>
              <w:right w:val="single" w:sz="4" w:space="0" w:color="auto"/>
            </w:tcBorders>
            <w:shd w:val="clear" w:color="000000" w:fill="FFFFFF"/>
            <w:noWrap/>
            <w:vAlign w:val="center"/>
            <w:hideMark/>
          </w:tcPr>
          <w:p w14:paraId="6110915E" w14:textId="44A55308"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2.2%</w:t>
            </w:r>
          </w:p>
        </w:tc>
        <w:tc>
          <w:tcPr>
            <w:tcW w:w="1189" w:type="dxa"/>
            <w:tcBorders>
              <w:top w:val="nil"/>
              <w:left w:val="nil"/>
              <w:bottom w:val="single" w:sz="4" w:space="0" w:color="auto"/>
              <w:right w:val="single" w:sz="4" w:space="0" w:color="auto"/>
            </w:tcBorders>
            <w:shd w:val="clear" w:color="000000" w:fill="FFFFFF"/>
            <w:noWrap/>
            <w:vAlign w:val="center"/>
            <w:hideMark/>
          </w:tcPr>
          <w:p w14:paraId="53A5B244"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14</w:t>
            </w:r>
          </w:p>
        </w:tc>
      </w:tr>
      <w:tr w:rsidR="00E043E2" w:rsidRPr="00AF60E4" w14:paraId="03ABE620"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2FA41178"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443EEE21" w14:textId="01E49B7A" w:rsidR="00E043E2" w:rsidRPr="00AF60E4" w:rsidRDefault="00E043E2" w:rsidP="00E043E2">
            <w:pPr>
              <w:keepNext/>
              <w:rPr>
                <w:rFonts w:cs="Calibri"/>
                <w:color w:val="000000"/>
                <w:sz w:val="22"/>
                <w:szCs w:val="22"/>
              </w:rPr>
            </w:pPr>
            <w:r w:rsidRPr="00AF60E4">
              <w:rPr>
                <w:rFonts w:cs="Calibri"/>
                <w:color w:val="000000"/>
                <w:sz w:val="22"/>
                <w:szCs w:val="22"/>
              </w:rPr>
              <w:t xml:space="preserve">7. </w:t>
            </w:r>
            <w:r w:rsidR="00ED3E97">
              <w:rPr>
                <w:rFonts w:cs="Calibri"/>
                <w:color w:val="000000"/>
                <w:sz w:val="22"/>
                <w:szCs w:val="22"/>
              </w:rPr>
              <w:t>Institutional/Government</w:t>
            </w:r>
          </w:p>
        </w:tc>
        <w:tc>
          <w:tcPr>
            <w:tcW w:w="1386" w:type="dxa"/>
            <w:tcBorders>
              <w:top w:val="nil"/>
              <w:left w:val="nil"/>
              <w:bottom w:val="single" w:sz="4" w:space="0" w:color="auto"/>
              <w:right w:val="single" w:sz="4" w:space="0" w:color="auto"/>
            </w:tcBorders>
            <w:shd w:val="clear" w:color="000000" w:fill="FFFFFF"/>
            <w:noWrap/>
            <w:vAlign w:val="center"/>
            <w:hideMark/>
          </w:tcPr>
          <w:p w14:paraId="3D42310B"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5</w:t>
            </w:r>
          </w:p>
        </w:tc>
        <w:tc>
          <w:tcPr>
            <w:tcW w:w="1053" w:type="dxa"/>
            <w:tcBorders>
              <w:top w:val="nil"/>
              <w:left w:val="nil"/>
              <w:bottom w:val="single" w:sz="4" w:space="0" w:color="auto"/>
              <w:right w:val="single" w:sz="4" w:space="0" w:color="auto"/>
            </w:tcBorders>
            <w:shd w:val="clear" w:color="000000" w:fill="FFFFFF"/>
            <w:noWrap/>
            <w:vAlign w:val="center"/>
            <w:hideMark/>
          </w:tcPr>
          <w:p w14:paraId="2F6050A8" w14:textId="63A89482" w:rsidR="00E043E2" w:rsidRPr="00AF60E4" w:rsidRDefault="00E043E2" w:rsidP="00E043E2">
            <w:pPr>
              <w:keepNext/>
              <w:jc w:val="center"/>
              <w:rPr>
                <w:rFonts w:cs="Calibri"/>
                <w:color w:val="000000"/>
                <w:sz w:val="22"/>
                <w:szCs w:val="22"/>
              </w:rPr>
            </w:pPr>
            <w:r>
              <w:rPr>
                <w:rFonts w:cs="Calibri"/>
                <w:color w:val="000000"/>
                <w:sz w:val="22"/>
                <w:szCs w:val="22"/>
              </w:rPr>
              <w:t>0.0%</w:t>
            </w:r>
          </w:p>
        </w:tc>
        <w:tc>
          <w:tcPr>
            <w:tcW w:w="1051" w:type="dxa"/>
            <w:tcBorders>
              <w:top w:val="nil"/>
              <w:left w:val="nil"/>
              <w:bottom w:val="single" w:sz="4" w:space="0" w:color="auto"/>
              <w:right w:val="single" w:sz="4" w:space="0" w:color="auto"/>
            </w:tcBorders>
            <w:shd w:val="clear" w:color="000000" w:fill="FFFFFF"/>
            <w:noWrap/>
            <w:vAlign w:val="center"/>
            <w:hideMark/>
          </w:tcPr>
          <w:p w14:paraId="1D0318D2" w14:textId="669E89B8"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3.1%</w:t>
            </w:r>
          </w:p>
        </w:tc>
        <w:tc>
          <w:tcPr>
            <w:tcW w:w="1189" w:type="dxa"/>
            <w:tcBorders>
              <w:top w:val="nil"/>
              <w:left w:val="nil"/>
              <w:bottom w:val="single" w:sz="4" w:space="0" w:color="auto"/>
              <w:right w:val="single" w:sz="4" w:space="0" w:color="auto"/>
            </w:tcBorders>
            <w:shd w:val="clear" w:color="000000" w:fill="FFFFFF"/>
            <w:noWrap/>
            <w:vAlign w:val="center"/>
            <w:hideMark/>
          </w:tcPr>
          <w:p w14:paraId="1ADBF753"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4</w:t>
            </w:r>
          </w:p>
        </w:tc>
      </w:tr>
      <w:tr w:rsidR="00E043E2" w:rsidRPr="00AF60E4" w14:paraId="29BC4BCB"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74A80B3A"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6DC39359" w14:textId="77777777" w:rsidR="00E043E2" w:rsidRPr="00AF60E4" w:rsidRDefault="00E043E2" w:rsidP="00E043E2">
            <w:pPr>
              <w:keepNext/>
              <w:rPr>
                <w:rFonts w:cs="Calibri"/>
                <w:color w:val="000000"/>
                <w:sz w:val="22"/>
                <w:szCs w:val="22"/>
              </w:rPr>
            </w:pPr>
            <w:r w:rsidRPr="00AF60E4">
              <w:rPr>
                <w:rFonts w:cs="Calibri"/>
                <w:color w:val="000000"/>
                <w:sz w:val="22"/>
                <w:szCs w:val="22"/>
              </w:rPr>
              <w:t>8. Other</w:t>
            </w:r>
          </w:p>
        </w:tc>
        <w:tc>
          <w:tcPr>
            <w:tcW w:w="1386" w:type="dxa"/>
            <w:tcBorders>
              <w:top w:val="nil"/>
              <w:left w:val="nil"/>
              <w:bottom w:val="single" w:sz="4" w:space="0" w:color="auto"/>
              <w:right w:val="single" w:sz="4" w:space="0" w:color="auto"/>
            </w:tcBorders>
            <w:shd w:val="clear" w:color="000000" w:fill="FFFFFF"/>
            <w:noWrap/>
            <w:vAlign w:val="center"/>
            <w:hideMark/>
          </w:tcPr>
          <w:p w14:paraId="02F8B11A"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5</w:t>
            </w:r>
          </w:p>
        </w:tc>
        <w:tc>
          <w:tcPr>
            <w:tcW w:w="1053" w:type="dxa"/>
            <w:tcBorders>
              <w:top w:val="nil"/>
              <w:left w:val="nil"/>
              <w:bottom w:val="single" w:sz="4" w:space="0" w:color="auto"/>
              <w:right w:val="single" w:sz="4" w:space="0" w:color="auto"/>
            </w:tcBorders>
            <w:shd w:val="clear" w:color="000000" w:fill="FFFFFF"/>
            <w:noWrap/>
            <w:vAlign w:val="center"/>
            <w:hideMark/>
          </w:tcPr>
          <w:p w14:paraId="19AED7FD" w14:textId="523FA169" w:rsidR="00E043E2" w:rsidRPr="00AF60E4" w:rsidRDefault="00E043E2" w:rsidP="00E043E2">
            <w:pPr>
              <w:keepNext/>
              <w:jc w:val="center"/>
              <w:rPr>
                <w:rFonts w:cs="Calibri"/>
                <w:color w:val="000000"/>
                <w:sz w:val="22"/>
                <w:szCs w:val="22"/>
              </w:rPr>
            </w:pPr>
            <w:r>
              <w:rPr>
                <w:rFonts w:cs="Calibri"/>
                <w:color w:val="000000"/>
                <w:sz w:val="22"/>
                <w:szCs w:val="22"/>
              </w:rPr>
              <w:t>-0.7%</w:t>
            </w:r>
          </w:p>
        </w:tc>
        <w:tc>
          <w:tcPr>
            <w:tcW w:w="1051" w:type="dxa"/>
            <w:tcBorders>
              <w:top w:val="nil"/>
              <w:left w:val="nil"/>
              <w:bottom w:val="single" w:sz="4" w:space="0" w:color="auto"/>
              <w:right w:val="single" w:sz="4" w:space="0" w:color="auto"/>
            </w:tcBorders>
            <w:shd w:val="clear" w:color="000000" w:fill="FFFFFF"/>
            <w:noWrap/>
            <w:vAlign w:val="center"/>
            <w:hideMark/>
          </w:tcPr>
          <w:p w14:paraId="63A0B876" w14:textId="621481BB"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2.6%</w:t>
            </w:r>
          </w:p>
        </w:tc>
        <w:tc>
          <w:tcPr>
            <w:tcW w:w="1189" w:type="dxa"/>
            <w:tcBorders>
              <w:top w:val="nil"/>
              <w:left w:val="nil"/>
              <w:bottom w:val="single" w:sz="4" w:space="0" w:color="auto"/>
              <w:right w:val="single" w:sz="4" w:space="0" w:color="auto"/>
            </w:tcBorders>
            <w:shd w:val="clear" w:color="000000" w:fill="FFFFFF"/>
            <w:noWrap/>
            <w:vAlign w:val="center"/>
            <w:hideMark/>
          </w:tcPr>
          <w:p w14:paraId="27D17683"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1</w:t>
            </w:r>
          </w:p>
        </w:tc>
      </w:tr>
      <w:tr w:rsidR="00E043E2" w:rsidRPr="00AF60E4" w14:paraId="5DD7856C" w14:textId="77777777" w:rsidTr="00A46010">
        <w:trPr>
          <w:trHeight w:val="263"/>
          <w:jc w:val="center"/>
        </w:trPr>
        <w:tc>
          <w:tcPr>
            <w:tcW w:w="102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7B47A2C" w14:textId="77777777" w:rsidR="00E043E2" w:rsidRPr="00AF60E4" w:rsidRDefault="00E043E2" w:rsidP="00E043E2">
            <w:pPr>
              <w:keepNext/>
              <w:jc w:val="center"/>
              <w:rPr>
                <w:rFonts w:ascii="Arial" w:hAnsi="Arial" w:cs="Arial"/>
                <w:color w:val="000000"/>
                <w:sz w:val="20"/>
                <w:szCs w:val="20"/>
              </w:rPr>
            </w:pPr>
            <w:r w:rsidRPr="00AF60E4">
              <w:rPr>
                <w:rFonts w:ascii="Arial" w:hAnsi="Arial" w:cs="Arial"/>
                <w:color w:val="000000"/>
                <w:sz w:val="20"/>
                <w:szCs w:val="20"/>
              </w:rPr>
              <w:t>Non-Weather Sensitive</w:t>
            </w:r>
          </w:p>
        </w:tc>
        <w:tc>
          <w:tcPr>
            <w:tcW w:w="3779" w:type="dxa"/>
            <w:tcBorders>
              <w:top w:val="nil"/>
              <w:left w:val="nil"/>
              <w:bottom w:val="single" w:sz="4" w:space="0" w:color="auto"/>
              <w:right w:val="single" w:sz="4" w:space="0" w:color="auto"/>
            </w:tcBorders>
            <w:shd w:val="clear" w:color="000000" w:fill="FFFFFF"/>
            <w:noWrap/>
            <w:vAlign w:val="center"/>
            <w:hideMark/>
          </w:tcPr>
          <w:p w14:paraId="21BFB224" w14:textId="77777777" w:rsidR="00E043E2" w:rsidRPr="00AF60E4" w:rsidRDefault="00E043E2" w:rsidP="00E043E2">
            <w:pPr>
              <w:keepNext/>
              <w:rPr>
                <w:rFonts w:cs="Calibri"/>
                <w:color w:val="000000"/>
                <w:sz w:val="22"/>
                <w:szCs w:val="22"/>
              </w:rPr>
            </w:pPr>
            <w:r w:rsidRPr="00AF60E4">
              <w:rPr>
                <w:rFonts w:cs="Calibri"/>
                <w:color w:val="000000"/>
                <w:sz w:val="22"/>
                <w:szCs w:val="22"/>
              </w:rPr>
              <w:t>1. Agriculture, Mining, Construction</w:t>
            </w:r>
          </w:p>
        </w:tc>
        <w:tc>
          <w:tcPr>
            <w:tcW w:w="1386" w:type="dxa"/>
            <w:tcBorders>
              <w:top w:val="nil"/>
              <w:left w:val="nil"/>
              <w:bottom w:val="single" w:sz="4" w:space="0" w:color="auto"/>
              <w:right w:val="single" w:sz="4" w:space="0" w:color="auto"/>
            </w:tcBorders>
            <w:shd w:val="clear" w:color="000000" w:fill="FFFFFF"/>
            <w:noWrap/>
            <w:vAlign w:val="center"/>
            <w:hideMark/>
          </w:tcPr>
          <w:p w14:paraId="5221E5D8"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1</w:t>
            </w:r>
          </w:p>
        </w:tc>
        <w:tc>
          <w:tcPr>
            <w:tcW w:w="1053" w:type="dxa"/>
            <w:tcBorders>
              <w:top w:val="nil"/>
              <w:left w:val="nil"/>
              <w:bottom w:val="single" w:sz="4" w:space="0" w:color="auto"/>
              <w:right w:val="single" w:sz="4" w:space="0" w:color="auto"/>
            </w:tcBorders>
            <w:shd w:val="clear" w:color="000000" w:fill="FFFFFF"/>
            <w:noWrap/>
            <w:vAlign w:val="center"/>
            <w:hideMark/>
          </w:tcPr>
          <w:p w14:paraId="797B7658" w14:textId="7153A87E" w:rsidR="00E043E2" w:rsidRPr="00AF60E4" w:rsidRDefault="00E043E2" w:rsidP="00E043E2">
            <w:pPr>
              <w:keepNext/>
              <w:jc w:val="center"/>
              <w:rPr>
                <w:rFonts w:cs="Calibri"/>
                <w:color w:val="000000"/>
                <w:sz w:val="22"/>
                <w:szCs w:val="22"/>
              </w:rPr>
            </w:pPr>
            <w:r>
              <w:rPr>
                <w:rFonts w:cs="Calibri"/>
                <w:color w:val="000000"/>
                <w:sz w:val="22"/>
                <w:szCs w:val="22"/>
              </w:rPr>
              <w:t>0.0%</w:t>
            </w:r>
          </w:p>
        </w:tc>
        <w:tc>
          <w:tcPr>
            <w:tcW w:w="1051" w:type="dxa"/>
            <w:tcBorders>
              <w:top w:val="nil"/>
              <w:left w:val="nil"/>
              <w:bottom w:val="single" w:sz="4" w:space="0" w:color="auto"/>
              <w:right w:val="single" w:sz="4" w:space="0" w:color="auto"/>
            </w:tcBorders>
            <w:shd w:val="clear" w:color="000000" w:fill="FFFFFF"/>
            <w:noWrap/>
            <w:vAlign w:val="center"/>
            <w:hideMark/>
          </w:tcPr>
          <w:p w14:paraId="1077F6DF" w14:textId="43F2CF73"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2.1%</w:t>
            </w:r>
          </w:p>
        </w:tc>
        <w:tc>
          <w:tcPr>
            <w:tcW w:w="1189" w:type="dxa"/>
            <w:tcBorders>
              <w:top w:val="nil"/>
              <w:left w:val="nil"/>
              <w:bottom w:val="single" w:sz="4" w:space="0" w:color="auto"/>
              <w:right w:val="single" w:sz="4" w:space="0" w:color="auto"/>
            </w:tcBorders>
            <w:shd w:val="clear" w:color="000000" w:fill="FFFFFF"/>
            <w:noWrap/>
            <w:vAlign w:val="center"/>
            <w:hideMark/>
          </w:tcPr>
          <w:p w14:paraId="654687E0"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88</w:t>
            </w:r>
          </w:p>
        </w:tc>
      </w:tr>
      <w:tr w:rsidR="00E043E2" w:rsidRPr="00AF60E4" w14:paraId="7A05F84E"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30267367"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4E25F0DD" w14:textId="77777777" w:rsidR="00E043E2" w:rsidRPr="00AF60E4" w:rsidRDefault="00E043E2" w:rsidP="00E043E2">
            <w:pPr>
              <w:keepNext/>
              <w:rPr>
                <w:rFonts w:cs="Calibri"/>
                <w:color w:val="000000"/>
                <w:sz w:val="22"/>
                <w:szCs w:val="22"/>
              </w:rPr>
            </w:pPr>
            <w:r w:rsidRPr="00AF60E4">
              <w:rPr>
                <w:rFonts w:cs="Calibri"/>
                <w:color w:val="000000"/>
                <w:sz w:val="22"/>
                <w:szCs w:val="22"/>
              </w:rPr>
              <w:t>2. Manufacturing</w:t>
            </w:r>
          </w:p>
        </w:tc>
        <w:tc>
          <w:tcPr>
            <w:tcW w:w="1386" w:type="dxa"/>
            <w:tcBorders>
              <w:top w:val="nil"/>
              <w:left w:val="nil"/>
              <w:bottom w:val="single" w:sz="4" w:space="0" w:color="auto"/>
              <w:right w:val="single" w:sz="4" w:space="0" w:color="auto"/>
            </w:tcBorders>
            <w:shd w:val="clear" w:color="000000" w:fill="FFFFFF"/>
            <w:noWrap/>
            <w:vAlign w:val="center"/>
            <w:hideMark/>
          </w:tcPr>
          <w:p w14:paraId="20961BD7"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1</w:t>
            </w:r>
          </w:p>
        </w:tc>
        <w:tc>
          <w:tcPr>
            <w:tcW w:w="1053" w:type="dxa"/>
            <w:tcBorders>
              <w:top w:val="nil"/>
              <w:left w:val="nil"/>
              <w:bottom w:val="single" w:sz="4" w:space="0" w:color="auto"/>
              <w:right w:val="single" w:sz="4" w:space="0" w:color="auto"/>
            </w:tcBorders>
            <w:shd w:val="clear" w:color="000000" w:fill="FFFFFF"/>
            <w:noWrap/>
            <w:vAlign w:val="center"/>
            <w:hideMark/>
          </w:tcPr>
          <w:p w14:paraId="39B6BA82" w14:textId="7B76723F" w:rsidR="00E043E2" w:rsidRPr="00AF60E4" w:rsidRDefault="00E043E2" w:rsidP="00E043E2">
            <w:pPr>
              <w:keepNext/>
              <w:jc w:val="center"/>
              <w:rPr>
                <w:rFonts w:cs="Calibri"/>
                <w:color w:val="000000"/>
                <w:sz w:val="22"/>
                <w:szCs w:val="22"/>
              </w:rPr>
            </w:pPr>
            <w:r>
              <w:rPr>
                <w:rFonts w:cs="Calibri"/>
                <w:color w:val="000000"/>
                <w:sz w:val="22"/>
                <w:szCs w:val="22"/>
              </w:rPr>
              <w:t>-0.5%</w:t>
            </w:r>
          </w:p>
        </w:tc>
        <w:tc>
          <w:tcPr>
            <w:tcW w:w="1051" w:type="dxa"/>
            <w:tcBorders>
              <w:top w:val="nil"/>
              <w:left w:val="nil"/>
              <w:bottom w:val="single" w:sz="4" w:space="0" w:color="auto"/>
              <w:right w:val="single" w:sz="4" w:space="0" w:color="auto"/>
            </w:tcBorders>
            <w:shd w:val="clear" w:color="000000" w:fill="FFFFFF"/>
            <w:noWrap/>
            <w:vAlign w:val="center"/>
            <w:hideMark/>
          </w:tcPr>
          <w:p w14:paraId="321DD7EE" w14:textId="3563877B"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2.9%</w:t>
            </w:r>
          </w:p>
        </w:tc>
        <w:tc>
          <w:tcPr>
            <w:tcW w:w="1189" w:type="dxa"/>
            <w:tcBorders>
              <w:top w:val="nil"/>
              <w:left w:val="nil"/>
              <w:bottom w:val="single" w:sz="4" w:space="0" w:color="auto"/>
              <w:right w:val="single" w:sz="4" w:space="0" w:color="auto"/>
            </w:tcBorders>
            <w:shd w:val="clear" w:color="000000" w:fill="FFFFFF"/>
            <w:noWrap/>
            <w:vAlign w:val="center"/>
            <w:hideMark/>
          </w:tcPr>
          <w:p w14:paraId="3DF1A2F9"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74</w:t>
            </w:r>
          </w:p>
        </w:tc>
      </w:tr>
      <w:tr w:rsidR="00E043E2" w:rsidRPr="00AF60E4" w14:paraId="1F08D7A6" w14:textId="77777777" w:rsidTr="00A46010">
        <w:trPr>
          <w:trHeight w:val="307"/>
          <w:jc w:val="center"/>
        </w:trPr>
        <w:tc>
          <w:tcPr>
            <w:tcW w:w="1028" w:type="dxa"/>
            <w:vMerge/>
            <w:tcBorders>
              <w:top w:val="nil"/>
              <w:left w:val="single" w:sz="4" w:space="0" w:color="auto"/>
              <w:bottom w:val="single" w:sz="4" w:space="0" w:color="000000"/>
              <w:right w:val="single" w:sz="4" w:space="0" w:color="auto"/>
            </w:tcBorders>
            <w:vAlign w:val="center"/>
            <w:hideMark/>
          </w:tcPr>
          <w:p w14:paraId="5213BDF9"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5A6BDA30" w14:textId="77777777" w:rsidR="00E043E2" w:rsidRPr="00AF60E4" w:rsidRDefault="00E043E2" w:rsidP="00E043E2">
            <w:pPr>
              <w:keepNext/>
              <w:rPr>
                <w:rFonts w:cs="Calibri"/>
                <w:color w:val="000000"/>
                <w:sz w:val="22"/>
                <w:szCs w:val="22"/>
              </w:rPr>
            </w:pPr>
            <w:r w:rsidRPr="00AF60E4">
              <w:rPr>
                <w:rFonts w:cs="Calibri"/>
                <w:color w:val="000000"/>
                <w:sz w:val="22"/>
                <w:szCs w:val="22"/>
              </w:rPr>
              <w:t>3. Wholesale, Transportation, Utilities</w:t>
            </w:r>
          </w:p>
        </w:tc>
        <w:tc>
          <w:tcPr>
            <w:tcW w:w="1386" w:type="dxa"/>
            <w:tcBorders>
              <w:top w:val="nil"/>
              <w:left w:val="nil"/>
              <w:bottom w:val="single" w:sz="4" w:space="0" w:color="auto"/>
              <w:right w:val="single" w:sz="4" w:space="0" w:color="auto"/>
            </w:tcBorders>
            <w:shd w:val="clear" w:color="000000" w:fill="FFFFFF"/>
            <w:noWrap/>
            <w:vAlign w:val="center"/>
            <w:hideMark/>
          </w:tcPr>
          <w:p w14:paraId="769E5061"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1</w:t>
            </w:r>
          </w:p>
        </w:tc>
        <w:tc>
          <w:tcPr>
            <w:tcW w:w="1053" w:type="dxa"/>
            <w:tcBorders>
              <w:top w:val="nil"/>
              <w:left w:val="nil"/>
              <w:bottom w:val="single" w:sz="4" w:space="0" w:color="auto"/>
              <w:right w:val="single" w:sz="4" w:space="0" w:color="auto"/>
            </w:tcBorders>
            <w:shd w:val="clear" w:color="000000" w:fill="FFFFFF"/>
            <w:noWrap/>
            <w:vAlign w:val="center"/>
            <w:hideMark/>
          </w:tcPr>
          <w:p w14:paraId="327E9D7D" w14:textId="3A3D1EFF" w:rsidR="00E043E2" w:rsidRPr="00AF60E4" w:rsidRDefault="00E043E2" w:rsidP="00E043E2">
            <w:pPr>
              <w:keepNext/>
              <w:jc w:val="center"/>
              <w:rPr>
                <w:rFonts w:cs="Calibri"/>
                <w:color w:val="000000"/>
                <w:sz w:val="22"/>
                <w:szCs w:val="22"/>
              </w:rPr>
            </w:pPr>
            <w:r>
              <w:rPr>
                <w:rFonts w:cs="Calibri"/>
                <w:color w:val="000000"/>
                <w:sz w:val="22"/>
                <w:szCs w:val="22"/>
              </w:rPr>
              <w:t>0.3%</w:t>
            </w:r>
          </w:p>
        </w:tc>
        <w:tc>
          <w:tcPr>
            <w:tcW w:w="1051" w:type="dxa"/>
            <w:tcBorders>
              <w:top w:val="nil"/>
              <w:left w:val="nil"/>
              <w:bottom w:val="single" w:sz="4" w:space="0" w:color="auto"/>
              <w:right w:val="single" w:sz="4" w:space="0" w:color="auto"/>
            </w:tcBorders>
            <w:shd w:val="clear" w:color="000000" w:fill="FFFFFF"/>
            <w:noWrap/>
            <w:vAlign w:val="center"/>
            <w:hideMark/>
          </w:tcPr>
          <w:p w14:paraId="3E6C8ED0" w14:textId="4C8D53B9"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6.0%</w:t>
            </w:r>
          </w:p>
        </w:tc>
        <w:tc>
          <w:tcPr>
            <w:tcW w:w="1189" w:type="dxa"/>
            <w:tcBorders>
              <w:top w:val="nil"/>
              <w:left w:val="nil"/>
              <w:bottom w:val="single" w:sz="4" w:space="0" w:color="auto"/>
              <w:right w:val="single" w:sz="4" w:space="0" w:color="auto"/>
            </w:tcBorders>
            <w:shd w:val="clear" w:color="000000" w:fill="FFFFFF"/>
            <w:noWrap/>
            <w:vAlign w:val="center"/>
            <w:hideMark/>
          </w:tcPr>
          <w:p w14:paraId="65AFA990"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49</w:t>
            </w:r>
          </w:p>
        </w:tc>
      </w:tr>
      <w:tr w:rsidR="00E043E2" w:rsidRPr="00AF60E4" w14:paraId="77457A07"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3145C915"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5D3FF2EF" w14:textId="77777777" w:rsidR="00E043E2" w:rsidRPr="00AF60E4" w:rsidRDefault="00E043E2" w:rsidP="00E043E2">
            <w:pPr>
              <w:keepNext/>
              <w:rPr>
                <w:rFonts w:cs="Calibri"/>
                <w:color w:val="000000"/>
                <w:sz w:val="22"/>
                <w:szCs w:val="22"/>
              </w:rPr>
            </w:pPr>
            <w:r w:rsidRPr="00AF60E4">
              <w:rPr>
                <w:rFonts w:cs="Calibri"/>
                <w:color w:val="000000"/>
                <w:sz w:val="22"/>
                <w:szCs w:val="22"/>
              </w:rPr>
              <w:t>4. Retail</w:t>
            </w:r>
          </w:p>
        </w:tc>
        <w:tc>
          <w:tcPr>
            <w:tcW w:w="1386" w:type="dxa"/>
            <w:tcBorders>
              <w:top w:val="nil"/>
              <w:left w:val="nil"/>
              <w:bottom w:val="single" w:sz="4" w:space="0" w:color="auto"/>
              <w:right w:val="single" w:sz="4" w:space="0" w:color="auto"/>
            </w:tcBorders>
            <w:shd w:val="clear" w:color="000000" w:fill="FFFFFF"/>
            <w:noWrap/>
            <w:vAlign w:val="center"/>
            <w:hideMark/>
          </w:tcPr>
          <w:p w14:paraId="79579F86"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3</w:t>
            </w:r>
          </w:p>
        </w:tc>
        <w:tc>
          <w:tcPr>
            <w:tcW w:w="1053" w:type="dxa"/>
            <w:tcBorders>
              <w:top w:val="nil"/>
              <w:left w:val="nil"/>
              <w:bottom w:val="single" w:sz="4" w:space="0" w:color="auto"/>
              <w:right w:val="single" w:sz="4" w:space="0" w:color="auto"/>
            </w:tcBorders>
            <w:shd w:val="clear" w:color="000000" w:fill="FFFFFF"/>
            <w:noWrap/>
            <w:vAlign w:val="center"/>
            <w:hideMark/>
          </w:tcPr>
          <w:p w14:paraId="318FDCAE" w14:textId="5F67B2AC" w:rsidR="00E043E2" w:rsidRPr="00AF60E4" w:rsidRDefault="00E043E2" w:rsidP="00E043E2">
            <w:pPr>
              <w:keepNext/>
              <w:jc w:val="center"/>
              <w:rPr>
                <w:rFonts w:cs="Calibri"/>
                <w:color w:val="000000"/>
                <w:sz w:val="22"/>
                <w:szCs w:val="22"/>
              </w:rPr>
            </w:pPr>
            <w:r>
              <w:rPr>
                <w:rFonts w:cs="Calibri"/>
                <w:color w:val="000000"/>
                <w:sz w:val="22"/>
                <w:szCs w:val="22"/>
              </w:rPr>
              <w:t>-0.4%</w:t>
            </w:r>
          </w:p>
        </w:tc>
        <w:tc>
          <w:tcPr>
            <w:tcW w:w="1051" w:type="dxa"/>
            <w:tcBorders>
              <w:top w:val="nil"/>
              <w:left w:val="nil"/>
              <w:bottom w:val="single" w:sz="4" w:space="0" w:color="auto"/>
              <w:right w:val="single" w:sz="4" w:space="0" w:color="auto"/>
            </w:tcBorders>
            <w:shd w:val="clear" w:color="000000" w:fill="FFFFFF"/>
            <w:noWrap/>
            <w:vAlign w:val="center"/>
            <w:hideMark/>
          </w:tcPr>
          <w:p w14:paraId="7711C292" w14:textId="7C2E5BDC"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9.2%</w:t>
            </w:r>
          </w:p>
        </w:tc>
        <w:tc>
          <w:tcPr>
            <w:tcW w:w="1189" w:type="dxa"/>
            <w:tcBorders>
              <w:top w:val="nil"/>
              <w:left w:val="nil"/>
              <w:bottom w:val="single" w:sz="4" w:space="0" w:color="auto"/>
              <w:right w:val="single" w:sz="4" w:space="0" w:color="auto"/>
            </w:tcBorders>
            <w:shd w:val="clear" w:color="000000" w:fill="FFFFFF"/>
            <w:noWrap/>
            <w:vAlign w:val="center"/>
            <w:hideMark/>
          </w:tcPr>
          <w:p w14:paraId="7F624030"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1</w:t>
            </w:r>
          </w:p>
        </w:tc>
      </w:tr>
      <w:tr w:rsidR="00E043E2" w:rsidRPr="00AF60E4" w14:paraId="47A366B6"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3F6763D7"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7C6E0E56" w14:textId="77777777" w:rsidR="00E043E2" w:rsidRPr="00AF60E4" w:rsidRDefault="00E043E2" w:rsidP="00E043E2">
            <w:pPr>
              <w:keepNext/>
              <w:rPr>
                <w:rFonts w:cs="Calibri"/>
                <w:color w:val="000000"/>
                <w:sz w:val="22"/>
                <w:szCs w:val="22"/>
              </w:rPr>
            </w:pPr>
            <w:r w:rsidRPr="00AF60E4">
              <w:rPr>
                <w:rFonts w:cs="Calibri"/>
                <w:color w:val="000000"/>
                <w:sz w:val="22"/>
                <w:szCs w:val="22"/>
              </w:rPr>
              <w:t>5. Offices, Hotels, Health, Services</w:t>
            </w:r>
          </w:p>
        </w:tc>
        <w:tc>
          <w:tcPr>
            <w:tcW w:w="1386" w:type="dxa"/>
            <w:tcBorders>
              <w:top w:val="nil"/>
              <w:left w:val="nil"/>
              <w:bottom w:val="single" w:sz="4" w:space="0" w:color="auto"/>
              <w:right w:val="single" w:sz="4" w:space="0" w:color="auto"/>
            </w:tcBorders>
            <w:shd w:val="clear" w:color="000000" w:fill="FFFFFF"/>
            <w:noWrap/>
            <w:vAlign w:val="center"/>
            <w:hideMark/>
          </w:tcPr>
          <w:p w14:paraId="2528F447"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5</w:t>
            </w:r>
          </w:p>
        </w:tc>
        <w:tc>
          <w:tcPr>
            <w:tcW w:w="1053" w:type="dxa"/>
            <w:tcBorders>
              <w:top w:val="nil"/>
              <w:left w:val="nil"/>
              <w:bottom w:val="single" w:sz="4" w:space="0" w:color="auto"/>
              <w:right w:val="single" w:sz="4" w:space="0" w:color="auto"/>
            </w:tcBorders>
            <w:shd w:val="clear" w:color="000000" w:fill="FFFFFF"/>
            <w:noWrap/>
            <w:vAlign w:val="center"/>
            <w:hideMark/>
          </w:tcPr>
          <w:p w14:paraId="2F300529" w14:textId="6AFB5606" w:rsidR="00E043E2" w:rsidRPr="00AF60E4" w:rsidRDefault="00E043E2" w:rsidP="00E043E2">
            <w:pPr>
              <w:keepNext/>
              <w:jc w:val="center"/>
              <w:rPr>
                <w:rFonts w:cs="Calibri"/>
                <w:color w:val="000000"/>
                <w:sz w:val="22"/>
                <w:szCs w:val="22"/>
              </w:rPr>
            </w:pPr>
            <w:r>
              <w:rPr>
                <w:rFonts w:cs="Calibri"/>
                <w:color w:val="000000"/>
                <w:sz w:val="22"/>
                <w:szCs w:val="22"/>
              </w:rPr>
              <w:t>1.4%</w:t>
            </w:r>
          </w:p>
        </w:tc>
        <w:tc>
          <w:tcPr>
            <w:tcW w:w="1051" w:type="dxa"/>
            <w:tcBorders>
              <w:top w:val="nil"/>
              <w:left w:val="nil"/>
              <w:bottom w:val="single" w:sz="4" w:space="0" w:color="auto"/>
              <w:right w:val="single" w:sz="4" w:space="0" w:color="auto"/>
            </w:tcBorders>
            <w:shd w:val="clear" w:color="000000" w:fill="FFFFFF"/>
            <w:noWrap/>
            <w:vAlign w:val="center"/>
            <w:hideMark/>
          </w:tcPr>
          <w:p w14:paraId="6042C6AA" w14:textId="35014DDE"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5.4%</w:t>
            </w:r>
          </w:p>
        </w:tc>
        <w:tc>
          <w:tcPr>
            <w:tcW w:w="1189" w:type="dxa"/>
            <w:tcBorders>
              <w:top w:val="nil"/>
              <w:left w:val="nil"/>
              <w:bottom w:val="single" w:sz="4" w:space="0" w:color="auto"/>
              <w:right w:val="single" w:sz="4" w:space="0" w:color="auto"/>
            </w:tcBorders>
            <w:shd w:val="clear" w:color="000000" w:fill="FFFFFF"/>
            <w:noWrap/>
            <w:vAlign w:val="center"/>
            <w:hideMark/>
          </w:tcPr>
          <w:p w14:paraId="7CCC609D"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5</w:t>
            </w:r>
          </w:p>
        </w:tc>
      </w:tr>
      <w:tr w:rsidR="00E043E2" w:rsidRPr="00AF60E4" w14:paraId="00920E28"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62A841BC"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6BEEBF88" w14:textId="77777777" w:rsidR="00E043E2" w:rsidRPr="00AF60E4" w:rsidRDefault="00E043E2" w:rsidP="00E043E2">
            <w:pPr>
              <w:keepNext/>
              <w:rPr>
                <w:rFonts w:cs="Calibri"/>
                <w:color w:val="000000"/>
                <w:sz w:val="22"/>
                <w:szCs w:val="22"/>
              </w:rPr>
            </w:pPr>
            <w:r w:rsidRPr="00AF60E4">
              <w:rPr>
                <w:rFonts w:cs="Calibri"/>
                <w:color w:val="000000"/>
                <w:sz w:val="22"/>
                <w:szCs w:val="22"/>
              </w:rPr>
              <w:t>8. Other</w:t>
            </w:r>
          </w:p>
        </w:tc>
        <w:tc>
          <w:tcPr>
            <w:tcW w:w="1386" w:type="dxa"/>
            <w:tcBorders>
              <w:top w:val="nil"/>
              <w:left w:val="nil"/>
              <w:bottom w:val="single" w:sz="4" w:space="0" w:color="auto"/>
              <w:right w:val="single" w:sz="4" w:space="0" w:color="auto"/>
            </w:tcBorders>
            <w:shd w:val="clear" w:color="000000" w:fill="FFFFFF"/>
            <w:noWrap/>
            <w:vAlign w:val="center"/>
            <w:hideMark/>
          </w:tcPr>
          <w:p w14:paraId="4136B65F"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3</w:t>
            </w:r>
          </w:p>
        </w:tc>
        <w:tc>
          <w:tcPr>
            <w:tcW w:w="1053" w:type="dxa"/>
            <w:tcBorders>
              <w:top w:val="nil"/>
              <w:left w:val="nil"/>
              <w:bottom w:val="single" w:sz="4" w:space="0" w:color="auto"/>
              <w:right w:val="single" w:sz="4" w:space="0" w:color="auto"/>
            </w:tcBorders>
            <w:shd w:val="clear" w:color="000000" w:fill="FFFFFF"/>
            <w:noWrap/>
            <w:vAlign w:val="center"/>
            <w:hideMark/>
          </w:tcPr>
          <w:p w14:paraId="6AFF3EFD" w14:textId="58361EF9" w:rsidR="00E043E2" w:rsidRPr="00AF60E4" w:rsidRDefault="00E043E2" w:rsidP="00E043E2">
            <w:pPr>
              <w:keepNext/>
              <w:jc w:val="center"/>
              <w:rPr>
                <w:rFonts w:cs="Calibri"/>
                <w:color w:val="000000"/>
                <w:sz w:val="22"/>
                <w:szCs w:val="22"/>
              </w:rPr>
            </w:pPr>
            <w:r>
              <w:rPr>
                <w:rFonts w:cs="Calibri"/>
                <w:color w:val="000000"/>
                <w:sz w:val="22"/>
                <w:szCs w:val="22"/>
              </w:rPr>
              <w:t>-1.2%</w:t>
            </w:r>
          </w:p>
        </w:tc>
        <w:tc>
          <w:tcPr>
            <w:tcW w:w="1051" w:type="dxa"/>
            <w:tcBorders>
              <w:top w:val="nil"/>
              <w:left w:val="nil"/>
              <w:bottom w:val="single" w:sz="4" w:space="0" w:color="auto"/>
              <w:right w:val="single" w:sz="4" w:space="0" w:color="auto"/>
            </w:tcBorders>
            <w:shd w:val="clear" w:color="000000" w:fill="FFFFFF"/>
            <w:noWrap/>
            <w:vAlign w:val="center"/>
            <w:hideMark/>
          </w:tcPr>
          <w:p w14:paraId="5D206000" w14:textId="0733E528"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4.9%</w:t>
            </w:r>
          </w:p>
        </w:tc>
        <w:tc>
          <w:tcPr>
            <w:tcW w:w="1189" w:type="dxa"/>
            <w:tcBorders>
              <w:top w:val="nil"/>
              <w:left w:val="nil"/>
              <w:bottom w:val="single" w:sz="4" w:space="0" w:color="auto"/>
              <w:right w:val="single" w:sz="4" w:space="0" w:color="auto"/>
            </w:tcBorders>
            <w:shd w:val="clear" w:color="000000" w:fill="FFFFFF"/>
            <w:noWrap/>
            <w:vAlign w:val="center"/>
            <w:hideMark/>
          </w:tcPr>
          <w:p w14:paraId="3E0FD603" w14:textId="77777777" w:rsidR="00E043E2" w:rsidRPr="00AF60E4" w:rsidRDefault="00E043E2" w:rsidP="00E043E2">
            <w:pPr>
              <w:keepNext/>
              <w:jc w:val="center"/>
              <w:rPr>
                <w:rFonts w:cs="Calibri"/>
                <w:color w:val="000000"/>
                <w:sz w:val="22"/>
                <w:szCs w:val="22"/>
              </w:rPr>
            </w:pPr>
            <w:r w:rsidRPr="00AF60E4">
              <w:rPr>
                <w:rFonts w:cs="Calibri"/>
                <w:color w:val="000000"/>
                <w:sz w:val="22"/>
                <w:szCs w:val="22"/>
              </w:rPr>
              <w:t>7</w:t>
            </w:r>
          </w:p>
        </w:tc>
      </w:tr>
    </w:tbl>
    <w:p w14:paraId="429870B5" w14:textId="77777777" w:rsidR="00614D97" w:rsidRDefault="00614D97" w:rsidP="00614D97"/>
    <w:p w14:paraId="74898174" w14:textId="3405B6DE" w:rsidR="00E043E2" w:rsidRPr="0088530C" w:rsidRDefault="00E043E2" w:rsidP="00E043E2">
      <w:pPr>
        <w:pStyle w:val="TableCaption"/>
        <w:keepNext/>
        <w:keepLines/>
      </w:pPr>
      <w:bookmarkStart w:id="282" w:name="_Toc508800254"/>
      <w:r w:rsidRPr="0088530C">
        <w:t xml:space="preserve">Table </w:t>
      </w:r>
      <w:r>
        <w:t>A</w:t>
      </w:r>
      <w:r w:rsidRPr="0088530C">
        <w:t>.</w:t>
      </w:r>
      <w:r w:rsidR="001A1817">
        <w:t>8</w:t>
      </w:r>
      <w:r w:rsidRPr="0088530C">
        <w:t>: Specification Test Results</w:t>
      </w:r>
      <w:r w:rsidR="00C34420" w:rsidRPr="00C34420">
        <w:t xml:space="preserve"> </w:t>
      </w:r>
      <w:r w:rsidR="00C34420">
        <w:t xml:space="preserve">for the </w:t>
      </w:r>
      <w:r w:rsidR="00C34420">
        <w:rPr>
          <w:i/>
        </w:rPr>
        <w:t xml:space="preserve">Ex-Post </w:t>
      </w:r>
      <w:r w:rsidR="00C34420">
        <w:t>analysis</w:t>
      </w:r>
      <w:r>
        <w:t>, SCE</w:t>
      </w:r>
      <w:bookmarkEnd w:id="282"/>
    </w:p>
    <w:tbl>
      <w:tblPr>
        <w:tblW w:w="9486" w:type="dxa"/>
        <w:jc w:val="center"/>
        <w:tblLook w:val="04A0" w:firstRow="1" w:lastRow="0" w:firstColumn="1" w:lastColumn="0" w:noHBand="0" w:noVBand="1"/>
      </w:tblPr>
      <w:tblGrid>
        <w:gridCol w:w="1028"/>
        <w:gridCol w:w="3779"/>
        <w:gridCol w:w="1386"/>
        <w:gridCol w:w="1053"/>
        <w:gridCol w:w="1051"/>
        <w:gridCol w:w="1189"/>
      </w:tblGrid>
      <w:tr w:rsidR="00E043E2" w:rsidRPr="00AF60E4" w14:paraId="60FDC777" w14:textId="77777777" w:rsidTr="0086367A">
        <w:trPr>
          <w:trHeight w:val="600"/>
          <w:jc w:val="center"/>
        </w:trPr>
        <w:tc>
          <w:tcPr>
            <w:tcW w:w="1028" w:type="dxa"/>
            <w:tcBorders>
              <w:top w:val="single" w:sz="4" w:space="0" w:color="auto"/>
              <w:left w:val="single" w:sz="4" w:space="0" w:color="auto"/>
              <w:bottom w:val="single" w:sz="4" w:space="0" w:color="auto"/>
              <w:right w:val="single" w:sz="4" w:space="0" w:color="FFFFFF"/>
            </w:tcBorders>
            <w:shd w:val="clear" w:color="auto" w:fill="0C2577"/>
            <w:noWrap/>
            <w:vAlign w:val="center"/>
            <w:hideMark/>
          </w:tcPr>
          <w:p w14:paraId="5A382677" w14:textId="77777777" w:rsidR="00E043E2" w:rsidRPr="00AF60E4" w:rsidRDefault="00E043E2" w:rsidP="00111550">
            <w:pPr>
              <w:keepNext/>
              <w:jc w:val="center"/>
              <w:rPr>
                <w:rFonts w:cs="Calibri"/>
                <w:b/>
                <w:bCs/>
                <w:color w:val="FFFFFF"/>
                <w:sz w:val="22"/>
                <w:szCs w:val="22"/>
              </w:rPr>
            </w:pPr>
            <w:r w:rsidRPr="00AF60E4">
              <w:rPr>
                <w:rFonts w:cs="Calibri"/>
                <w:b/>
                <w:bCs/>
                <w:color w:val="FFFFFF"/>
                <w:sz w:val="22"/>
                <w:szCs w:val="22"/>
              </w:rPr>
              <w:t>Group</w:t>
            </w:r>
          </w:p>
        </w:tc>
        <w:tc>
          <w:tcPr>
            <w:tcW w:w="3779" w:type="dxa"/>
            <w:tcBorders>
              <w:top w:val="single" w:sz="4" w:space="0" w:color="auto"/>
              <w:left w:val="nil"/>
              <w:bottom w:val="single" w:sz="4" w:space="0" w:color="auto"/>
              <w:right w:val="single" w:sz="4" w:space="0" w:color="FFFFFF"/>
            </w:tcBorders>
            <w:shd w:val="clear" w:color="auto" w:fill="0C2577"/>
            <w:noWrap/>
            <w:vAlign w:val="center"/>
            <w:hideMark/>
          </w:tcPr>
          <w:p w14:paraId="37288FA7" w14:textId="77777777" w:rsidR="00E043E2" w:rsidRPr="00AF60E4" w:rsidRDefault="00E043E2" w:rsidP="00111550">
            <w:pPr>
              <w:keepNext/>
              <w:jc w:val="center"/>
              <w:rPr>
                <w:rFonts w:cs="Calibri"/>
                <w:b/>
                <w:bCs/>
                <w:color w:val="FFFFFF"/>
                <w:sz w:val="22"/>
                <w:szCs w:val="22"/>
              </w:rPr>
            </w:pPr>
            <w:r w:rsidRPr="00AF60E4">
              <w:rPr>
                <w:rFonts w:cs="Calibri"/>
                <w:b/>
                <w:bCs/>
                <w:color w:val="FFFFFF"/>
                <w:sz w:val="22"/>
                <w:szCs w:val="22"/>
              </w:rPr>
              <w:t>Industry Type</w:t>
            </w:r>
          </w:p>
        </w:tc>
        <w:tc>
          <w:tcPr>
            <w:tcW w:w="1386" w:type="dxa"/>
            <w:tcBorders>
              <w:top w:val="single" w:sz="4" w:space="0" w:color="auto"/>
              <w:left w:val="nil"/>
              <w:bottom w:val="single" w:sz="4" w:space="0" w:color="auto"/>
              <w:right w:val="single" w:sz="4" w:space="0" w:color="FFFFFF"/>
            </w:tcBorders>
            <w:shd w:val="clear" w:color="auto" w:fill="0C2577"/>
            <w:vAlign w:val="center"/>
            <w:hideMark/>
          </w:tcPr>
          <w:p w14:paraId="2A1BCD24" w14:textId="77777777" w:rsidR="00E043E2" w:rsidRPr="00AF60E4" w:rsidRDefault="00E043E2" w:rsidP="00111550">
            <w:pPr>
              <w:keepNext/>
              <w:jc w:val="center"/>
              <w:rPr>
                <w:rFonts w:cs="Calibri"/>
                <w:b/>
                <w:bCs/>
                <w:color w:val="FFFFFF"/>
                <w:sz w:val="22"/>
                <w:szCs w:val="22"/>
              </w:rPr>
            </w:pPr>
            <w:r w:rsidRPr="00AF60E4">
              <w:rPr>
                <w:rFonts w:cs="Calibri"/>
                <w:b/>
                <w:bCs/>
                <w:color w:val="FFFFFF"/>
                <w:sz w:val="22"/>
                <w:szCs w:val="22"/>
              </w:rPr>
              <w:t>Selected Specification</w:t>
            </w:r>
          </w:p>
        </w:tc>
        <w:tc>
          <w:tcPr>
            <w:tcW w:w="1053" w:type="dxa"/>
            <w:tcBorders>
              <w:top w:val="single" w:sz="4" w:space="0" w:color="auto"/>
              <w:left w:val="nil"/>
              <w:bottom w:val="single" w:sz="4" w:space="0" w:color="auto"/>
              <w:right w:val="single" w:sz="4" w:space="0" w:color="FFFFFF"/>
            </w:tcBorders>
            <w:shd w:val="clear" w:color="auto" w:fill="0C2577"/>
            <w:noWrap/>
            <w:vAlign w:val="center"/>
            <w:hideMark/>
          </w:tcPr>
          <w:p w14:paraId="07999EE5" w14:textId="77777777" w:rsidR="00E043E2" w:rsidRPr="00AF60E4" w:rsidRDefault="00E043E2" w:rsidP="00111550">
            <w:pPr>
              <w:keepNext/>
              <w:jc w:val="center"/>
              <w:rPr>
                <w:rFonts w:cs="Calibri"/>
                <w:b/>
                <w:bCs/>
                <w:color w:val="FFFFFF"/>
                <w:sz w:val="22"/>
                <w:szCs w:val="22"/>
              </w:rPr>
            </w:pPr>
            <w:r w:rsidRPr="00AF60E4">
              <w:rPr>
                <w:rFonts w:cs="Calibri"/>
                <w:b/>
                <w:bCs/>
                <w:color w:val="FFFFFF"/>
                <w:sz w:val="22"/>
                <w:szCs w:val="22"/>
              </w:rPr>
              <w:t>MPE</w:t>
            </w:r>
          </w:p>
        </w:tc>
        <w:tc>
          <w:tcPr>
            <w:tcW w:w="1051" w:type="dxa"/>
            <w:tcBorders>
              <w:top w:val="single" w:sz="4" w:space="0" w:color="auto"/>
              <w:left w:val="nil"/>
              <w:bottom w:val="single" w:sz="4" w:space="0" w:color="auto"/>
              <w:right w:val="single" w:sz="4" w:space="0" w:color="FFFFFF"/>
            </w:tcBorders>
            <w:shd w:val="clear" w:color="auto" w:fill="0C2577"/>
            <w:noWrap/>
            <w:vAlign w:val="center"/>
            <w:hideMark/>
          </w:tcPr>
          <w:p w14:paraId="2B716F3D" w14:textId="77777777" w:rsidR="00E043E2" w:rsidRPr="00AF60E4" w:rsidRDefault="00E043E2" w:rsidP="00111550">
            <w:pPr>
              <w:keepNext/>
              <w:jc w:val="center"/>
              <w:rPr>
                <w:rFonts w:cs="Calibri"/>
                <w:b/>
                <w:bCs/>
                <w:color w:val="FFFFFF"/>
                <w:sz w:val="22"/>
                <w:szCs w:val="22"/>
              </w:rPr>
            </w:pPr>
            <w:r w:rsidRPr="00AF60E4">
              <w:rPr>
                <w:rFonts w:cs="Calibri"/>
                <w:b/>
                <w:bCs/>
                <w:color w:val="FFFFFF"/>
                <w:sz w:val="22"/>
                <w:szCs w:val="22"/>
              </w:rPr>
              <w:t>MAPE</w:t>
            </w:r>
          </w:p>
        </w:tc>
        <w:tc>
          <w:tcPr>
            <w:tcW w:w="1189" w:type="dxa"/>
            <w:tcBorders>
              <w:top w:val="single" w:sz="4" w:space="0" w:color="auto"/>
              <w:left w:val="nil"/>
              <w:bottom w:val="single" w:sz="4" w:space="0" w:color="auto"/>
              <w:right w:val="single" w:sz="4" w:space="0" w:color="auto"/>
            </w:tcBorders>
            <w:shd w:val="clear" w:color="auto" w:fill="0C2577"/>
            <w:vAlign w:val="center"/>
            <w:hideMark/>
          </w:tcPr>
          <w:p w14:paraId="39C54BE8" w14:textId="77777777" w:rsidR="00E043E2" w:rsidRPr="00AF60E4" w:rsidRDefault="00E043E2" w:rsidP="00111550">
            <w:pPr>
              <w:keepNext/>
              <w:jc w:val="center"/>
              <w:rPr>
                <w:rFonts w:cs="Calibri"/>
                <w:b/>
                <w:bCs/>
                <w:color w:val="FFFFFF"/>
                <w:sz w:val="22"/>
                <w:szCs w:val="22"/>
              </w:rPr>
            </w:pPr>
            <w:r w:rsidRPr="00AF60E4">
              <w:rPr>
                <w:rFonts w:cs="Calibri"/>
                <w:b/>
                <w:bCs/>
                <w:color w:val="FFFFFF"/>
                <w:sz w:val="22"/>
                <w:szCs w:val="22"/>
              </w:rPr>
              <w:t>Number of Customers</w:t>
            </w:r>
          </w:p>
        </w:tc>
      </w:tr>
      <w:tr w:rsidR="00E043E2" w:rsidRPr="00AF60E4" w14:paraId="63C8FCCF" w14:textId="77777777" w:rsidTr="00A46010">
        <w:trPr>
          <w:trHeight w:val="322"/>
          <w:jc w:val="center"/>
        </w:trPr>
        <w:tc>
          <w:tcPr>
            <w:tcW w:w="102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2DA0550" w14:textId="027D0ABF"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Weather Sensitive</w:t>
            </w:r>
          </w:p>
        </w:tc>
        <w:tc>
          <w:tcPr>
            <w:tcW w:w="3779" w:type="dxa"/>
            <w:tcBorders>
              <w:top w:val="nil"/>
              <w:left w:val="nil"/>
              <w:bottom w:val="single" w:sz="4" w:space="0" w:color="auto"/>
              <w:right w:val="single" w:sz="4" w:space="0" w:color="auto"/>
            </w:tcBorders>
            <w:shd w:val="clear" w:color="000000" w:fill="FFFFFF"/>
            <w:noWrap/>
            <w:vAlign w:val="center"/>
            <w:hideMark/>
          </w:tcPr>
          <w:p w14:paraId="010A82D1" w14:textId="53DD8BA0" w:rsidR="00E043E2" w:rsidRPr="00AF60E4" w:rsidRDefault="00E043E2" w:rsidP="00E043E2">
            <w:pPr>
              <w:keepNext/>
              <w:rPr>
                <w:rFonts w:cs="Calibri"/>
                <w:color w:val="000000"/>
                <w:sz w:val="22"/>
                <w:szCs w:val="22"/>
              </w:rPr>
            </w:pPr>
            <w:r>
              <w:rPr>
                <w:rFonts w:cs="Calibri"/>
                <w:color w:val="000000"/>
                <w:sz w:val="22"/>
                <w:szCs w:val="22"/>
              </w:rPr>
              <w:t>1. Agriculture, Mining, Construction</w:t>
            </w:r>
          </w:p>
        </w:tc>
        <w:tc>
          <w:tcPr>
            <w:tcW w:w="1386" w:type="dxa"/>
            <w:tcBorders>
              <w:top w:val="nil"/>
              <w:left w:val="nil"/>
              <w:bottom w:val="single" w:sz="4" w:space="0" w:color="auto"/>
              <w:right w:val="single" w:sz="4" w:space="0" w:color="auto"/>
            </w:tcBorders>
            <w:shd w:val="clear" w:color="000000" w:fill="FFFFFF"/>
            <w:noWrap/>
            <w:vAlign w:val="center"/>
            <w:hideMark/>
          </w:tcPr>
          <w:p w14:paraId="0B493A9D" w14:textId="0DDFCF1C" w:rsidR="00E043E2" w:rsidRPr="00AF60E4" w:rsidRDefault="00E043E2" w:rsidP="00E043E2">
            <w:pPr>
              <w:keepNext/>
              <w:jc w:val="center"/>
              <w:rPr>
                <w:rFonts w:cs="Calibri"/>
                <w:color w:val="000000"/>
                <w:sz w:val="22"/>
                <w:szCs w:val="22"/>
              </w:rPr>
            </w:pPr>
            <w:r>
              <w:rPr>
                <w:rFonts w:cs="Calibri"/>
                <w:color w:val="000000"/>
                <w:sz w:val="22"/>
                <w:szCs w:val="22"/>
              </w:rPr>
              <w:t>7</w:t>
            </w:r>
          </w:p>
        </w:tc>
        <w:tc>
          <w:tcPr>
            <w:tcW w:w="1053" w:type="dxa"/>
            <w:tcBorders>
              <w:top w:val="nil"/>
              <w:left w:val="nil"/>
              <w:bottom w:val="single" w:sz="4" w:space="0" w:color="auto"/>
              <w:right w:val="single" w:sz="4" w:space="0" w:color="auto"/>
            </w:tcBorders>
            <w:shd w:val="clear" w:color="000000" w:fill="FFFFFF"/>
            <w:noWrap/>
            <w:vAlign w:val="center"/>
            <w:hideMark/>
          </w:tcPr>
          <w:p w14:paraId="135A435E" w14:textId="066E4BFA" w:rsidR="00E043E2" w:rsidRPr="00AF60E4" w:rsidRDefault="00E043E2" w:rsidP="00E043E2">
            <w:pPr>
              <w:keepNext/>
              <w:jc w:val="center"/>
              <w:rPr>
                <w:rFonts w:cs="Calibri"/>
                <w:color w:val="000000"/>
                <w:sz w:val="22"/>
                <w:szCs w:val="22"/>
              </w:rPr>
            </w:pPr>
            <w:r>
              <w:rPr>
                <w:rFonts w:cs="Calibri"/>
                <w:color w:val="000000"/>
                <w:sz w:val="22"/>
                <w:szCs w:val="22"/>
              </w:rPr>
              <w:t>0.1%</w:t>
            </w:r>
          </w:p>
        </w:tc>
        <w:tc>
          <w:tcPr>
            <w:tcW w:w="1051" w:type="dxa"/>
            <w:tcBorders>
              <w:top w:val="nil"/>
              <w:left w:val="nil"/>
              <w:bottom w:val="single" w:sz="4" w:space="0" w:color="auto"/>
              <w:right w:val="single" w:sz="4" w:space="0" w:color="auto"/>
            </w:tcBorders>
            <w:shd w:val="clear" w:color="000000" w:fill="FFFFFF"/>
            <w:noWrap/>
            <w:vAlign w:val="center"/>
            <w:hideMark/>
          </w:tcPr>
          <w:p w14:paraId="08D7258E" w14:textId="5DE715E2"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2.7%</w:t>
            </w:r>
          </w:p>
        </w:tc>
        <w:tc>
          <w:tcPr>
            <w:tcW w:w="1189" w:type="dxa"/>
            <w:tcBorders>
              <w:top w:val="nil"/>
              <w:left w:val="nil"/>
              <w:bottom w:val="single" w:sz="4" w:space="0" w:color="auto"/>
              <w:right w:val="single" w:sz="4" w:space="0" w:color="auto"/>
            </w:tcBorders>
            <w:shd w:val="clear" w:color="000000" w:fill="FFFFFF"/>
            <w:noWrap/>
            <w:vAlign w:val="center"/>
            <w:hideMark/>
          </w:tcPr>
          <w:p w14:paraId="40C86B4B" w14:textId="6C3250FA" w:rsidR="00E043E2" w:rsidRPr="00AF60E4" w:rsidRDefault="00E043E2" w:rsidP="00E043E2">
            <w:pPr>
              <w:keepNext/>
              <w:jc w:val="center"/>
              <w:rPr>
                <w:rFonts w:cs="Calibri"/>
                <w:color w:val="000000"/>
                <w:sz w:val="22"/>
                <w:szCs w:val="22"/>
              </w:rPr>
            </w:pPr>
            <w:r>
              <w:rPr>
                <w:rFonts w:cs="Calibri"/>
                <w:color w:val="000000"/>
                <w:sz w:val="22"/>
                <w:szCs w:val="22"/>
              </w:rPr>
              <w:t>11</w:t>
            </w:r>
          </w:p>
        </w:tc>
      </w:tr>
      <w:tr w:rsidR="00E043E2" w:rsidRPr="00AF60E4" w14:paraId="2DE13719"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30977814"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3DE659CD" w14:textId="3FCF2342" w:rsidR="00E043E2" w:rsidRPr="00AF60E4" w:rsidRDefault="00E043E2" w:rsidP="00E043E2">
            <w:pPr>
              <w:keepNext/>
              <w:rPr>
                <w:rFonts w:cs="Calibri"/>
                <w:color w:val="000000"/>
                <w:sz w:val="22"/>
                <w:szCs w:val="22"/>
              </w:rPr>
            </w:pPr>
            <w:r>
              <w:rPr>
                <w:rFonts w:cs="Calibri"/>
                <w:color w:val="000000"/>
                <w:sz w:val="22"/>
                <w:szCs w:val="22"/>
              </w:rPr>
              <w:t>2. Manufacturing</w:t>
            </w:r>
          </w:p>
        </w:tc>
        <w:tc>
          <w:tcPr>
            <w:tcW w:w="1386" w:type="dxa"/>
            <w:tcBorders>
              <w:top w:val="nil"/>
              <w:left w:val="nil"/>
              <w:bottom w:val="single" w:sz="4" w:space="0" w:color="auto"/>
              <w:right w:val="single" w:sz="4" w:space="0" w:color="auto"/>
            </w:tcBorders>
            <w:shd w:val="clear" w:color="000000" w:fill="FFFFFF"/>
            <w:noWrap/>
            <w:vAlign w:val="center"/>
            <w:hideMark/>
          </w:tcPr>
          <w:p w14:paraId="490FF2B3" w14:textId="761BA5EA" w:rsidR="00E043E2" w:rsidRPr="00AF60E4" w:rsidRDefault="00E043E2" w:rsidP="00E043E2">
            <w:pPr>
              <w:keepNext/>
              <w:jc w:val="center"/>
              <w:rPr>
                <w:rFonts w:cs="Calibri"/>
                <w:color w:val="000000"/>
                <w:sz w:val="22"/>
                <w:szCs w:val="22"/>
              </w:rPr>
            </w:pPr>
            <w:r>
              <w:rPr>
                <w:rFonts w:cs="Calibri"/>
                <w:color w:val="000000"/>
                <w:sz w:val="22"/>
                <w:szCs w:val="22"/>
              </w:rPr>
              <w:t>5</w:t>
            </w:r>
          </w:p>
        </w:tc>
        <w:tc>
          <w:tcPr>
            <w:tcW w:w="1053" w:type="dxa"/>
            <w:tcBorders>
              <w:top w:val="nil"/>
              <w:left w:val="nil"/>
              <w:bottom w:val="single" w:sz="4" w:space="0" w:color="auto"/>
              <w:right w:val="single" w:sz="4" w:space="0" w:color="auto"/>
            </w:tcBorders>
            <w:shd w:val="clear" w:color="000000" w:fill="FFFFFF"/>
            <w:noWrap/>
            <w:vAlign w:val="center"/>
            <w:hideMark/>
          </w:tcPr>
          <w:p w14:paraId="03DEA615" w14:textId="5B3DDE77" w:rsidR="00E043E2" w:rsidRPr="00AF60E4" w:rsidRDefault="00E043E2" w:rsidP="00E043E2">
            <w:pPr>
              <w:keepNext/>
              <w:jc w:val="center"/>
              <w:rPr>
                <w:rFonts w:cs="Calibri"/>
                <w:color w:val="000000"/>
                <w:sz w:val="22"/>
                <w:szCs w:val="22"/>
              </w:rPr>
            </w:pPr>
            <w:r>
              <w:rPr>
                <w:rFonts w:cs="Calibri"/>
                <w:color w:val="000000"/>
                <w:sz w:val="22"/>
                <w:szCs w:val="22"/>
              </w:rPr>
              <w:t>2.4%</w:t>
            </w:r>
          </w:p>
        </w:tc>
        <w:tc>
          <w:tcPr>
            <w:tcW w:w="1051" w:type="dxa"/>
            <w:tcBorders>
              <w:top w:val="nil"/>
              <w:left w:val="nil"/>
              <w:bottom w:val="single" w:sz="4" w:space="0" w:color="auto"/>
              <w:right w:val="single" w:sz="4" w:space="0" w:color="auto"/>
            </w:tcBorders>
            <w:shd w:val="clear" w:color="000000" w:fill="FFFFFF"/>
            <w:noWrap/>
            <w:vAlign w:val="center"/>
            <w:hideMark/>
          </w:tcPr>
          <w:p w14:paraId="0F961A12" w14:textId="7A45D00E"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4.8%</w:t>
            </w:r>
          </w:p>
        </w:tc>
        <w:tc>
          <w:tcPr>
            <w:tcW w:w="1189" w:type="dxa"/>
            <w:tcBorders>
              <w:top w:val="nil"/>
              <w:left w:val="nil"/>
              <w:bottom w:val="single" w:sz="4" w:space="0" w:color="auto"/>
              <w:right w:val="single" w:sz="4" w:space="0" w:color="auto"/>
            </w:tcBorders>
            <w:shd w:val="clear" w:color="000000" w:fill="FFFFFF"/>
            <w:noWrap/>
            <w:vAlign w:val="center"/>
            <w:hideMark/>
          </w:tcPr>
          <w:p w14:paraId="0C72DEFD" w14:textId="67BE983B" w:rsidR="00E043E2" w:rsidRPr="00AF60E4" w:rsidRDefault="00E043E2" w:rsidP="00E043E2">
            <w:pPr>
              <w:keepNext/>
              <w:jc w:val="center"/>
              <w:rPr>
                <w:rFonts w:cs="Calibri"/>
                <w:color w:val="000000"/>
                <w:sz w:val="22"/>
                <w:szCs w:val="22"/>
              </w:rPr>
            </w:pPr>
            <w:r>
              <w:rPr>
                <w:rFonts w:cs="Calibri"/>
                <w:color w:val="000000"/>
                <w:sz w:val="22"/>
                <w:szCs w:val="22"/>
              </w:rPr>
              <w:t>103</w:t>
            </w:r>
          </w:p>
        </w:tc>
      </w:tr>
      <w:tr w:rsidR="00E043E2" w:rsidRPr="00AF60E4" w14:paraId="17AB7A24" w14:textId="77777777" w:rsidTr="00A46010">
        <w:trPr>
          <w:trHeight w:val="307"/>
          <w:jc w:val="center"/>
        </w:trPr>
        <w:tc>
          <w:tcPr>
            <w:tcW w:w="1028" w:type="dxa"/>
            <w:vMerge/>
            <w:tcBorders>
              <w:top w:val="nil"/>
              <w:left w:val="single" w:sz="4" w:space="0" w:color="auto"/>
              <w:bottom w:val="single" w:sz="4" w:space="0" w:color="000000"/>
              <w:right w:val="single" w:sz="4" w:space="0" w:color="auto"/>
            </w:tcBorders>
            <w:vAlign w:val="center"/>
            <w:hideMark/>
          </w:tcPr>
          <w:p w14:paraId="340B93D9"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3B33B689" w14:textId="42BC134F" w:rsidR="00E043E2" w:rsidRPr="00AF60E4" w:rsidRDefault="00E043E2" w:rsidP="00E043E2">
            <w:pPr>
              <w:keepNext/>
              <w:rPr>
                <w:rFonts w:cs="Calibri"/>
                <w:color w:val="000000"/>
                <w:sz w:val="22"/>
                <w:szCs w:val="22"/>
              </w:rPr>
            </w:pPr>
            <w:r>
              <w:rPr>
                <w:rFonts w:cs="Calibri"/>
                <w:color w:val="000000"/>
                <w:sz w:val="22"/>
                <w:szCs w:val="22"/>
              </w:rPr>
              <w:t>3. Wholesale, Transportation, Utilities</w:t>
            </w:r>
          </w:p>
        </w:tc>
        <w:tc>
          <w:tcPr>
            <w:tcW w:w="1386" w:type="dxa"/>
            <w:tcBorders>
              <w:top w:val="nil"/>
              <w:left w:val="nil"/>
              <w:bottom w:val="single" w:sz="4" w:space="0" w:color="auto"/>
              <w:right w:val="single" w:sz="4" w:space="0" w:color="auto"/>
            </w:tcBorders>
            <w:shd w:val="clear" w:color="000000" w:fill="FFFFFF"/>
            <w:noWrap/>
            <w:vAlign w:val="center"/>
            <w:hideMark/>
          </w:tcPr>
          <w:p w14:paraId="49EE8348" w14:textId="0AE56F8F" w:rsidR="00E043E2" w:rsidRPr="00AF60E4" w:rsidRDefault="00E043E2" w:rsidP="00E043E2">
            <w:pPr>
              <w:keepNext/>
              <w:jc w:val="center"/>
              <w:rPr>
                <w:rFonts w:cs="Calibri"/>
                <w:color w:val="000000"/>
                <w:sz w:val="22"/>
                <w:szCs w:val="22"/>
              </w:rPr>
            </w:pPr>
            <w:r>
              <w:rPr>
                <w:rFonts w:cs="Calibri"/>
                <w:color w:val="000000"/>
                <w:sz w:val="22"/>
                <w:szCs w:val="22"/>
              </w:rPr>
              <w:t>4</w:t>
            </w:r>
          </w:p>
        </w:tc>
        <w:tc>
          <w:tcPr>
            <w:tcW w:w="1053" w:type="dxa"/>
            <w:tcBorders>
              <w:top w:val="nil"/>
              <w:left w:val="nil"/>
              <w:bottom w:val="single" w:sz="4" w:space="0" w:color="auto"/>
              <w:right w:val="single" w:sz="4" w:space="0" w:color="auto"/>
            </w:tcBorders>
            <w:shd w:val="clear" w:color="000000" w:fill="FFFFFF"/>
            <w:noWrap/>
            <w:vAlign w:val="center"/>
            <w:hideMark/>
          </w:tcPr>
          <w:p w14:paraId="5E2F2F01" w14:textId="477242F0" w:rsidR="00E043E2" w:rsidRPr="00AF60E4" w:rsidRDefault="00E043E2" w:rsidP="00E043E2">
            <w:pPr>
              <w:keepNext/>
              <w:jc w:val="center"/>
              <w:rPr>
                <w:rFonts w:cs="Calibri"/>
                <w:color w:val="000000"/>
                <w:sz w:val="22"/>
                <w:szCs w:val="22"/>
              </w:rPr>
            </w:pPr>
            <w:r>
              <w:rPr>
                <w:rFonts w:cs="Calibri"/>
                <w:color w:val="000000"/>
                <w:sz w:val="22"/>
                <w:szCs w:val="22"/>
              </w:rPr>
              <w:t>0.8%</w:t>
            </w:r>
          </w:p>
        </w:tc>
        <w:tc>
          <w:tcPr>
            <w:tcW w:w="1051" w:type="dxa"/>
            <w:tcBorders>
              <w:top w:val="nil"/>
              <w:left w:val="nil"/>
              <w:bottom w:val="single" w:sz="4" w:space="0" w:color="auto"/>
              <w:right w:val="single" w:sz="4" w:space="0" w:color="auto"/>
            </w:tcBorders>
            <w:shd w:val="clear" w:color="000000" w:fill="FFFFFF"/>
            <w:noWrap/>
            <w:vAlign w:val="center"/>
            <w:hideMark/>
          </w:tcPr>
          <w:p w14:paraId="532B2F00" w14:textId="6A37549F"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3.8%</w:t>
            </w:r>
          </w:p>
        </w:tc>
        <w:tc>
          <w:tcPr>
            <w:tcW w:w="1189" w:type="dxa"/>
            <w:tcBorders>
              <w:top w:val="nil"/>
              <w:left w:val="nil"/>
              <w:bottom w:val="single" w:sz="4" w:space="0" w:color="auto"/>
              <w:right w:val="single" w:sz="4" w:space="0" w:color="auto"/>
            </w:tcBorders>
            <w:shd w:val="clear" w:color="000000" w:fill="FFFFFF"/>
            <w:noWrap/>
            <w:vAlign w:val="center"/>
            <w:hideMark/>
          </w:tcPr>
          <w:p w14:paraId="3AB6F395" w14:textId="5614F609" w:rsidR="00E043E2" w:rsidRPr="00AF60E4" w:rsidRDefault="00E043E2" w:rsidP="00E043E2">
            <w:pPr>
              <w:keepNext/>
              <w:jc w:val="center"/>
              <w:rPr>
                <w:rFonts w:cs="Calibri"/>
                <w:color w:val="000000"/>
                <w:sz w:val="22"/>
                <w:szCs w:val="22"/>
              </w:rPr>
            </w:pPr>
            <w:r>
              <w:rPr>
                <w:rFonts w:cs="Calibri"/>
                <w:color w:val="000000"/>
                <w:sz w:val="22"/>
                <w:szCs w:val="22"/>
              </w:rPr>
              <w:t>35</w:t>
            </w:r>
          </w:p>
        </w:tc>
      </w:tr>
      <w:tr w:rsidR="00E043E2" w:rsidRPr="00AF60E4" w14:paraId="2352E972"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287976D8"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56D1060C" w14:textId="264BC06C" w:rsidR="00E043E2" w:rsidRPr="00AF60E4" w:rsidRDefault="00E043E2" w:rsidP="00E043E2">
            <w:pPr>
              <w:keepNext/>
              <w:rPr>
                <w:rFonts w:cs="Calibri"/>
                <w:color w:val="000000"/>
                <w:sz w:val="22"/>
                <w:szCs w:val="22"/>
              </w:rPr>
            </w:pPr>
            <w:r>
              <w:rPr>
                <w:rFonts w:cs="Calibri"/>
                <w:color w:val="000000"/>
                <w:sz w:val="22"/>
                <w:szCs w:val="22"/>
              </w:rPr>
              <w:t>4. Retail</w:t>
            </w:r>
          </w:p>
        </w:tc>
        <w:tc>
          <w:tcPr>
            <w:tcW w:w="1386" w:type="dxa"/>
            <w:tcBorders>
              <w:top w:val="nil"/>
              <w:left w:val="nil"/>
              <w:bottom w:val="single" w:sz="4" w:space="0" w:color="auto"/>
              <w:right w:val="single" w:sz="4" w:space="0" w:color="auto"/>
            </w:tcBorders>
            <w:shd w:val="clear" w:color="000000" w:fill="FFFFFF"/>
            <w:noWrap/>
            <w:vAlign w:val="center"/>
            <w:hideMark/>
          </w:tcPr>
          <w:p w14:paraId="2BE1E270" w14:textId="7E6B9AC4" w:rsidR="00E043E2" w:rsidRPr="00AF60E4" w:rsidRDefault="00E043E2" w:rsidP="00E043E2">
            <w:pPr>
              <w:keepNext/>
              <w:jc w:val="center"/>
              <w:rPr>
                <w:rFonts w:cs="Calibri"/>
                <w:color w:val="000000"/>
                <w:sz w:val="22"/>
                <w:szCs w:val="22"/>
              </w:rPr>
            </w:pPr>
            <w:r>
              <w:rPr>
                <w:rFonts w:cs="Calibri"/>
                <w:color w:val="000000"/>
                <w:sz w:val="22"/>
                <w:szCs w:val="22"/>
              </w:rPr>
              <w:t>6</w:t>
            </w:r>
          </w:p>
        </w:tc>
        <w:tc>
          <w:tcPr>
            <w:tcW w:w="1053" w:type="dxa"/>
            <w:tcBorders>
              <w:top w:val="nil"/>
              <w:left w:val="nil"/>
              <w:bottom w:val="single" w:sz="4" w:space="0" w:color="auto"/>
              <w:right w:val="single" w:sz="4" w:space="0" w:color="auto"/>
            </w:tcBorders>
            <w:shd w:val="clear" w:color="000000" w:fill="FFFFFF"/>
            <w:noWrap/>
            <w:vAlign w:val="center"/>
            <w:hideMark/>
          </w:tcPr>
          <w:p w14:paraId="13B8A1A1" w14:textId="5C055D52" w:rsidR="00E043E2" w:rsidRPr="00AF60E4" w:rsidRDefault="00E043E2" w:rsidP="00E043E2">
            <w:pPr>
              <w:keepNext/>
              <w:jc w:val="center"/>
              <w:rPr>
                <w:rFonts w:cs="Calibri"/>
                <w:color w:val="000000"/>
                <w:sz w:val="22"/>
                <w:szCs w:val="22"/>
              </w:rPr>
            </w:pPr>
            <w:r>
              <w:rPr>
                <w:rFonts w:cs="Calibri"/>
                <w:color w:val="000000"/>
                <w:sz w:val="22"/>
                <w:szCs w:val="22"/>
              </w:rPr>
              <w:t>-1.3%</w:t>
            </w:r>
          </w:p>
        </w:tc>
        <w:tc>
          <w:tcPr>
            <w:tcW w:w="1051" w:type="dxa"/>
            <w:tcBorders>
              <w:top w:val="nil"/>
              <w:left w:val="nil"/>
              <w:bottom w:val="single" w:sz="4" w:space="0" w:color="auto"/>
              <w:right w:val="single" w:sz="4" w:space="0" w:color="auto"/>
            </w:tcBorders>
            <w:shd w:val="clear" w:color="000000" w:fill="FFFFFF"/>
            <w:noWrap/>
            <w:vAlign w:val="center"/>
            <w:hideMark/>
          </w:tcPr>
          <w:p w14:paraId="2D1D6725" w14:textId="4A123A33"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1.9%</w:t>
            </w:r>
          </w:p>
        </w:tc>
        <w:tc>
          <w:tcPr>
            <w:tcW w:w="1189" w:type="dxa"/>
            <w:tcBorders>
              <w:top w:val="nil"/>
              <w:left w:val="nil"/>
              <w:bottom w:val="single" w:sz="4" w:space="0" w:color="auto"/>
              <w:right w:val="single" w:sz="4" w:space="0" w:color="auto"/>
            </w:tcBorders>
            <w:shd w:val="clear" w:color="000000" w:fill="FFFFFF"/>
            <w:noWrap/>
            <w:vAlign w:val="center"/>
            <w:hideMark/>
          </w:tcPr>
          <w:p w14:paraId="5C0ABF1F" w14:textId="5D850D49" w:rsidR="00E043E2" w:rsidRPr="00AF60E4" w:rsidRDefault="00E043E2" w:rsidP="00E043E2">
            <w:pPr>
              <w:keepNext/>
              <w:jc w:val="center"/>
              <w:rPr>
                <w:rFonts w:cs="Calibri"/>
                <w:color w:val="000000"/>
                <w:sz w:val="22"/>
                <w:szCs w:val="22"/>
              </w:rPr>
            </w:pPr>
            <w:r>
              <w:rPr>
                <w:rFonts w:cs="Calibri"/>
                <w:color w:val="000000"/>
                <w:sz w:val="22"/>
                <w:szCs w:val="22"/>
              </w:rPr>
              <w:t>58</w:t>
            </w:r>
          </w:p>
        </w:tc>
      </w:tr>
      <w:tr w:rsidR="00E043E2" w:rsidRPr="00AF60E4" w14:paraId="4682F214"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3ED28472"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2D2FCE93" w14:textId="5A827BC7" w:rsidR="00E043E2" w:rsidRPr="00AF60E4" w:rsidRDefault="00E043E2" w:rsidP="00E043E2">
            <w:pPr>
              <w:keepNext/>
              <w:rPr>
                <w:rFonts w:cs="Calibri"/>
                <w:color w:val="000000"/>
                <w:sz w:val="22"/>
                <w:szCs w:val="22"/>
              </w:rPr>
            </w:pPr>
            <w:r>
              <w:rPr>
                <w:rFonts w:cs="Calibri"/>
                <w:color w:val="000000"/>
                <w:sz w:val="22"/>
                <w:szCs w:val="22"/>
              </w:rPr>
              <w:t>5. Offices, Hotels, Health, Services</w:t>
            </w:r>
          </w:p>
        </w:tc>
        <w:tc>
          <w:tcPr>
            <w:tcW w:w="1386" w:type="dxa"/>
            <w:tcBorders>
              <w:top w:val="nil"/>
              <w:left w:val="nil"/>
              <w:bottom w:val="single" w:sz="4" w:space="0" w:color="auto"/>
              <w:right w:val="single" w:sz="4" w:space="0" w:color="auto"/>
            </w:tcBorders>
            <w:shd w:val="clear" w:color="000000" w:fill="FFFFFF"/>
            <w:noWrap/>
            <w:vAlign w:val="center"/>
            <w:hideMark/>
          </w:tcPr>
          <w:p w14:paraId="1E14A9FB" w14:textId="789E418E" w:rsidR="00E043E2" w:rsidRPr="00AF60E4" w:rsidRDefault="00E043E2" w:rsidP="00E043E2">
            <w:pPr>
              <w:keepNext/>
              <w:jc w:val="center"/>
              <w:rPr>
                <w:rFonts w:cs="Calibri"/>
                <w:color w:val="000000"/>
                <w:sz w:val="22"/>
                <w:szCs w:val="22"/>
              </w:rPr>
            </w:pPr>
            <w:r>
              <w:rPr>
                <w:rFonts w:cs="Calibri"/>
                <w:color w:val="000000"/>
                <w:sz w:val="22"/>
                <w:szCs w:val="22"/>
              </w:rPr>
              <w:t>7</w:t>
            </w:r>
          </w:p>
        </w:tc>
        <w:tc>
          <w:tcPr>
            <w:tcW w:w="1053" w:type="dxa"/>
            <w:tcBorders>
              <w:top w:val="nil"/>
              <w:left w:val="nil"/>
              <w:bottom w:val="single" w:sz="4" w:space="0" w:color="auto"/>
              <w:right w:val="single" w:sz="4" w:space="0" w:color="auto"/>
            </w:tcBorders>
            <w:shd w:val="clear" w:color="000000" w:fill="FFFFFF"/>
            <w:noWrap/>
            <w:vAlign w:val="center"/>
            <w:hideMark/>
          </w:tcPr>
          <w:p w14:paraId="19C9CE17" w14:textId="16D9E5F6" w:rsidR="00E043E2" w:rsidRPr="00AF60E4" w:rsidRDefault="00E043E2" w:rsidP="00E043E2">
            <w:pPr>
              <w:keepNext/>
              <w:jc w:val="center"/>
              <w:rPr>
                <w:rFonts w:cs="Calibri"/>
                <w:color w:val="000000"/>
                <w:sz w:val="22"/>
                <w:szCs w:val="22"/>
              </w:rPr>
            </w:pPr>
            <w:r>
              <w:rPr>
                <w:rFonts w:cs="Calibri"/>
                <w:color w:val="000000"/>
                <w:sz w:val="22"/>
                <w:szCs w:val="22"/>
              </w:rPr>
              <w:t>0.4%</w:t>
            </w:r>
          </w:p>
        </w:tc>
        <w:tc>
          <w:tcPr>
            <w:tcW w:w="1051" w:type="dxa"/>
            <w:tcBorders>
              <w:top w:val="nil"/>
              <w:left w:val="nil"/>
              <w:bottom w:val="single" w:sz="4" w:space="0" w:color="auto"/>
              <w:right w:val="single" w:sz="4" w:space="0" w:color="auto"/>
            </w:tcBorders>
            <w:shd w:val="clear" w:color="000000" w:fill="FFFFFF"/>
            <w:noWrap/>
            <w:vAlign w:val="center"/>
            <w:hideMark/>
          </w:tcPr>
          <w:p w14:paraId="6DF3FBE7" w14:textId="00F9758D"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1.7%</w:t>
            </w:r>
          </w:p>
        </w:tc>
        <w:tc>
          <w:tcPr>
            <w:tcW w:w="1189" w:type="dxa"/>
            <w:tcBorders>
              <w:top w:val="nil"/>
              <w:left w:val="nil"/>
              <w:bottom w:val="single" w:sz="4" w:space="0" w:color="auto"/>
              <w:right w:val="single" w:sz="4" w:space="0" w:color="auto"/>
            </w:tcBorders>
            <w:shd w:val="clear" w:color="000000" w:fill="FFFFFF"/>
            <w:noWrap/>
            <w:vAlign w:val="center"/>
            <w:hideMark/>
          </w:tcPr>
          <w:p w14:paraId="4413CBEC" w14:textId="35FC67A4" w:rsidR="00E043E2" w:rsidRPr="00AF60E4" w:rsidRDefault="00E043E2" w:rsidP="00E043E2">
            <w:pPr>
              <w:keepNext/>
              <w:jc w:val="center"/>
              <w:rPr>
                <w:rFonts w:cs="Calibri"/>
                <w:color w:val="000000"/>
                <w:sz w:val="22"/>
                <w:szCs w:val="22"/>
              </w:rPr>
            </w:pPr>
            <w:r>
              <w:rPr>
                <w:rFonts w:cs="Calibri"/>
                <w:color w:val="000000"/>
                <w:sz w:val="22"/>
                <w:szCs w:val="22"/>
              </w:rPr>
              <w:t>28</w:t>
            </w:r>
          </w:p>
        </w:tc>
      </w:tr>
      <w:tr w:rsidR="00E043E2" w:rsidRPr="00AF60E4" w14:paraId="49993D14"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288DBED6"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60DEDBDA" w14:textId="198B9903" w:rsidR="00E043E2" w:rsidRPr="00AF60E4" w:rsidRDefault="00E043E2" w:rsidP="00E043E2">
            <w:pPr>
              <w:keepNext/>
              <w:rPr>
                <w:rFonts w:cs="Calibri"/>
                <w:color w:val="000000"/>
                <w:sz w:val="22"/>
                <w:szCs w:val="22"/>
              </w:rPr>
            </w:pPr>
            <w:r>
              <w:rPr>
                <w:rFonts w:cs="Calibri"/>
                <w:color w:val="000000"/>
                <w:sz w:val="22"/>
                <w:szCs w:val="22"/>
              </w:rPr>
              <w:t>6. Schools</w:t>
            </w:r>
          </w:p>
        </w:tc>
        <w:tc>
          <w:tcPr>
            <w:tcW w:w="1386" w:type="dxa"/>
            <w:tcBorders>
              <w:top w:val="nil"/>
              <w:left w:val="nil"/>
              <w:bottom w:val="single" w:sz="4" w:space="0" w:color="auto"/>
              <w:right w:val="single" w:sz="4" w:space="0" w:color="auto"/>
            </w:tcBorders>
            <w:shd w:val="clear" w:color="000000" w:fill="FFFFFF"/>
            <w:noWrap/>
            <w:vAlign w:val="center"/>
            <w:hideMark/>
          </w:tcPr>
          <w:p w14:paraId="60A5184E" w14:textId="2A2E638E" w:rsidR="00E043E2" w:rsidRPr="00AF60E4" w:rsidRDefault="00E043E2" w:rsidP="00E043E2">
            <w:pPr>
              <w:keepNext/>
              <w:jc w:val="center"/>
              <w:rPr>
                <w:rFonts w:cs="Calibri"/>
                <w:color w:val="000000"/>
                <w:sz w:val="22"/>
                <w:szCs w:val="22"/>
              </w:rPr>
            </w:pPr>
            <w:r>
              <w:rPr>
                <w:rFonts w:cs="Calibri"/>
                <w:color w:val="000000"/>
                <w:sz w:val="22"/>
                <w:szCs w:val="22"/>
              </w:rPr>
              <w:t>4</w:t>
            </w:r>
          </w:p>
        </w:tc>
        <w:tc>
          <w:tcPr>
            <w:tcW w:w="1053" w:type="dxa"/>
            <w:tcBorders>
              <w:top w:val="nil"/>
              <w:left w:val="nil"/>
              <w:bottom w:val="single" w:sz="4" w:space="0" w:color="auto"/>
              <w:right w:val="single" w:sz="4" w:space="0" w:color="auto"/>
            </w:tcBorders>
            <w:shd w:val="clear" w:color="000000" w:fill="FFFFFF"/>
            <w:noWrap/>
            <w:vAlign w:val="center"/>
            <w:hideMark/>
          </w:tcPr>
          <w:p w14:paraId="38A24792" w14:textId="3D73D2BE" w:rsidR="00E043E2" w:rsidRPr="00AF60E4" w:rsidRDefault="00E043E2" w:rsidP="00E043E2">
            <w:pPr>
              <w:keepNext/>
              <w:jc w:val="center"/>
              <w:rPr>
                <w:rFonts w:cs="Calibri"/>
                <w:color w:val="000000"/>
                <w:sz w:val="22"/>
                <w:szCs w:val="22"/>
              </w:rPr>
            </w:pPr>
            <w:r>
              <w:rPr>
                <w:rFonts w:cs="Calibri"/>
                <w:color w:val="000000"/>
                <w:sz w:val="22"/>
                <w:szCs w:val="22"/>
              </w:rPr>
              <w:t>-0.9%</w:t>
            </w:r>
          </w:p>
        </w:tc>
        <w:tc>
          <w:tcPr>
            <w:tcW w:w="1051" w:type="dxa"/>
            <w:tcBorders>
              <w:top w:val="nil"/>
              <w:left w:val="nil"/>
              <w:bottom w:val="single" w:sz="4" w:space="0" w:color="auto"/>
              <w:right w:val="single" w:sz="4" w:space="0" w:color="auto"/>
            </w:tcBorders>
            <w:shd w:val="clear" w:color="000000" w:fill="FFFFFF"/>
            <w:noWrap/>
            <w:vAlign w:val="center"/>
            <w:hideMark/>
          </w:tcPr>
          <w:p w14:paraId="44A080B5" w14:textId="09DB2D08"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3.7%</w:t>
            </w:r>
          </w:p>
        </w:tc>
        <w:tc>
          <w:tcPr>
            <w:tcW w:w="1189" w:type="dxa"/>
            <w:tcBorders>
              <w:top w:val="nil"/>
              <w:left w:val="nil"/>
              <w:bottom w:val="single" w:sz="4" w:space="0" w:color="auto"/>
              <w:right w:val="single" w:sz="4" w:space="0" w:color="auto"/>
            </w:tcBorders>
            <w:shd w:val="clear" w:color="000000" w:fill="FFFFFF"/>
            <w:noWrap/>
            <w:vAlign w:val="center"/>
            <w:hideMark/>
          </w:tcPr>
          <w:p w14:paraId="5C768355" w14:textId="20929927" w:rsidR="00E043E2" w:rsidRPr="00AF60E4" w:rsidRDefault="00E043E2" w:rsidP="00E043E2">
            <w:pPr>
              <w:keepNext/>
              <w:jc w:val="center"/>
              <w:rPr>
                <w:rFonts w:cs="Calibri"/>
                <w:color w:val="000000"/>
                <w:sz w:val="22"/>
                <w:szCs w:val="22"/>
              </w:rPr>
            </w:pPr>
            <w:r>
              <w:rPr>
                <w:rFonts w:cs="Calibri"/>
                <w:color w:val="000000"/>
                <w:sz w:val="22"/>
                <w:szCs w:val="22"/>
              </w:rPr>
              <w:t>4</w:t>
            </w:r>
          </w:p>
        </w:tc>
      </w:tr>
      <w:tr w:rsidR="00E043E2" w:rsidRPr="00AF60E4" w14:paraId="182D0E9C"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16C90302"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388515EE" w14:textId="43053868" w:rsidR="00E043E2" w:rsidRPr="00AF60E4" w:rsidRDefault="00E043E2" w:rsidP="00E043E2">
            <w:pPr>
              <w:keepNext/>
              <w:rPr>
                <w:rFonts w:cs="Calibri"/>
                <w:color w:val="000000"/>
                <w:sz w:val="22"/>
                <w:szCs w:val="22"/>
              </w:rPr>
            </w:pPr>
            <w:r>
              <w:rPr>
                <w:rFonts w:cs="Calibri"/>
                <w:color w:val="000000"/>
                <w:sz w:val="22"/>
                <w:szCs w:val="22"/>
              </w:rPr>
              <w:t xml:space="preserve">7. </w:t>
            </w:r>
            <w:r w:rsidR="0091117B">
              <w:rPr>
                <w:rFonts w:cs="Calibri"/>
                <w:color w:val="000000"/>
                <w:sz w:val="22"/>
                <w:szCs w:val="22"/>
              </w:rPr>
              <w:t>Institutional/Government</w:t>
            </w:r>
          </w:p>
        </w:tc>
        <w:tc>
          <w:tcPr>
            <w:tcW w:w="1386" w:type="dxa"/>
            <w:tcBorders>
              <w:top w:val="nil"/>
              <w:left w:val="nil"/>
              <w:bottom w:val="single" w:sz="4" w:space="0" w:color="auto"/>
              <w:right w:val="single" w:sz="4" w:space="0" w:color="auto"/>
            </w:tcBorders>
            <w:shd w:val="clear" w:color="000000" w:fill="FFFFFF"/>
            <w:noWrap/>
            <w:vAlign w:val="center"/>
            <w:hideMark/>
          </w:tcPr>
          <w:p w14:paraId="64A719C2" w14:textId="555814AF" w:rsidR="00E043E2" w:rsidRPr="00AF60E4" w:rsidRDefault="00E043E2" w:rsidP="00E043E2">
            <w:pPr>
              <w:keepNext/>
              <w:jc w:val="center"/>
              <w:rPr>
                <w:rFonts w:cs="Calibri"/>
                <w:color w:val="000000"/>
                <w:sz w:val="22"/>
                <w:szCs w:val="22"/>
              </w:rPr>
            </w:pPr>
            <w:r>
              <w:rPr>
                <w:rFonts w:cs="Calibri"/>
                <w:color w:val="000000"/>
                <w:sz w:val="22"/>
                <w:szCs w:val="22"/>
              </w:rPr>
              <w:t>2</w:t>
            </w:r>
          </w:p>
        </w:tc>
        <w:tc>
          <w:tcPr>
            <w:tcW w:w="1053" w:type="dxa"/>
            <w:tcBorders>
              <w:top w:val="nil"/>
              <w:left w:val="nil"/>
              <w:bottom w:val="single" w:sz="4" w:space="0" w:color="auto"/>
              <w:right w:val="single" w:sz="4" w:space="0" w:color="auto"/>
            </w:tcBorders>
            <w:shd w:val="clear" w:color="000000" w:fill="FFFFFF"/>
            <w:noWrap/>
            <w:vAlign w:val="center"/>
            <w:hideMark/>
          </w:tcPr>
          <w:p w14:paraId="7994208F" w14:textId="3C3FB5D5" w:rsidR="00E043E2" w:rsidRPr="00AF60E4" w:rsidRDefault="00E043E2" w:rsidP="00E043E2">
            <w:pPr>
              <w:keepNext/>
              <w:jc w:val="center"/>
              <w:rPr>
                <w:rFonts w:cs="Calibri"/>
                <w:color w:val="000000"/>
                <w:sz w:val="22"/>
                <w:szCs w:val="22"/>
              </w:rPr>
            </w:pPr>
            <w:r>
              <w:rPr>
                <w:rFonts w:cs="Calibri"/>
                <w:color w:val="000000"/>
                <w:sz w:val="22"/>
                <w:szCs w:val="22"/>
              </w:rPr>
              <w:t>-0.6%</w:t>
            </w:r>
          </w:p>
        </w:tc>
        <w:tc>
          <w:tcPr>
            <w:tcW w:w="1051" w:type="dxa"/>
            <w:tcBorders>
              <w:top w:val="nil"/>
              <w:left w:val="nil"/>
              <w:bottom w:val="single" w:sz="4" w:space="0" w:color="auto"/>
              <w:right w:val="single" w:sz="4" w:space="0" w:color="auto"/>
            </w:tcBorders>
            <w:shd w:val="clear" w:color="000000" w:fill="FFFFFF"/>
            <w:noWrap/>
            <w:vAlign w:val="center"/>
            <w:hideMark/>
          </w:tcPr>
          <w:p w14:paraId="42B1FC2B" w14:textId="00DB286B"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10.1%</w:t>
            </w:r>
          </w:p>
        </w:tc>
        <w:tc>
          <w:tcPr>
            <w:tcW w:w="1189" w:type="dxa"/>
            <w:tcBorders>
              <w:top w:val="nil"/>
              <w:left w:val="nil"/>
              <w:bottom w:val="single" w:sz="4" w:space="0" w:color="auto"/>
              <w:right w:val="single" w:sz="4" w:space="0" w:color="auto"/>
            </w:tcBorders>
            <w:shd w:val="clear" w:color="000000" w:fill="FFFFFF"/>
            <w:noWrap/>
            <w:vAlign w:val="center"/>
            <w:hideMark/>
          </w:tcPr>
          <w:p w14:paraId="4123DEF4" w14:textId="06FBF3CE" w:rsidR="00E043E2" w:rsidRPr="00AF60E4" w:rsidRDefault="00E043E2" w:rsidP="00E043E2">
            <w:pPr>
              <w:keepNext/>
              <w:jc w:val="center"/>
              <w:rPr>
                <w:rFonts w:cs="Calibri"/>
                <w:color w:val="000000"/>
                <w:sz w:val="22"/>
                <w:szCs w:val="22"/>
              </w:rPr>
            </w:pPr>
            <w:r>
              <w:rPr>
                <w:rFonts w:cs="Calibri"/>
                <w:color w:val="000000"/>
                <w:sz w:val="22"/>
                <w:szCs w:val="22"/>
              </w:rPr>
              <w:t>7</w:t>
            </w:r>
          </w:p>
        </w:tc>
      </w:tr>
      <w:tr w:rsidR="00E043E2" w:rsidRPr="00AF60E4" w14:paraId="59B0996B" w14:textId="77777777" w:rsidTr="00A46010">
        <w:trPr>
          <w:trHeight w:val="263"/>
          <w:jc w:val="center"/>
        </w:trPr>
        <w:tc>
          <w:tcPr>
            <w:tcW w:w="102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3963397" w14:textId="3D22201D"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Non-Weather Sensitive</w:t>
            </w:r>
          </w:p>
        </w:tc>
        <w:tc>
          <w:tcPr>
            <w:tcW w:w="3779" w:type="dxa"/>
            <w:tcBorders>
              <w:top w:val="nil"/>
              <w:left w:val="nil"/>
              <w:bottom w:val="single" w:sz="4" w:space="0" w:color="auto"/>
              <w:right w:val="single" w:sz="4" w:space="0" w:color="auto"/>
            </w:tcBorders>
            <w:shd w:val="clear" w:color="000000" w:fill="FFFFFF"/>
            <w:noWrap/>
            <w:vAlign w:val="center"/>
            <w:hideMark/>
          </w:tcPr>
          <w:p w14:paraId="0445F52F" w14:textId="0F14BFD8" w:rsidR="00E043E2" w:rsidRPr="00AF60E4" w:rsidRDefault="00E043E2" w:rsidP="00E043E2">
            <w:pPr>
              <w:keepNext/>
              <w:rPr>
                <w:rFonts w:cs="Calibri"/>
                <w:color w:val="000000"/>
                <w:sz w:val="22"/>
                <w:szCs w:val="22"/>
              </w:rPr>
            </w:pPr>
            <w:r>
              <w:rPr>
                <w:rFonts w:cs="Calibri"/>
                <w:color w:val="000000"/>
                <w:sz w:val="22"/>
                <w:szCs w:val="22"/>
              </w:rPr>
              <w:t>1. Agriculture, Mining, Construction</w:t>
            </w:r>
          </w:p>
        </w:tc>
        <w:tc>
          <w:tcPr>
            <w:tcW w:w="1386" w:type="dxa"/>
            <w:tcBorders>
              <w:top w:val="nil"/>
              <w:left w:val="nil"/>
              <w:bottom w:val="single" w:sz="4" w:space="0" w:color="auto"/>
              <w:right w:val="single" w:sz="4" w:space="0" w:color="auto"/>
            </w:tcBorders>
            <w:shd w:val="clear" w:color="000000" w:fill="FFFFFF"/>
            <w:noWrap/>
            <w:vAlign w:val="center"/>
            <w:hideMark/>
          </w:tcPr>
          <w:p w14:paraId="0ADBD0F0" w14:textId="54BF3572" w:rsidR="00E043E2" w:rsidRPr="00AF60E4" w:rsidRDefault="00E043E2" w:rsidP="00E043E2">
            <w:pPr>
              <w:keepNext/>
              <w:jc w:val="center"/>
              <w:rPr>
                <w:rFonts w:cs="Calibri"/>
                <w:color w:val="000000"/>
                <w:sz w:val="22"/>
                <w:szCs w:val="22"/>
              </w:rPr>
            </w:pPr>
            <w:r>
              <w:rPr>
                <w:rFonts w:cs="Calibri"/>
                <w:color w:val="000000"/>
                <w:sz w:val="22"/>
                <w:szCs w:val="22"/>
              </w:rPr>
              <w:t>1</w:t>
            </w:r>
          </w:p>
        </w:tc>
        <w:tc>
          <w:tcPr>
            <w:tcW w:w="1053" w:type="dxa"/>
            <w:tcBorders>
              <w:top w:val="nil"/>
              <w:left w:val="nil"/>
              <w:bottom w:val="single" w:sz="4" w:space="0" w:color="auto"/>
              <w:right w:val="single" w:sz="4" w:space="0" w:color="auto"/>
            </w:tcBorders>
            <w:shd w:val="clear" w:color="000000" w:fill="FFFFFF"/>
            <w:noWrap/>
            <w:vAlign w:val="center"/>
            <w:hideMark/>
          </w:tcPr>
          <w:p w14:paraId="2DEB37E4" w14:textId="28DC9AD1" w:rsidR="00E043E2" w:rsidRPr="00AF60E4" w:rsidRDefault="00E043E2" w:rsidP="00E043E2">
            <w:pPr>
              <w:keepNext/>
              <w:jc w:val="center"/>
              <w:rPr>
                <w:rFonts w:cs="Calibri"/>
                <w:color w:val="000000"/>
                <w:sz w:val="22"/>
                <w:szCs w:val="22"/>
              </w:rPr>
            </w:pPr>
            <w:r>
              <w:rPr>
                <w:rFonts w:cs="Calibri"/>
                <w:color w:val="000000"/>
                <w:sz w:val="22"/>
                <w:szCs w:val="22"/>
              </w:rPr>
              <w:t>-0.7%</w:t>
            </w:r>
          </w:p>
        </w:tc>
        <w:tc>
          <w:tcPr>
            <w:tcW w:w="1051" w:type="dxa"/>
            <w:tcBorders>
              <w:top w:val="nil"/>
              <w:left w:val="nil"/>
              <w:bottom w:val="single" w:sz="4" w:space="0" w:color="auto"/>
              <w:right w:val="single" w:sz="4" w:space="0" w:color="auto"/>
            </w:tcBorders>
            <w:shd w:val="clear" w:color="000000" w:fill="FFFFFF"/>
            <w:noWrap/>
            <w:vAlign w:val="center"/>
            <w:hideMark/>
          </w:tcPr>
          <w:p w14:paraId="33CC0237" w14:textId="5FBE4E0C"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1.9%</w:t>
            </w:r>
          </w:p>
        </w:tc>
        <w:tc>
          <w:tcPr>
            <w:tcW w:w="1189" w:type="dxa"/>
            <w:tcBorders>
              <w:top w:val="nil"/>
              <w:left w:val="nil"/>
              <w:bottom w:val="single" w:sz="4" w:space="0" w:color="auto"/>
              <w:right w:val="single" w:sz="4" w:space="0" w:color="auto"/>
            </w:tcBorders>
            <w:shd w:val="clear" w:color="000000" w:fill="FFFFFF"/>
            <w:noWrap/>
            <w:vAlign w:val="center"/>
            <w:hideMark/>
          </w:tcPr>
          <w:p w14:paraId="347DD066" w14:textId="7E5610CB" w:rsidR="00E043E2" w:rsidRPr="00AF60E4" w:rsidRDefault="00E043E2" w:rsidP="00E043E2">
            <w:pPr>
              <w:keepNext/>
              <w:jc w:val="center"/>
              <w:rPr>
                <w:rFonts w:cs="Calibri"/>
                <w:color w:val="000000"/>
                <w:sz w:val="22"/>
                <w:szCs w:val="22"/>
              </w:rPr>
            </w:pPr>
            <w:r>
              <w:rPr>
                <w:rFonts w:cs="Calibri"/>
                <w:color w:val="000000"/>
                <w:sz w:val="22"/>
                <w:szCs w:val="22"/>
              </w:rPr>
              <w:t>43</w:t>
            </w:r>
          </w:p>
        </w:tc>
      </w:tr>
      <w:tr w:rsidR="00E043E2" w:rsidRPr="00AF60E4" w14:paraId="199B251A"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66FA78D5"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31FA70DA" w14:textId="16F6AE21" w:rsidR="00E043E2" w:rsidRPr="00AF60E4" w:rsidRDefault="00E043E2" w:rsidP="00E043E2">
            <w:pPr>
              <w:keepNext/>
              <w:rPr>
                <w:rFonts w:cs="Calibri"/>
                <w:color w:val="000000"/>
                <w:sz w:val="22"/>
                <w:szCs w:val="22"/>
              </w:rPr>
            </w:pPr>
            <w:r>
              <w:rPr>
                <w:rFonts w:cs="Calibri"/>
                <w:color w:val="000000"/>
                <w:sz w:val="22"/>
                <w:szCs w:val="22"/>
              </w:rPr>
              <w:t>2. Manufacturing</w:t>
            </w:r>
          </w:p>
        </w:tc>
        <w:tc>
          <w:tcPr>
            <w:tcW w:w="1386" w:type="dxa"/>
            <w:tcBorders>
              <w:top w:val="nil"/>
              <w:left w:val="nil"/>
              <w:bottom w:val="single" w:sz="4" w:space="0" w:color="auto"/>
              <w:right w:val="single" w:sz="4" w:space="0" w:color="auto"/>
            </w:tcBorders>
            <w:shd w:val="clear" w:color="000000" w:fill="FFFFFF"/>
            <w:noWrap/>
            <w:vAlign w:val="center"/>
            <w:hideMark/>
          </w:tcPr>
          <w:p w14:paraId="6FC81D21" w14:textId="0B772460" w:rsidR="00E043E2" w:rsidRPr="00AF60E4" w:rsidRDefault="00E043E2" w:rsidP="00E043E2">
            <w:pPr>
              <w:keepNext/>
              <w:jc w:val="center"/>
              <w:rPr>
                <w:rFonts w:cs="Calibri"/>
                <w:color w:val="000000"/>
                <w:sz w:val="22"/>
                <w:szCs w:val="22"/>
              </w:rPr>
            </w:pPr>
            <w:r>
              <w:rPr>
                <w:rFonts w:cs="Calibri"/>
                <w:color w:val="000000"/>
                <w:sz w:val="22"/>
                <w:szCs w:val="22"/>
              </w:rPr>
              <w:t>1</w:t>
            </w:r>
          </w:p>
        </w:tc>
        <w:tc>
          <w:tcPr>
            <w:tcW w:w="1053" w:type="dxa"/>
            <w:tcBorders>
              <w:top w:val="nil"/>
              <w:left w:val="nil"/>
              <w:bottom w:val="single" w:sz="4" w:space="0" w:color="auto"/>
              <w:right w:val="single" w:sz="4" w:space="0" w:color="auto"/>
            </w:tcBorders>
            <w:shd w:val="clear" w:color="000000" w:fill="FFFFFF"/>
            <w:noWrap/>
            <w:vAlign w:val="center"/>
            <w:hideMark/>
          </w:tcPr>
          <w:p w14:paraId="6B127532" w14:textId="4A717A95" w:rsidR="00E043E2" w:rsidRPr="00AF60E4" w:rsidRDefault="00E043E2" w:rsidP="00E043E2">
            <w:pPr>
              <w:keepNext/>
              <w:jc w:val="center"/>
              <w:rPr>
                <w:rFonts w:cs="Calibri"/>
                <w:color w:val="000000"/>
                <w:sz w:val="22"/>
                <w:szCs w:val="22"/>
              </w:rPr>
            </w:pPr>
            <w:r>
              <w:rPr>
                <w:rFonts w:cs="Calibri"/>
                <w:color w:val="000000"/>
                <w:sz w:val="22"/>
                <w:szCs w:val="22"/>
              </w:rPr>
              <w:t>1.4%</w:t>
            </w:r>
          </w:p>
        </w:tc>
        <w:tc>
          <w:tcPr>
            <w:tcW w:w="1051" w:type="dxa"/>
            <w:tcBorders>
              <w:top w:val="nil"/>
              <w:left w:val="nil"/>
              <w:bottom w:val="single" w:sz="4" w:space="0" w:color="auto"/>
              <w:right w:val="single" w:sz="4" w:space="0" w:color="auto"/>
            </w:tcBorders>
            <w:shd w:val="clear" w:color="000000" w:fill="FFFFFF"/>
            <w:noWrap/>
            <w:vAlign w:val="center"/>
            <w:hideMark/>
          </w:tcPr>
          <w:p w14:paraId="3E26E2E5" w14:textId="728F7F35"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8.1%</w:t>
            </w:r>
          </w:p>
        </w:tc>
        <w:tc>
          <w:tcPr>
            <w:tcW w:w="1189" w:type="dxa"/>
            <w:tcBorders>
              <w:top w:val="nil"/>
              <w:left w:val="nil"/>
              <w:bottom w:val="single" w:sz="4" w:space="0" w:color="auto"/>
              <w:right w:val="single" w:sz="4" w:space="0" w:color="auto"/>
            </w:tcBorders>
            <w:shd w:val="clear" w:color="000000" w:fill="FFFFFF"/>
            <w:noWrap/>
            <w:vAlign w:val="center"/>
            <w:hideMark/>
          </w:tcPr>
          <w:p w14:paraId="74DB3C09" w14:textId="30ABACBD" w:rsidR="00E043E2" w:rsidRPr="00AF60E4" w:rsidRDefault="00E043E2" w:rsidP="00E043E2">
            <w:pPr>
              <w:keepNext/>
              <w:jc w:val="center"/>
              <w:rPr>
                <w:rFonts w:cs="Calibri"/>
                <w:color w:val="000000"/>
                <w:sz w:val="22"/>
                <w:szCs w:val="22"/>
              </w:rPr>
            </w:pPr>
            <w:r>
              <w:rPr>
                <w:rFonts w:cs="Calibri"/>
                <w:color w:val="000000"/>
                <w:sz w:val="22"/>
                <w:szCs w:val="22"/>
              </w:rPr>
              <w:t>241</w:t>
            </w:r>
          </w:p>
        </w:tc>
      </w:tr>
      <w:tr w:rsidR="00E043E2" w:rsidRPr="00AF60E4" w14:paraId="7DD765C2" w14:textId="77777777" w:rsidTr="00A46010">
        <w:trPr>
          <w:trHeight w:val="307"/>
          <w:jc w:val="center"/>
        </w:trPr>
        <w:tc>
          <w:tcPr>
            <w:tcW w:w="1028" w:type="dxa"/>
            <w:vMerge/>
            <w:tcBorders>
              <w:top w:val="nil"/>
              <w:left w:val="single" w:sz="4" w:space="0" w:color="auto"/>
              <w:bottom w:val="single" w:sz="4" w:space="0" w:color="000000"/>
              <w:right w:val="single" w:sz="4" w:space="0" w:color="auto"/>
            </w:tcBorders>
            <w:vAlign w:val="center"/>
            <w:hideMark/>
          </w:tcPr>
          <w:p w14:paraId="6FEB056C"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263BFC2B" w14:textId="59CB5D11" w:rsidR="00E043E2" w:rsidRPr="00AF60E4" w:rsidRDefault="00E043E2" w:rsidP="00E043E2">
            <w:pPr>
              <w:keepNext/>
              <w:rPr>
                <w:rFonts w:cs="Calibri"/>
                <w:color w:val="000000"/>
                <w:sz w:val="22"/>
                <w:szCs w:val="22"/>
              </w:rPr>
            </w:pPr>
            <w:r>
              <w:rPr>
                <w:rFonts w:cs="Calibri"/>
                <w:color w:val="000000"/>
                <w:sz w:val="22"/>
                <w:szCs w:val="22"/>
              </w:rPr>
              <w:t>3. Wholesale, Transportation, Utilities</w:t>
            </w:r>
          </w:p>
        </w:tc>
        <w:tc>
          <w:tcPr>
            <w:tcW w:w="1386" w:type="dxa"/>
            <w:tcBorders>
              <w:top w:val="nil"/>
              <w:left w:val="nil"/>
              <w:bottom w:val="single" w:sz="4" w:space="0" w:color="auto"/>
              <w:right w:val="single" w:sz="4" w:space="0" w:color="auto"/>
            </w:tcBorders>
            <w:shd w:val="clear" w:color="000000" w:fill="FFFFFF"/>
            <w:noWrap/>
            <w:vAlign w:val="center"/>
            <w:hideMark/>
          </w:tcPr>
          <w:p w14:paraId="6645C1E1" w14:textId="3FAE632B" w:rsidR="00E043E2" w:rsidRPr="00AF60E4" w:rsidRDefault="00E043E2" w:rsidP="00E043E2">
            <w:pPr>
              <w:keepNext/>
              <w:jc w:val="center"/>
              <w:rPr>
                <w:rFonts w:cs="Calibri"/>
                <w:color w:val="000000"/>
                <w:sz w:val="22"/>
                <w:szCs w:val="22"/>
              </w:rPr>
            </w:pPr>
            <w:r>
              <w:rPr>
                <w:rFonts w:cs="Calibri"/>
                <w:color w:val="000000"/>
                <w:sz w:val="22"/>
                <w:szCs w:val="22"/>
              </w:rPr>
              <w:t>2</w:t>
            </w:r>
          </w:p>
        </w:tc>
        <w:tc>
          <w:tcPr>
            <w:tcW w:w="1053" w:type="dxa"/>
            <w:tcBorders>
              <w:top w:val="nil"/>
              <w:left w:val="nil"/>
              <w:bottom w:val="single" w:sz="4" w:space="0" w:color="auto"/>
              <w:right w:val="single" w:sz="4" w:space="0" w:color="auto"/>
            </w:tcBorders>
            <w:shd w:val="clear" w:color="000000" w:fill="FFFFFF"/>
            <w:noWrap/>
            <w:vAlign w:val="center"/>
            <w:hideMark/>
          </w:tcPr>
          <w:p w14:paraId="1D2BC0CA" w14:textId="6B4B0EC5" w:rsidR="00E043E2" w:rsidRPr="00AF60E4" w:rsidRDefault="00E043E2" w:rsidP="00E043E2">
            <w:pPr>
              <w:keepNext/>
              <w:jc w:val="center"/>
              <w:rPr>
                <w:rFonts w:cs="Calibri"/>
                <w:color w:val="000000"/>
                <w:sz w:val="22"/>
                <w:szCs w:val="22"/>
              </w:rPr>
            </w:pPr>
            <w:r>
              <w:rPr>
                <w:rFonts w:cs="Calibri"/>
                <w:color w:val="000000"/>
                <w:sz w:val="22"/>
                <w:szCs w:val="22"/>
              </w:rPr>
              <w:t>1.6%</w:t>
            </w:r>
          </w:p>
        </w:tc>
        <w:tc>
          <w:tcPr>
            <w:tcW w:w="1051" w:type="dxa"/>
            <w:tcBorders>
              <w:top w:val="nil"/>
              <w:left w:val="nil"/>
              <w:bottom w:val="single" w:sz="4" w:space="0" w:color="auto"/>
              <w:right w:val="single" w:sz="4" w:space="0" w:color="auto"/>
            </w:tcBorders>
            <w:shd w:val="clear" w:color="000000" w:fill="FFFFFF"/>
            <w:noWrap/>
            <w:vAlign w:val="center"/>
            <w:hideMark/>
          </w:tcPr>
          <w:p w14:paraId="328FB603" w14:textId="5E183A5B"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9.6%</w:t>
            </w:r>
          </w:p>
        </w:tc>
        <w:tc>
          <w:tcPr>
            <w:tcW w:w="1189" w:type="dxa"/>
            <w:tcBorders>
              <w:top w:val="nil"/>
              <w:left w:val="nil"/>
              <w:bottom w:val="single" w:sz="4" w:space="0" w:color="auto"/>
              <w:right w:val="single" w:sz="4" w:space="0" w:color="auto"/>
            </w:tcBorders>
            <w:shd w:val="clear" w:color="000000" w:fill="FFFFFF"/>
            <w:noWrap/>
            <w:vAlign w:val="center"/>
            <w:hideMark/>
          </w:tcPr>
          <w:p w14:paraId="4E466682" w14:textId="6DA8ECBB" w:rsidR="00E043E2" w:rsidRPr="00AF60E4" w:rsidRDefault="00E043E2" w:rsidP="00E043E2">
            <w:pPr>
              <w:keepNext/>
              <w:jc w:val="center"/>
              <w:rPr>
                <w:rFonts w:cs="Calibri"/>
                <w:color w:val="000000"/>
                <w:sz w:val="22"/>
                <w:szCs w:val="22"/>
              </w:rPr>
            </w:pPr>
            <w:r>
              <w:rPr>
                <w:rFonts w:cs="Calibri"/>
                <w:color w:val="000000"/>
                <w:sz w:val="22"/>
                <w:szCs w:val="22"/>
              </w:rPr>
              <w:t>34</w:t>
            </w:r>
          </w:p>
        </w:tc>
      </w:tr>
      <w:tr w:rsidR="00E043E2" w:rsidRPr="00AF60E4" w14:paraId="72F4CDBC"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4B67D031"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68AAC66F" w14:textId="71958316" w:rsidR="00E043E2" w:rsidRPr="00AF60E4" w:rsidRDefault="00E043E2" w:rsidP="00E043E2">
            <w:pPr>
              <w:keepNext/>
              <w:rPr>
                <w:rFonts w:cs="Calibri"/>
                <w:color w:val="000000"/>
                <w:sz w:val="22"/>
                <w:szCs w:val="22"/>
              </w:rPr>
            </w:pPr>
            <w:r>
              <w:rPr>
                <w:rFonts w:cs="Calibri"/>
                <w:color w:val="000000"/>
                <w:sz w:val="22"/>
                <w:szCs w:val="22"/>
              </w:rPr>
              <w:t>4. Retail</w:t>
            </w:r>
          </w:p>
        </w:tc>
        <w:tc>
          <w:tcPr>
            <w:tcW w:w="1386" w:type="dxa"/>
            <w:tcBorders>
              <w:top w:val="nil"/>
              <w:left w:val="nil"/>
              <w:bottom w:val="single" w:sz="4" w:space="0" w:color="auto"/>
              <w:right w:val="single" w:sz="4" w:space="0" w:color="auto"/>
            </w:tcBorders>
            <w:shd w:val="clear" w:color="000000" w:fill="FFFFFF"/>
            <w:noWrap/>
            <w:vAlign w:val="center"/>
            <w:hideMark/>
          </w:tcPr>
          <w:p w14:paraId="7A8B79F8" w14:textId="258B87B5" w:rsidR="00E043E2" w:rsidRPr="00AF60E4" w:rsidRDefault="00E043E2" w:rsidP="00E043E2">
            <w:pPr>
              <w:keepNext/>
              <w:jc w:val="center"/>
              <w:rPr>
                <w:rFonts w:cs="Calibri"/>
                <w:color w:val="000000"/>
                <w:sz w:val="22"/>
                <w:szCs w:val="22"/>
              </w:rPr>
            </w:pPr>
            <w:r>
              <w:rPr>
                <w:rFonts w:cs="Calibri"/>
                <w:color w:val="000000"/>
                <w:sz w:val="22"/>
                <w:szCs w:val="22"/>
              </w:rPr>
              <w:t>2</w:t>
            </w:r>
          </w:p>
        </w:tc>
        <w:tc>
          <w:tcPr>
            <w:tcW w:w="1053" w:type="dxa"/>
            <w:tcBorders>
              <w:top w:val="nil"/>
              <w:left w:val="nil"/>
              <w:bottom w:val="single" w:sz="4" w:space="0" w:color="auto"/>
              <w:right w:val="single" w:sz="4" w:space="0" w:color="auto"/>
            </w:tcBorders>
            <w:shd w:val="clear" w:color="000000" w:fill="FFFFFF"/>
            <w:noWrap/>
            <w:vAlign w:val="center"/>
            <w:hideMark/>
          </w:tcPr>
          <w:p w14:paraId="53D323A4" w14:textId="1B224C10" w:rsidR="00E043E2" w:rsidRPr="00AF60E4" w:rsidRDefault="00E043E2" w:rsidP="00E043E2">
            <w:pPr>
              <w:keepNext/>
              <w:jc w:val="center"/>
              <w:rPr>
                <w:rFonts w:cs="Calibri"/>
                <w:color w:val="000000"/>
                <w:sz w:val="22"/>
                <w:szCs w:val="22"/>
              </w:rPr>
            </w:pPr>
            <w:r>
              <w:rPr>
                <w:rFonts w:cs="Calibri"/>
                <w:color w:val="000000"/>
                <w:sz w:val="22"/>
                <w:szCs w:val="22"/>
              </w:rPr>
              <w:t>6.0%</w:t>
            </w:r>
          </w:p>
        </w:tc>
        <w:tc>
          <w:tcPr>
            <w:tcW w:w="1051" w:type="dxa"/>
            <w:tcBorders>
              <w:top w:val="nil"/>
              <w:left w:val="nil"/>
              <w:bottom w:val="single" w:sz="4" w:space="0" w:color="auto"/>
              <w:right w:val="single" w:sz="4" w:space="0" w:color="auto"/>
            </w:tcBorders>
            <w:shd w:val="clear" w:color="000000" w:fill="FFFFFF"/>
            <w:noWrap/>
            <w:vAlign w:val="center"/>
            <w:hideMark/>
          </w:tcPr>
          <w:p w14:paraId="660B30DA" w14:textId="00A17194"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27.3%</w:t>
            </w:r>
          </w:p>
        </w:tc>
        <w:tc>
          <w:tcPr>
            <w:tcW w:w="1189" w:type="dxa"/>
            <w:tcBorders>
              <w:top w:val="nil"/>
              <w:left w:val="nil"/>
              <w:bottom w:val="single" w:sz="4" w:space="0" w:color="auto"/>
              <w:right w:val="single" w:sz="4" w:space="0" w:color="auto"/>
            </w:tcBorders>
            <w:shd w:val="clear" w:color="000000" w:fill="FFFFFF"/>
            <w:noWrap/>
            <w:vAlign w:val="center"/>
            <w:hideMark/>
          </w:tcPr>
          <w:p w14:paraId="565E1913" w14:textId="2051297A" w:rsidR="00E043E2" w:rsidRPr="00AF60E4" w:rsidRDefault="00E043E2" w:rsidP="00E043E2">
            <w:pPr>
              <w:keepNext/>
              <w:jc w:val="center"/>
              <w:rPr>
                <w:rFonts w:cs="Calibri"/>
                <w:color w:val="000000"/>
                <w:sz w:val="22"/>
                <w:szCs w:val="22"/>
              </w:rPr>
            </w:pPr>
            <w:r>
              <w:rPr>
                <w:rFonts w:cs="Calibri"/>
                <w:color w:val="000000"/>
                <w:sz w:val="22"/>
                <w:szCs w:val="22"/>
              </w:rPr>
              <w:t>1</w:t>
            </w:r>
          </w:p>
        </w:tc>
      </w:tr>
      <w:tr w:rsidR="00E043E2" w:rsidRPr="00AF60E4" w14:paraId="62CBBE16"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34858B5A"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023FBE76" w14:textId="7441BA86" w:rsidR="00E043E2" w:rsidRPr="00AF60E4" w:rsidRDefault="00E043E2" w:rsidP="00E043E2">
            <w:pPr>
              <w:keepNext/>
              <w:rPr>
                <w:rFonts w:cs="Calibri"/>
                <w:color w:val="000000"/>
                <w:sz w:val="22"/>
                <w:szCs w:val="22"/>
              </w:rPr>
            </w:pPr>
            <w:r>
              <w:rPr>
                <w:rFonts w:cs="Calibri"/>
                <w:color w:val="000000"/>
                <w:sz w:val="22"/>
                <w:szCs w:val="22"/>
              </w:rPr>
              <w:t>5. Offices, Hotels, Health, Services</w:t>
            </w:r>
          </w:p>
        </w:tc>
        <w:tc>
          <w:tcPr>
            <w:tcW w:w="1386" w:type="dxa"/>
            <w:tcBorders>
              <w:top w:val="nil"/>
              <w:left w:val="nil"/>
              <w:bottom w:val="single" w:sz="4" w:space="0" w:color="auto"/>
              <w:right w:val="single" w:sz="4" w:space="0" w:color="auto"/>
            </w:tcBorders>
            <w:shd w:val="clear" w:color="000000" w:fill="FFFFFF"/>
            <w:noWrap/>
            <w:vAlign w:val="center"/>
            <w:hideMark/>
          </w:tcPr>
          <w:p w14:paraId="627A6246" w14:textId="717CF044" w:rsidR="00E043E2" w:rsidRPr="00AF60E4" w:rsidRDefault="00E043E2" w:rsidP="00E043E2">
            <w:pPr>
              <w:keepNext/>
              <w:jc w:val="center"/>
              <w:rPr>
                <w:rFonts w:cs="Calibri"/>
                <w:color w:val="000000"/>
                <w:sz w:val="22"/>
                <w:szCs w:val="22"/>
              </w:rPr>
            </w:pPr>
            <w:r>
              <w:rPr>
                <w:rFonts w:cs="Calibri"/>
                <w:color w:val="000000"/>
                <w:sz w:val="22"/>
                <w:szCs w:val="22"/>
              </w:rPr>
              <w:t>2</w:t>
            </w:r>
          </w:p>
        </w:tc>
        <w:tc>
          <w:tcPr>
            <w:tcW w:w="1053" w:type="dxa"/>
            <w:tcBorders>
              <w:top w:val="nil"/>
              <w:left w:val="nil"/>
              <w:bottom w:val="single" w:sz="4" w:space="0" w:color="auto"/>
              <w:right w:val="single" w:sz="4" w:space="0" w:color="auto"/>
            </w:tcBorders>
            <w:shd w:val="clear" w:color="000000" w:fill="FFFFFF"/>
            <w:noWrap/>
            <w:vAlign w:val="center"/>
            <w:hideMark/>
          </w:tcPr>
          <w:p w14:paraId="0C18F41F" w14:textId="4847412B" w:rsidR="00E043E2" w:rsidRPr="00AF60E4" w:rsidRDefault="00E043E2" w:rsidP="00E043E2">
            <w:pPr>
              <w:keepNext/>
              <w:jc w:val="center"/>
              <w:rPr>
                <w:rFonts w:cs="Calibri"/>
                <w:color w:val="000000"/>
                <w:sz w:val="22"/>
                <w:szCs w:val="22"/>
              </w:rPr>
            </w:pPr>
            <w:r>
              <w:rPr>
                <w:rFonts w:cs="Calibri"/>
                <w:color w:val="000000"/>
                <w:sz w:val="22"/>
                <w:szCs w:val="22"/>
              </w:rPr>
              <w:t>14.0%</w:t>
            </w:r>
          </w:p>
        </w:tc>
        <w:tc>
          <w:tcPr>
            <w:tcW w:w="1051" w:type="dxa"/>
            <w:tcBorders>
              <w:top w:val="nil"/>
              <w:left w:val="nil"/>
              <w:bottom w:val="single" w:sz="4" w:space="0" w:color="auto"/>
              <w:right w:val="single" w:sz="4" w:space="0" w:color="auto"/>
            </w:tcBorders>
            <w:shd w:val="clear" w:color="000000" w:fill="FFFFFF"/>
            <w:noWrap/>
            <w:vAlign w:val="center"/>
            <w:hideMark/>
          </w:tcPr>
          <w:p w14:paraId="345A07D4" w14:textId="28E6E065"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23.0%</w:t>
            </w:r>
          </w:p>
        </w:tc>
        <w:tc>
          <w:tcPr>
            <w:tcW w:w="1189" w:type="dxa"/>
            <w:tcBorders>
              <w:top w:val="nil"/>
              <w:left w:val="nil"/>
              <w:bottom w:val="single" w:sz="4" w:space="0" w:color="auto"/>
              <w:right w:val="single" w:sz="4" w:space="0" w:color="auto"/>
            </w:tcBorders>
            <w:shd w:val="clear" w:color="000000" w:fill="FFFFFF"/>
            <w:noWrap/>
            <w:vAlign w:val="center"/>
            <w:hideMark/>
          </w:tcPr>
          <w:p w14:paraId="7CEB1D30" w14:textId="47E1928D" w:rsidR="00E043E2" w:rsidRPr="00AF60E4" w:rsidRDefault="00E043E2" w:rsidP="00E043E2">
            <w:pPr>
              <w:keepNext/>
              <w:jc w:val="center"/>
              <w:rPr>
                <w:rFonts w:cs="Calibri"/>
                <w:color w:val="000000"/>
                <w:sz w:val="22"/>
                <w:szCs w:val="22"/>
              </w:rPr>
            </w:pPr>
            <w:r>
              <w:rPr>
                <w:rFonts w:cs="Calibri"/>
                <w:color w:val="000000"/>
                <w:sz w:val="22"/>
                <w:szCs w:val="22"/>
              </w:rPr>
              <w:t>4</w:t>
            </w:r>
          </w:p>
        </w:tc>
      </w:tr>
      <w:tr w:rsidR="00E043E2" w:rsidRPr="00AF60E4" w14:paraId="3DB49F34" w14:textId="77777777" w:rsidTr="00A4601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3D483160" w14:textId="77777777" w:rsidR="00E043E2" w:rsidRPr="00AF60E4" w:rsidRDefault="00E043E2" w:rsidP="00E043E2">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159B127C" w14:textId="6713998E" w:rsidR="00E043E2" w:rsidRPr="00AF60E4" w:rsidRDefault="00E043E2" w:rsidP="00E043E2">
            <w:pPr>
              <w:keepNext/>
              <w:rPr>
                <w:rFonts w:cs="Calibri"/>
                <w:color w:val="000000"/>
                <w:sz w:val="22"/>
                <w:szCs w:val="22"/>
              </w:rPr>
            </w:pPr>
            <w:r>
              <w:rPr>
                <w:rFonts w:cs="Calibri"/>
                <w:color w:val="000000"/>
                <w:sz w:val="22"/>
                <w:szCs w:val="22"/>
              </w:rPr>
              <w:t>6. Schools</w:t>
            </w:r>
          </w:p>
        </w:tc>
        <w:tc>
          <w:tcPr>
            <w:tcW w:w="1386" w:type="dxa"/>
            <w:tcBorders>
              <w:top w:val="nil"/>
              <w:left w:val="nil"/>
              <w:bottom w:val="single" w:sz="4" w:space="0" w:color="auto"/>
              <w:right w:val="single" w:sz="4" w:space="0" w:color="auto"/>
            </w:tcBorders>
            <w:shd w:val="clear" w:color="000000" w:fill="FFFFFF"/>
            <w:noWrap/>
            <w:vAlign w:val="center"/>
            <w:hideMark/>
          </w:tcPr>
          <w:p w14:paraId="7920D405" w14:textId="15B87A26" w:rsidR="00E043E2" w:rsidRPr="00AF60E4" w:rsidRDefault="00E043E2" w:rsidP="00E043E2">
            <w:pPr>
              <w:keepNext/>
              <w:jc w:val="center"/>
              <w:rPr>
                <w:rFonts w:cs="Calibri"/>
                <w:color w:val="000000"/>
                <w:sz w:val="22"/>
                <w:szCs w:val="22"/>
              </w:rPr>
            </w:pPr>
            <w:r>
              <w:rPr>
                <w:rFonts w:cs="Calibri"/>
                <w:color w:val="000000"/>
                <w:sz w:val="22"/>
                <w:szCs w:val="22"/>
              </w:rPr>
              <w:t>2</w:t>
            </w:r>
          </w:p>
        </w:tc>
        <w:tc>
          <w:tcPr>
            <w:tcW w:w="1053" w:type="dxa"/>
            <w:tcBorders>
              <w:top w:val="nil"/>
              <w:left w:val="nil"/>
              <w:bottom w:val="single" w:sz="4" w:space="0" w:color="auto"/>
              <w:right w:val="single" w:sz="4" w:space="0" w:color="auto"/>
            </w:tcBorders>
            <w:shd w:val="clear" w:color="000000" w:fill="FFFFFF"/>
            <w:noWrap/>
            <w:vAlign w:val="center"/>
            <w:hideMark/>
          </w:tcPr>
          <w:p w14:paraId="7B72ADC3" w14:textId="75FDE52A" w:rsidR="00E043E2" w:rsidRPr="00AF60E4" w:rsidRDefault="00E043E2" w:rsidP="00E043E2">
            <w:pPr>
              <w:keepNext/>
              <w:jc w:val="center"/>
              <w:rPr>
                <w:rFonts w:cs="Calibri"/>
                <w:color w:val="000000"/>
                <w:sz w:val="22"/>
                <w:szCs w:val="22"/>
              </w:rPr>
            </w:pPr>
            <w:r>
              <w:rPr>
                <w:rFonts w:cs="Calibri"/>
                <w:color w:val="000000"/>
                <w:sz w:val="22"/>
                <w:szCs w:val="22"/>
              </w:rPr>
              <w:t>-4.5%</w:t>
            </w:r>
          </w:p>
        </w:tc>
        <w:tc>
          <w:tcPr>
            <w:tcW w:w="1051" w:type="dxa"/>
            <w:tcBorders>
              <w:top w:val="nil"/>
              <w:left w:val="nil"/>
              <w:bottom w:val="single" w:sz="4" w:space="0" w:color="auto"/>
              <w:right w:val="single" w:sz="4" w:space="0" w:color="auto"/>
            </w:tcBorders>
            <w:shd w:val="clear" w:color="000000" w:fill="FFFFFF"/>
            <w:noWrap/>
            <w:vAlign w:val="center"/>
            <w:hideMark/>
          </w:tcPr>
          <w:p w14:paraId="79810C0B" w14:textId="3E2B5DF2" w:rsidR="00E043E2" w:rsidRPr="00AF60E4" w:rsidRDefault="00E043E2" w:rsidP="00E043E2">
            <w:pPr>
              <w:keepNext/>
              <w:jc w:val="center"/>
              <w:rPr>
                <w:rFonts w:ascii="Arial" w:hAnsi="Arial" w:cs="Arial"/>
                <w:color w:val="000000"/>
                <w:sz w:val="20"/>
                <w:szCs w:val="20"/>
              </w:rPr>
            </w:pPr>
            <w:r>
              <w:rPr>
                <w:rFonts w:ascii="Arial" w:hAnsi="Arial" w:cs="Arial"/>
                <w:color w:val="000000"/>
                <w:sz w:val="20"/>
                <w:szCs w:val="20"/>
              </w:rPr>
              <w:t>18.0%</w:t>
            </w:r>
          </w:p>
        </w:tc>
        <w:tc>
          <w:tcPr>
            <w:tcW w:w="1189" w:type="dxa"/>
            <w:tcBorders>
              <w:top w:val="nil"/>
              <w:left w:val="nil"/>
              <w:bottom w:val="single" w:sz="4" w:space="0" w:color="auto"/>
              <w:right w:val="single" w:sz="4" w:space="0" w:color="auto"/>
            </w:tcBorders>
            <w:shd w:val="clear" w:color="000000" w:fill="FFFFFF"/>
            <w:noWrap/>
            <w:vAlign w:val="center"/>
            <w:hideMark/>
          </w:tcPr>
          <w:p w14:paraId="66B80C16" w14:textId="7A83489F" w:rsidR="00E043E2" w:rsidRPr="00AF60E4" w:rsidRDefault="00E043E2" w:rsidP="00E043E2">
            <w:pPr>
              <w:keepNext/>
              <w:jc w:val="center"/>
              <w:rPr>
                <w:rFonts w:cs="Calibri"/>
                <w:color w:val="000000"/>
                <w:sz w:val="22"/>
                <w:szCs w:val="22"/>
              </w:rPr>
            </w:pPr>
            <w:r>
              <w:rPr>
                <w:rFonts w:cs="Calibri"/>
                <w:color w:val="000000"/>
                <w:sz w:val="22"/>
                <w:szCs w:val="22"/>
              </w:rPr>
              <w:t>1</w:t>
            </w:r>
          </w:p>
        </w:tc>
      </w:tr>
    </w:tbl>
    <w:p w14:paraId="554C675B" w14:textId="77777777" w:rsidR="00E043E2" w:rsidRDefault="00E043E2" w:rsidP="00E043E2"/>
    <w:p w14:paraId="0AA8AD3A" w14:textId="7201C1BE" w:rsidR="00E043E2" w:rsidRDefault="00E043E2" w:rsidP="00E043E2">
      <w:pPr>
        <w:pStyle w:val="TableCaption"/>
        <w:keepNext/>
        <w:keepLines/>
      </w:pPr>
      <w:bookmarkStart w:id="283" w:name="_Toc508800255"/>
      <w:r w:rsidRPr="0088530C">
        <w:lastRenderedPageBreak/>
        <w:t xml:space="preserve">Table </w:t>
      </w:r>
      <w:r>
        <w:t>A</w:t>
      </w:r>
      <w:r w:rsidRPr="0088530C">
        <w:t>.</w:t>
      </w:r>
      <w:r w:rsidR="001A1817">
        <w:t>9</w:t>
      </w:r>
      <w:r w:rsidRPr="0088530C">
        <w:t>: Specification Test Results</w:t>
      </w:r>
      <w:r w:rsidR="00C34420" w:rsidRPr="00C34420">
        <w:t xml:space="preserve"> </w:t>
      </w:r>
      <w:r w:rsidR="00C34420">
        <w:t xml:space="preserve">for the </w:t>
      </w:r>
      <w:r w:rsidR="00C34420">
        <w:rPr>
          <w:i/>
        </w:rPr>
        <w:t xml:space="preserve">Ex-Post </w:t>
      </w:r>
      <w:r w:rsidR="00C34420">
        <w:t>analysis</w:t>
      </w:r>
      <w:r>
        <w:t>, SDG</w:t>
      </w:r>
      <w:r w:rsidR="005E3E51">
        <w:t>&amp;</w:t>
      </w:r>
      <w:r>
        <w:t>E</w:t>
      </w:r>
      <w:bookmarkEnd w:id="283"/>
    </w:p>
    <w:tbl>
      <w:tblPr>
        <w:tblW w:w="9220" w:type="dxa"/>
        <w:jc w:val="center"/>
        <w:tblLook w:val="04A0" w:firstRow="1" w:lastRow="0" w:firstColumn="1" w:lastColumn="0" w:noHBand="0" w:noVBand="1"/>
      </w:tblPr>
      <w:tblGrid>
        <w:gridCol w:w="1028"/>
        <w:gridCol w:w="3700"/>
        <w:gridCol w:w="1386"/>
        <w:gridCol w:w="960"/>
        <w:gridCol w:w="960"/>
        <w:gridCol w:w="1320"/>
      </w:tblGrid>
      <w:tr w:rsidR="00E043E2" w:rsidRPr="00E043E2" w14:paraId="356A1BF9" w14:textId="77777777" w:rsidTr="0086367A">
        <w:trPr>
          <w:trHeight w:val="600"/>
          <w:jc w:val="center"/>
        </w:trPr>
        <w:tc>
          <w:tcPr>
            <w:tcW w:w="960" w:type="dxa"/>
            <w:tcBorders>
              <w:top w:val="single" w:sz="4" w:space="0" w:color="auto"/>
              <w:left w:val="single" w:sz="4" w:space="0" w:color="auto"/>
              <w:bottom w:val="single" w:sz="4" w:space="0" w:color="auto"/>
              <w:right w:val="single" w:sz="4" w:space="0" w:color="FFFFFF"/>
            </w:tcBorders>
            <w:shd w:val="clear" w:color="auto" w:fill="0C2577"/>
            <w:noWrap/>
            <w:vAlign w:val="center"/>
            <w:hideMark/>
          </w:tcPr>
          <w:p w14:paraId="7C05B2D9" w14:textId="77777777" w:rsidR="00E043E2" w:rsidRPr="00E043E2" w:rsidRDefault="00E043E2" w:rsidP="00E043E2">
            <w:pPr>
              <w:keepNext/>
              <w:jc w:val="center"/>
              <w:rPr>
                <w:rFonts w:cs="Calibri"/>
                <w:b/>
                <w:bCs/>
                <w:color w:val="FFFFFF"/>
                <w:sz w:val="22"/>
                <w:szCs w:val="22"/>
              </w:rPr>
            </w:pPr>
            <w:r w:rsidRPr="00E043E2">
              <w:rPr>
                <w:rFonts w:cs="Calibri"/>
                <w:b/>
                <w:bCs/>
                <w:color w:val="FFFFFF"/>
                <w:sz w:val="22"/>
                <w:szCs w:val="22"/>
              </w:rPr>
              <w:t>Group</w:t>
            </w:r>
          </w:p>
        </w:tc>
        <w:tc>
          <w:tcPr>
            <w:tcW w:w="3700" w:type="dxa"/>
            <w:tcBorders>
              <w:top w:val="single" w:sz="4" w:space="0" w:color="auto"/>
              <w:left w:val="nil"/>
              <w:bottom w:val="single" w:sz="4" w:space="0" w:color="auto"/>
              <w:right w:val="single" w:sz="4" w:space="0" w:color="FFFFFF"/>
            </w:tcBorders>
            <w:shd w:val="clear" w:color="auto" w:fill="0C2577"/>
            <w:noWrap/>
            <w:vAlign w:val="center"/>
            <w:hideMark/>
          </w:tcPr>
          <w:p w14:paraId="01AB2C44" w14:textId="77777777" w:rsidR="00E043E2" w:rsidRPr="00E043E2" w:rsidRDefault="00E043E2" w:rsidP="00E043E2">
            <w:pPr>
              <w:keepNext/>
              <w:jc w:val="center"/>
              <w:rPr>
                <w:rFonts w:cs="Calibri"/>
                <w:b/>
                <w:bCs/>
                <w:color w:val="FFFFFF"/>
                <w:sz w:val="22"/>
                <w:szCs w:val="22"/>
              </w:rPr>
            </w:pPr>
            <w:r w:rsidRPr="00E043E2">
              <w:rPr>
                <w:rFonts w:cs="Calibri"/>
                <w:b/>
                <w:bCs/>
                <w:color w:val="FFFFFF"/>
                <w:sz w:val="22"/>
                <w:szCs w:val="22"/>
              </w:rPr>
              <w:t>Industry Type</w:t>
            </w:r>
          </w:p>
        </w:tc>
        <w:tc>
          <w:tcPr>
            <w:tcW w:w="1320" w:type="dxa"/>
            <w:tcBorders>
              <w:top w:val="single" w:sz="4" w:space="0" w:color="auto"/>
              <w:left w:val="nil"/>
              <w:bottom w:val="single" w:sz="4" w:space="0" w:color="auto"/>
              <w:right w:val="single" w:sz="4" w:space="0" w:color="FFFFFF"/>
            </w:tcBorders>
            <w:shd w:val="clear" w:color="auto" w:fill="0C2577"/>
            <w:vAlign w:val="center"/>
            <w:hideMark/>
          </w:tcPr>
          <w:p w14:paraId="1ECDE2E1" w14:textId="77777777" w:rsidR="00E043E2" w:rsidRPr="00E043E2" w:rsidRDefault="00E043E2" w:rsidP="00E043E2">
            <w:pPr>
              <w:keepNext/>
              <w:jc w:val="center"/>
              <w:rPr>
                <w:rFonts w:cs="Calibri"/>
                <w:b/>
                <w:bCs/>
                <w:color w:val="FFFFFF"/>
                <w:sz w:val="22"/>
                <w:szCs w:val="22"/>
              </w:rPr>
            </w:pPr>
            <w:r w:rsidRPr="00E043E2">
              <w:rPr>
                <w:rFonts w:cs="Calibri"/>
                <w:b/>
                <w:bCs/>
                <w:color w:val="FFFFFF"/>
                <w:sz w:val="22"/>
                <w:szCs w:val="22"/>
              </w:rPr>
              <w:t>Selected Specification</w:t>
            </w:r>
          </w:p>
        </w:tc>
        <w:tc>
          <w:tcPr>
            <w:tcW w:w="960" w:type="dxa"/>
            <w:tcBorders>
              <w:top w:val="single" w:sz="4" w:space="0" w:color="auto"/>
              <w:left w:val="nil"/>
              <w:bottom w:val="single" w:sz="4" w:space="0" w:color="auto"/>
              <w:right w:val="single" w:sz="4" w:space="0" w:color="FFFFFF"/>
            </w:tcBorders>
            <w:shd w:val="clear" w:color="auto" w:fill="0C2577"/>
            <w:noWrap/>
            <w:vAlign w:val="center"/>
            <w:hideMark/>
          </w:tcPr>
          <w:p w14:paraId="5B8591BA" w14:textId="77777777" w:rsidR="00E043E2" w:rsidRPr="00E043E2" w:rsidRDefault="00E043E2" w:rsidP="00E043E2">
            <w:pPr>
              <w:keepNext/>
              <w:jc w:val="center"/>
              <w:rPr>
                <w:rFonts w:cs="Calibri"/>
                <w:b/>
                <w:bCs/>
                <w:color w:val="FFFFFF"/>
                <w:sz w:val="22"/>
                <w:szCs w:val="22"/>
              </w:rPr>
            </w:pPr>
            <w:r w:rsidRPr="00E043E2">
              <w:rPr>
                <w:rFonts w:cs="Calibri"/>
                <w:b/>
                <w:bCs/>
                <w:color w:val="FFFFFF"/>
                <w:sz w:val="22"/>
                <w:szCs w:val="22"/>
              </w:rPr>
              <w:t>MPE</w:t>
            </w:r>
          </w:p>
        </w:tc>
        <w:tc>
          <w:tcPr>
            <w:tcW w:w="960" w:type="dxa"/>
            <w:tcBorders>
              <w:top w:val="single" w:sz="4" w:space="0" w:color="auto"/>
              <w:left w:val="nil"/>
              <w:bottom w:val="single" w:sz="4" w:space="0" w:color="auto"/>
              <w:right w:val="single" w:sz="4" w:space="0" w:color="FFFFFF"/>
            </w:tcBorders>
            <w:shd w:val="clear" w:color="auto" w:fill="0C2577"/>
            <w:noWrap/>
            <w:vAlign w:val="center"/>
            <w:hideMark/>
          </w:tcPr>
          <w:p w14:paraId="2E34820F" w14:textId="77777777" w:rsidR="00E043E2" w:rsidRPr="00E043E2" w:rsidRDefault="00E043E2" w:rsidP="00E043E2">
            <w:pPr>
              <w:keepNext/>
              <w:jc w:val="center"/>
              <w:rPr>
                <w:rFonts w:cs="Calibri"/>
                <w:b/>
                <w:bCs/>
                <w:color w:val="FFFFFF"/>
                <w:sz w:val="22"/>
                <w:szCs w:val="22"/>
              </w:rPr>
            </w:pPr>
            <w:r w:rsidRPr="00E043E2">
              <w:rPr>
                <w:rFonts w:cs="Calibri"/>
                <w:b/>
                <w:bCs/>
                <w:color w:val="FFFFFF"/>
                <w:sz w:val="22"/>
                <w:szCs w:val="22"/>
              </w:rPr>
              <w:t>MAPE</w:t>
            </w:r>
          </w:p>
        </w:tc>
        <w:tc>
          <w:tcPr>
            <w:tcW w:w="1320" w:type="dxa"/>
            <w:tcBorders>
              <w:top w:val="single" w:sz="4" w:space="0" w:color="auto"/>
              <w:left w:val="nil"/>
              <w:bottom w:val="single" w:sz="4" w:space="0" w:color="auto"/>
              <w:right w:val="single" w:sz="4" w:space="0" w:color="auto"/>
            </w:tcBorders>
            <w:shd w:val="clear" w:color="auto" w:fill="0C2577"/>
            <w:vAlign w:val="center"/>
            <w:hideMark/>
          </w:tcPr>
          <w:p w14:paraId="2F6E4C19" w14:textId="77777777" w:rsidR="00E043E2" w:rsidRPr="00E043E2" w:rsidRDefault="00E043E2" w:rsidP="00E043E2">
            <w:pPr>
              <w:keepNext/>
              <w:jc w:val="center"/>
              <w:rPr>
                <w:rFonts w:cs="Calibri"/>
                <w:b/>
                <w:bCs/>
                <w:color w:val="FFFFFF"/>
                <w:sz w:val="22"/>
                <w:szCs w:val="22"/>
              </w:rPr>
            </w:pPr>
            <w:r w:rsidRPr="00E043E2">
              <w:rPr>
                <w:rFonts w:cs="Calibri"/>
                <w:b/>
                <w:bCs/>
                <w:color w:val="FFFFFF"/>
                <w:sz w:val="22"/>
                <w:szCs w:val="22"/>
              </w:rPr>
              <w:t>Number of Customers</w:t>
            </w:r>
          </w:p>
        </w:tc>
      </w:tr>
      <w:tr w:rsidR="00E043E2" w:rsidRPr="00E043E2" w14:paraId="20976960" w14:textId="77777777" w:rsidTr="00A46010">
        <w:trPr>
          <w:trHeight w:val="300"/>
          <w:jc w:val="center"/>
        </w:trPr>
        <w:tc>
          <w:tcPr>
            <w:tcW w:w="9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BFDE79" w14:textId="77777777" w:rsidR="00E043E2" w:rsidRPr="00E043E2" w:rsidRDefault="00E043E2" w:rsidP="00E043E2">
            <w:pPr>
              <w:keepNext/>
              <w:jc w:val="center"/>
              <w:rPr>
                <w:rFonts w:ascii="Arial" w:hAnsi="Arial" w:cs="Arial"/>
                <w:color w:val="000000"/>
                <w:sz w:val="20"/>
                <w:szCs w:val="20"/>
              </w:rPr>
            </w:pPr>
            <w:r w:rsidRPr="00E043E2">
              <w:rPr>
                <w:rFonts w:ascii="Arial" w:hAnsi="Arial" w:cs="Arial"/>
                <w:color w:val="000000"/>
                <w:sz w:val="20"/>
                <w:szCs w:val="20"/>
              </w:rPr>
              <w:t>Weather Sensitive</w:t>
            </w:r>
          </w:p>
        </w:tc>
        <w:tc>
          <w:tcPr>
            <w:tcW w:w="3700" w:type="dxa"/>
            <w:tcBorders>
              <w:top w:val="nil"/>
              <w:left w:val="nil"/>
              <w:bottom w:val="single" w:sz="4" w:space="0" w:color="auto"/>
              <w:right w:val="single" w:sz="4" w:space="0" w:color="auto"/>
            </w:tcBorders>
            <w:shd w:val="clear" w:color="000000" w:fill="FFFFFF"/>
            <w:noWrap/>
            <w:vAlign w:val="center"/>
            <w:hideMark/>
          </w:tcPr>
          <w:p w14:paraId="55C69894" w14:textId="77777777" w:rsidR="00E043E2" w:rsidRPr="00E043E2" w:rsidRDefault="00E043E2" w:rsidP="00E043E2">
            <w:pPr>
              <w:keepNext/>
              <w:rPr>
                <w:rFonts w:cs="Calibri"/>
                <w:color w:val="000000"/>
                <w:sz w:val="22"/>
                <w:szCs w:val="22"/>
              </w:rPr>
            </w:pPr>
            <w:r w:rsidRPr="00E043E2">
              <w:rPr>
                <w:rFonts w:cs="Calibri"/>
                <w:color w:val="000000"/>
                <w:sz w:val="22"/>
                <w:szCs w:val="22"/>
              </w:rPr>
              <w:t>1. Agriculture, Mining, Construction</w:t>
            </w:r>
          </w:p>
        </w:tc>
        <w:tc>
          <w:tcPr>
            <w:tcW w:w="1320" w:type="dxa"/>
            <w:tcBorders>
              <w:top w:val="nil"/>
              <w:left w:val="nil"/>
              <w:bottom w:val="single" w:sz="4" w:space="0" w:color="auto"/>
              <w:right w:val="single" w:sz="4" w:space="0" w:color="auto"/>
            </w:tcBorders>
            <w:shd w:val="clear" w:color="000000" w:fill="FFFFFF"/>
            <w:noWrap/>
            <w:vAlign w:val="center"/>
            <w:hideMark/>
          </w:tcPr>
          <w:p w14:paraId="3ED850B0" w14:textId="77777777" w:rsidR="00E043E2" w:rsidRPr="00E043E2" w:rsidRDefault="00E043E2" w:rsidP="00E043E2">
            <w:pPr>
              <w:keepNext/>
              <w:jc w:val="center"/>
              <w:rPr>
                <w:rFonts w:cs="Calibri"/>
                <w:color w:val="000000"/>
                <w:sz w:val="22"/>
                <w:szCs w:val="22"/>
              </w:rPr>
            </w:pPr>
            <w:r w:rsidRPr="00E043E2">
              <w:rPr>
                <w:rFonts w:cs="Calibri"/>
                <w:color w:val="000000"/>
                <w:sz w:val="22"/>
                <w:szCs w:val="22"/>
              </w:rPr>
              <w:t>7</w:t>
            </w:r>
          </w:p>
        </w:tc>
        <w:tc>
          <w:tcPr>
            <w:tcW w:w="960" w:type="dxa"/>
            <w:tcBorders>
              <w:top w:val="nil"/>
              <w:left w:val="nil"/>
              <w:bottom w:val="single" w:sz="4" w:space="0" w:color="auto"/>
              <w:right w:val="single" w:sz="4" w:space="0" w:color="auto"/>
            </w:tcBorders>
            <w:shd w:val="clear" w:color="000000" w:fill="FFFFFF"/>
            <w:noWrap/>
            <w:vAlign w:val="center"/>
            <w:hideMark/>
          </w:tcPr>
          <w:p w14:paraId="0B9C517F" w14:textId="77777777" w:rsidR="00E043E2" w:rsidRPr="00E043E2" w:rsidRDefault="00E043E2" w:rsidP="00E043E2">
            <w:pPr>
              <w:keepNext/>
              <w:jc w:val="center"/>
              <w:rPr>
                <w:rFonts w:cs="Calibri"/>
                <w:color w:val="000000"/>
                <w:sz w:val="22"/>
                <w:szCs w:val="22"/>
              </w:rPr>
            </w:pPr>
            <w:r w:rsidRPr="00E043E2">
              <w:rPr>
                <w:rFonts w:cs="Calibri"/>
                <w:color w:val="000000"/>
                <w:sz w:val="22"/>
                <w:szCs w:val="22"/>
              </w:rPr>
              <w:t>80.7%</w:t>
            </w:r>
          </w:p>
        </w:tc>
        <w:tc>
          <w:tcPr>
            <w:tcW w:w="960" w:type="dxa"/>
            <w:tcBorders>
              <w:top w:val="nil"/>
              <w:left w:val="nil"/>
              <w:bottom w:val="single" w:sz="4" w:space="0" w:color="auto"/>
              <w:right w:val="single" w:sz="4" w:space="0" w:color="auto"/>
            </w:tcBorders>
            <w:shd w:val="clear" w:color="000000" w:fill="FFFFFF"/>
            <w:noWrap/>
            <w:vAlign w:val="center"/>
            <w:hideMark/>
          </w:tcPr>
          <w:p w14:paraId="06EF3BA6" w14:textId="77777777" w:rsidR="00E043E2" w:rsidRPr="00E043E2" w:rsidRDefault="00E043E2" w:rsidP="00E043E2">
            <w:pPr>
              <w:keepNext/>
              <w:jc w:val="right"/>
              <w:rPr>
                <w:rFonts w:ascii="Arial" w:hAnsi="Arial" w:cs="Arial"/>
                <w:color w:val="000000"/>
                <w:sz w:val="20"/>
                <w:szCs w:val="20"/>
              </w:rPr>
            </w:pPr>
            <w:r w:rsidRPr="00E043E2">
              <w:rPr>
                <w:rFonts w:ascii="Arial" w:hAnsi="Arial" w:cs="Arial"/>
                <w:color w:val="000000"/>
                <w:sz w:val="20"/>
                <w:szCs w:val="20"/>
              </w:rPr>
              <w:t>102.2%</w:t>
            </w:r>
          </w:p>
        </w:tc>
        <w:tc>
          <w:tcPr>
            <w:tcW w:w="1320" w:type="dxa"/>
            <w:tcBorders>
              <w:top w:val="nil"/>
              <w:left w:val="nil"/>
              <w:bottom w:val="single" w:sz="4" w:space="0" w:color="auto"/>
              <w:right w:val="single" w:sz="4" w:space="0" w:color="auto"/>
            </w:tcBorders>
            <w:shd w:val="clear" w:color="000000" w:fill="FFFFFF"/>
            <w:noWrap/>
            <w:vAlign w:val="center"/>
            <w:hideMark/>
          </w:tcPr>
          <w:p w14:paraId="22CFFFDC" w14:textId="77777777" w:rsidR="00E043E2" w:rsidRPr="00E043E2" w:rsidRDefault="00E043E2" w:rsidP="00E043E2">
            <w:pPr>
              <w:keepNext/>
              <w:jc w:val="center"/>
              <w:rPr>
                <w:rFonts w:cs="Calibri"/>
                <w:color w:val="000000"/>
                <w:sz w:val="22"/>
                <w:szCs w:val="22"/>
              </w:rPr>
            </w:pPr>
            <w:r w:rsidRPr="00E043E2">
              <w:rPr>
                <w:rFonts w:cs="Calibri"/>
                <w:color w:val="000000"/>
                <w:sz w:val="22"/>
                <w:szCs w:val="22"/>
              </w:rPr>
              <w:t>1</w:t>
            </w:r>
          </w:p>
        </w:tc>
      </w:tr>
      <w:tr w:rsidR="00E043E2" w:rsidRPr="00E043E2" w14:paraId="5539F954" w14:textId="77777777" w:rsidTr="00A46010">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14:paraId="6BB2422B" w14:textId="77777777" w:rsidR="00E043E2" w:rsidRPr="00E043E2" w:rsidRDefault="00E043E2" w:rsidP="00E043E2">
            <w:pPr>
              <w:keepNext/>
              <w:rPr>
                <w:rFonts w:ascii="Arial" w:hAnsi="Arial" w:cs="Arial"/>
                <w:color w:val="000000"/>
                <w:sz w:val="20"/>
                <w:szCs w:val="20"/>
              </w:rPr>
            </w:pPr>
          </w:p>
        </w:tc>
        <w:tc>
          <w:tcPr>
            <w:tcW w:w="3700" w:type="dxa"/>
            <w:tcBorders>
              <w:top w:val="nil"/>
              <w:left w:val="nil"/>
              <w:bottom w:val="single" w:sz="4" w:space="0" w:color="auto"/>
              <w:right w:val="single" w:sz="4" w:space="0" w:color="auto"/>
            </w:tcBorders>
            <w:shd w:val="clear" w:color="000000" w:fill="FFFFFF"/>
            <w:noWrap/>
            <w:vAlign w:val="center"/>
            <w:hideMark/>
          </w:tcPr>
          <w:p w14:paraId="30A1519A" w14:textId="77777777" w:rsidR="00E043E2" w:rsidRPr="00E043E2" w:rsidRDefault="00E043E2" w:rsidP="00E043E2">
            <w:pPr>
              <w:keepNext/>
              <w:rPr>
                <w:rFonts w:cs="Calibri"/>
                <w:color w:val="000000"/>
                <w:sz w:val="22"/>
                <w:szCs w:val="22"/>
              </w:rPr>
            </w:pPr>
            <w:r w:rsidRPr="00E043E2">
              <w:rPr>
                <w:rFonts w:cs="Calibri"/>
                <w:color w:val="000000"/>
                <w:sz w:val="22"/>
                <w:szCs w:val="22"/>
              </w:rPr>
              <w:t>2. Manufacturing</w:t>
            </w:r>
          </w:p>
        </w:tc>
        <w:tc>
          <w:tcPr>
            <w:tcW w:w="1320" w:type="dxa"/>
            <w:tcBorders>
              <w:top w:val="nil"/>
              <w:left w:val="nil"/>
              <w:bottom w:val="single" w:sz="4" w:space="0" w:color="auto"/>
              <w:right w:val="single" w:sz="4" w:space="0" w:color="auto"/>
            </w:tcBorders>
            <w:shd w:val="clear" w:color="000000" w:fill="FFFFFF"/>
            <w:noWrap/>
            <w:vAlign w:val="center"/>
            <w:hideMark/>
          </w:tcPr>
          <w:p w14:paraId="37C43CAA" w14:textId="77777777" w:rsidR="00E043E2" w:rsidRPr="00E043E2" w:rsidRDefault="00E043E2" w:rsidP="00E043E2">
            <w:pPr>
              <w:keepNext/>
              <w:jc w:val="center"/>
              <w:rPr>
                <w:rFonts w:cs="Calibri"/>
                <w:color w:val="000000"/>
                <w:sz w:val="22"/>
                <w:szCs w:val="22"/>
              </w:rPr>
            </w:pPr>
            <w:r w:rsidRPr="00E043E2">
              <w:rPr>
                <w:rFonts w:cs="Calibri"/>
                <w:color w:val="000000"/>
                <w:sz w:val="22"/>
                <w:szCs w:val="22"/>
              </w:rPr>
              <w:t>7</w:t>
            </w:r>
          </w:p>
        </w:tc>
        <w:tc>
          <w:tcPr>
            <w:tcW w:w="960" w:type="dxa"/>
            <w:tcBorders>
              <w:top w:val="nil"/>
              <w:left w:val="nil"/>
              <w:bottom w:val="single" w:sz="4" w:space="0" w:color="auto"/>
              <w:right w:val="single" w:sz="4" w:space="0" w:color="auto"/>
            </w:tcBorders>
            <w:shd w:val="clear" w:color="000000" w:fill="FFFFFF"/>
            <w:noWrap/>
            <w:vAlign w:val="center"/>
            <w:hideMark/>
          </w:tcPr>
          <w:p w14:paraId="7E5816AD" w14:textId="77777777" w:rsidR="00E043E2" w:rsidRPr="00E043E2" w:rsidRDefault="00E043E2" w:rsidP="00E043E2">
            <w:pPr>
              <w:keepNext/>
              <w:jc w:val="center"/>
              <w:rPr>
                <w:rFonts w:cs="Calibri"/>
                <w:color w:val="000000"/>
                <w:sz w:val="22"/>
                <w:szCs w:val="22"/>
              </w:rPr>
            </w:pPr>
            <w:r w:rsidRPr="00E043E2">
              <w:rPr>
                <w:rFonts w:cs="Calibri"/>
                <w:color w:val="000000"/>
                <w:sz w:val="22"/>
                <w:szCs w:val="22"/>
              </w:rPr>
              <w:t>2.0%</w:t>
            </w:r>
          </w:p>
        </w:tc>
        <w:tc>
          <w:tcPr>
            <w:tcW w:w="960" w:type="dxa"/>
            <w:tcBorders>
              <w:top w:val="nil"/>
              <w:left w:val="nil"/>
              <w:bottom w:val="single" w:sz="4" w:space="0" w:color="auto"/>
              <w:right w:val="single" w:sz="4" w:space="0" w:color="auto"/>
            </w:tcBorders>
            <w:shd w:val="clear" w:color="000000" w:fill="FFFFFF"/>
            <w:noWrap/>
            <w:vAlign w:val="center"/>
            <w:hideMark/>
          </w:tcPr>
          <w:p w14:paraId="146AF1A6" w14:textId="77777777" w:rsidR="00E043E2" w:rsidRPr="00E043E2" w:rsidRDefault="00E043E2" w:rsidP="00E043E2">
            <w:pPr>
              <w:keepNext/>
              <w:jc w:val="right"/>
              <w:rPr>
                <w:rFonts w:ascii="Arial" w:hAnsi="Arial" w:cs="Arial"/>
                <w:color w:val="000000"/>
                <w:sz w:val="20"/>
                <w:szCs w:val="20"/>
              </w:rPr>
            </w:pPr>
            <w:r w:rsidRPr="00E043E2">
              <w:rPr>
                <w:rFonts w:ascii="Arial" w:hAnsi="Arial" w:cs="Arial"/>
                <w:color w:val="000000"/>
                <w:sz w:val="20"/>
                <w:szCs w:val="20"/>
              </w:rPr>
              <w:t>9.4%</w:t>
            </w:r>
          </w:p>
        </w:tc>
        <w:tc>
          <w:tcPr>
            <w:tcW w:w="1320" w:type="dxa"/>
            <w:tcBorders>
              <w:top w:val="nil"/>
              <w:left w:val="nil"/>
              <w:bottom w:val="single" w:sz="4" w:space="0" w:color="auto"/>
              <w:right w:val="single" w:sz="4" w:space="0" w:color="auto"/>
            </w:tcBorders>
            <w:shd w:val="clear" w:color="000000" w:fill="FFFFFF"/>
            <w:noWrap/>
            <w:vAlign w:val="center"/>
            <w:hideMark/>
          </w:tcPr>
          <w:p w14:paraId="65C51816" w14:textId="77777777" w:rsidR="00E043E2" w:rsidRPr="00E043E2" w:rsidRDefault="00E043E2" w:rsidP="00E043E2">
            <w:pPr>
              <w:keepNext/>
              <w:jc w:val="center"/>
              <w:rPr>
                <w:rFonts w:cs="Calibri"/>
                <w:color w:val="000000"/>
                <w:sz w:val="22"/>
                <w:szCs w:val="22"/>
              </w:rPr>
            </w:pPr>
            <w:r w:rsidRPr="00E043E2">
              <w:rPr>
                <w:rFonts w:cs="Calibri"/>
                <w:color w:val="000000"/>
                <w:sz w:val="22"/>
                <w:szCs w:val="22"/>
              </w:rPr>
              <w:t>1</w:t>
            </w:r>
          </w:p>
        </w:tc>
      </w:tr>
      <w:tr w:rsidR="00E043E2" w:rsidRPr="00E043E2" w14:paraId="561D01A8" w14:textId="77777777" w:rsidTr="00A46010">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14:paraId="2C1EF697" w14:textId="77777777" w:rsidR="00E043E2" w:rsidRPr="00E043E2" w:rsidRDefault="00E043E2" w:rsidP="00E043E2">
            <w:pPr>
              <w:keepNext/>
              <w:rPr>
                <w:rFonts w:ascii="Arial" w:hAnsi="Arial" w:cs="Arial"/>
                <w:color w:val="000000"/>
                <w:sz w:val="20"/>
                <w:szCs w:val="20"/>
              </w:rPr>
            </w:pPr>
          </w:p>
        </w:tc>
        <w:tc>
          <w:tcPr>
            <w:tcW w:w="3700" w:type="dxa"/>
            <w:tcBorders>
              <w:top w:val="nil"/>
              <w:left w:val="nil"/>
              <w:bottom w:val="single" w:sz="4" w:space="0" w:color="auto"/>
              <w:right w:val="single" w:sz="4" w:space="0" w:color="auto"/>
            </w:tcBorders>
            <w:shd w:val="clear" w:color="000000" w:fill="FFFFFF"/>
            <w:noWrap/>
            <w:vAlign w:val="center"/>
            <w:hideMark/>
          </w:tcPr>
          <w:p w14:paraId="3AE6C7FC" w14:textId="77777777" w:rsidR="00E043E2" w:rsidRPr="00E043E2" w:rsidRDefault="00E043E2" w:rsidP="00E043E2">
            <w:pPr>
              <w:keepNext/>
              <w:rPr>
                <w:rFonts w:cs="Calibri"/>
                <w:color w:val="000000"/>
                <w:sz w:val="22"/>
                <w:szCs w:val="22"/>
              </w:rPr>
            </w:pPr>
            <w:r w:rsidRPr="00E043E2">
              <w:rPr>
                <w:rFonts w:cs="Calibri"/>
                <w:color w:val="000000"/>
                <w:sz w:val="22"/>
                <w:szCs w:val="22"/>
              </w:rPr>
              <w:t>4. Retail</w:t>
            </w:r>
          </w:p>
        </w:tc>
        <w:tc>
          <w:tcPr>
            <w:tcW w:w="1320" w:type="dxa"/>
            <w:tcBorders>
              <w:top w:val="nil"/>
              <w:left w:val="nil"/>
              <w:bottom w:val="single" w:sz="4" w:space="0" w:color="auto"/>
              <w:right w:val="single" w:sz="4" w:space="0" w:color="auto"/>
            </w:tcBorders>
            <w:shd w:val="clear" w:color="000000" w:fill="FFFFFF"/>
            <w:noWrap/>
            <w:vAlign w:val="center"/>
            <w:hideMark/>
          </w:tcPr>
          <w:p w14:paraId="4292F32D" w14:textId="77777777" w:rsidR="00E043E2" w:rsidRPr="00E043E2" w:rsidRDefault="00E043E2" w:rsidP="00E043E2">
            <w:pPr>
              <w:keepNext/>
              <w:jc w:val="center"/>
              <w:rPr>
                <w:rFonts w:cs="Calibri"/>
                <w:color w:val="000000"/>
                <w:sz w:val="22"/>
                <w:szCs w:val="22"/>
              </w:rPr>
            </w:pPr>
            <w:r w:rsidRPr="00E043E2">
              <w:rPr>
                <w:rFonts w:cs="Calibri"/>
                <w:color w:val="000000"/>
                <w:sz w:val="22"/>
                <w:szCs w:val="22"/>
              </w:rPr>
              <w:t>3</w:t>
            </w:r>
          </w:p>
        </w:tc>
        <w:tc>
          <w:tcPr>
            <w:tcW w:w="960" w:type="dxa"/>
            <w:tcBorders>
              <w:top w:val="nil"/>
              <w:left w:val="nil"/>
              <w:bottom w:val="single" w:sz="4" w:space="0" w:color="auto"/>
              <w:right w:val="single" w:sz="4" w:space="0" w:color="auto"/>
            </w:tcBorders>
            <w:shd w:val="clear" w:color="000000" w:fill="FFFFFF"/>
            <w:noWrap/>
            <w:vAlign w:val="center"/>
            <w:hideMark/>
          </w:tcPr>
          <w:p w14:paraId="1A87DD04" w14:textId="77777777" w:rsidR="00E043E2" w:rsidRPr="00E043E2" w:rsidRDefault="00E043E2" w:rsidP="00E043E2">
            <w:pPr>
              <w:keepNext/>
              <w:jc w:val="center"/>
              <w:rPr>
                <w:rFonts w:cs="Calibri"/>
                <w:color w:val="000000"/>
                <w:sz w:val="22"/>
                <w:szCs w:val="22"/>
              </w:rPr>
            </w:pPr>
            <w:r w:rsidRPr="00E043E2">
              <w:rPr>
                <w:rFonts w:cs="Calibri"/>
                <w:color w:val="000000"/>
                <w:sz w:val="22"/>
                <w:szCs w:val="22"/>
              </w:rPr>
              <w:t>0.2%</w:t>
            </w:r>
          </w:p>
        </w:tc>
        <w:tc>
          <w:tcPr>
            <w:tcW w:w="960" w:type="dxa"/>
            <w:tcBorders>
              <w:top w:val="nil"/>
              <w:left w:val="nil"/>
              <w:bottom w:val="single" w:sz="4" w:space="0" w:color="auto"/>
              <w:right w:val="single" w:sz="4" w:space="0" w:color="auto"/>
            </w:tcBorders>
            <w:shd w:val="clear" w:color="000000" w:fill="FFFFFF"/>
            <w:noWrap/>
            <w:vAlign w:val="center"/>
            <w:hideMark/>
          </w:tcPr>
          <w:p w14:paraId="6936A9DC" w14:textId="77777777" w:rsidR="00E043E2" w:rsidRPr="00E043E2" w:rsidRDefault="00E043E2" w:rsidP="00E043E2">
            <w:pPr>
              <w:keepNext/>
              <w:jc w:val="right"/>
              <w:rPr>
                <w:rFonts w:ascii="Arial" w:hAnsi="Arial" w:cs="Arial"/>
                <w:color w:val="000000"/>
                <w:sz w:val="20"/>
                <w:szCs w:val="20"/>
              </w:rPr>
            </w:pPr>
            <w:r w:rsidRPr="00E043E2">
              <w:rPr>
                <w:rFonts w:ascii="Arial" w:hAnsi="Arial" w:cs="Arial"/>
                <w:color w:val="000000"/>
                <w:sz w:val="20"/>
                <w:szCs w:val="20"/>
              </w:rPr>
              <w:t>1.4%</w:t>
            </w:r>
          </w:p>
        </w:tc>
        <w:tc>
          <w:tcPr>
            <w:tcW w:w="1320" w:type="dxa"/>
            <w:tcBorders>
              <w:top w:val="nil"/>
              <w:left w:val="nil"/>
              <w:bottom w:val="single" w:sz="4" w:space="0" w:color="auto"/>
              <w:right w:val="single" w:sz="4" w:space="0" w:color="auto"/>
            </w:tcBorders>
            <w:shd w:val="clear" w:color="000000" w:fill="FFFFFF"/>
            <w:noWrap/>
            <w:vAlign w:val="center"/>
            <w:hideMark/>
          </w:tcPr>
          <w:p w14:paraId="711F3ABB" w14:textId="77777777" w:rsidR="00E043E2" w:rsidRPr="00E043E2" w:rsidRDefault="00E043E2" w:rsidP="00E043E2">
            <w:pPr>
              <w:keepNext/>
              <w:jc w:val="center"/>
              <w:rPr>
                <w:rFonts w:cs="Calibri"/>
                <w:color w:val="000000"/>
                <w:sz w:val="22"/>
                <w:szCs w:val="22"/>
              </w:rPr>
            </w:pPr>
            <w:r w:rsidRPr="00E043E2">
              <w:rPr>
                <w:rFonts w:cs="Calibri"/>
                <w:color w:val="000000"/>
                <w:sz w:val="22"/>
                <w:szCs w:val="22"/>
              </w:rPr>
              <w:t>2</w:t>
            </w:r>
          </w:p>
        </w:tc>
      </w:tr>
      <w:tr w:rsidR="00E043E2" w:rsidRPr="00E043E2" w14:paraId="15FC10A7" w14:textId="77777777" w:rsidTr="00A46010">
        <w:trPr>
          <w:trHeight w:val="960"/>
          <w:jc w:val="center"/>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1D56F43" w14:textId="77777777" w:rsidR="00E043E2" w:rsidRPr="00E043E2" w:rsidRDefault="00E043E2" w:rsidP="00E043E2">
            <w:pPr>
              <w:keepNext/>
              <w:jc w:val="center"/>
              <w:rPr>
                <w:rFonts w:ascii="Arial" w:hAnsi="Arial" w:cs="Arial"/>
                <w:color w:val="000000"/>
                <w:sz w:val="20"/>
                <w:szCs w:val="20"/>
              </w:rPr>
            </w:pPr>
            <w:r w:rsidRPr="00E043E2">
              <w:rPr>
                <w:rFonts w:ascii="Arial" w:hAnsi="Arial" w:cs="Arial"/>
                <w:color w:val="000000"/>
                <w:sz w:val="20"/>
                <w:szCs w:val="20"/>
              </w:rPr>
              <w:t>Non-Weather Sensitive</w:t>
            </w:r>
          </w:p>
        </w:tc>
        <w:tc>
          <w:tcPr>
            <w:tcW w:w="3700" w:type="dxa"/>
            <w:tcBorders>
              <w:top w:val="nil"/>
              <w:left w:val="nil"/>
              <w:bottom w:val="single" w:sz="4" w:space="0" w:color="auto"/>
              <w:right w:val="single" w:sz="4" w:space="0" w:color="auto"/>
            </w:tcBorders>
            <w:shd w:val="clear" w:color="000000" w:fill="FFFFFF"/>
            <w:noWrap/>
            <w:vAlign w:val="center"/>
            <w:hideMark/>
          </w:tcPr>
          <w:p w14:paraId="641A2006" w14:textId="77777777" w:rsidR="00E043E2" w:rsidRPr="00E043E2" w:rsidRDefault="00E043E2" w:rsidP="00E043E2">
            <w:pPr>
              <w:keepNext/>
              <w:rPr>
                <w:rFonts w:cs="Calibri"/>
                <w:color w:val="000000"/>
                <w:sz w:val="22"/>
                <w:szCs w:val="22"/>
              </w:rPr>
            </w:pPr>
            <w:r w:rsidRPr="00E043E2">
              <w:rPr>
                <w:rFonts w:cs="Calibri"/>
                <w:color w:val="000000"/>
                <w:sz w:val="22"/>
                <w:szCs w:val="22"/>
              </w:rPr>
              <w:t>1. Agriculture, Mining, Construction</w:t>
            </w:r>
          </w:p>
        </w:tc>
        <w:tc>
          <w:tcPr>
            <w:tcW w:w="1320" w:type="dxa"/>
            <w:tcBorders>
              <w:top w:val="nil"/>
              <w:left w:val="nil"/>
              <w:bottom w:val="single" w:sz="4" w:space="0" w:color="auto"/>
              <w:right w:val="single" w:sz="4" w:space="0" w:color="auto"/>
            </w:tcBorders>
            <w:shd w:val="clear" w:color="000000" w:fill="FFFFFF"/>
            <w:noWrap/>
            <w:vAlign w:val="center"/>
            <w:hideMark/>
          </w:tcPr>
          <w:p w14:paraId="594B7958" w14:textId="77777777" w:rsidR="00E043E2" w:rsidRPr="00E043E2" w:rsidRDefault="00E043E2" w:rsidP="00E043E2">
            <w:pPr>
              <w:keepNext/>
              <w:jc w:val="center"/>
              <w:rPr>
                <w:rFonts w:cs="Calibri"/>
                <w:color w:val="000000"/>
                <w:sz w:val="22"/>
                <w:szCs w:val="22"/>
              </w:rPr>
            </w:pPr>
            <w:r w:rsidRPr="00E043E2">
              <w:rPr>
                <w:rFonts w:cs="Calibri"/>
                <w:color w:val="000000"/>
                <w:sz w:val="22"/>
                <w:szCs w:val="22"/>
              </w:rPr>
              <w:t>2</w:t>
            </w:r>
          </w:p>
        </w:tc>
        <w:tc>
          <w:tcPr>
            <w:tcW w:w="960" w:type="dxa"/>
            <w:tcBorders>
              <w:top w:val="nil"/>
              <w:left w:val="nil"/>
              <w:bottom w:val="single" w:sz="4" w:space="0" w:color="auto"/>
              <w:right w:val="single" w:sz="4" w:space="0" w:color="auto"/>
            </w:tcBorders>
            <w:shd w:val="clear" w:color="000000" w:fill="FFFFFF"/>
            <w:noWrap/>
            <w:vAlign w:val="center"/>
            <w:hideMark/>
          </w:tcPr>
          <w:p w14:paraId="3F7B05C7" w14:textId="77777777" w:rsidR="00E043E2" w:rsidRPr="00E043E2" w:rsidRDefault="00E043E2" w:rsidP="00E043E2">
            <w:pPr>
              <w:keepNext/>
              <w:jc w:val="center"/>
              <w:rPr>
                <w:rFonts w:cs="Calibri"/>
                <w:color w:val="000000"/>
                <w:sz w:val="22"/>
                <w:szCs w:val="22"/>
              </w:rPr>
            </w:pPr>
            <w:r w:rsidRPr="00E043E2">
              <w:rPr>
                <w:rFonts w:cs="Calibri"/>
                <w:color w:val="000000"/>
                <w:sz w:val="22"/>
                <w:szCs w:val="22"/>
              </w:rPr>
              <w:t>11.4%</w:t>
            </w:r>
          </w:p>
        </w:tc>
        <w:tc>
          <w:tcPr>
            <w:tcW w:w="960" w:type="dxa"/>
            <w:tcBorders>
              <w:top w:val="nil"/>
              <w:left w:val="nil"/>
              <w:bottom w:val="single" w:sz="4" w:space="0" w:color="auto"/>
              <w:right w:val="single" w:sz="4" w:space="0" w:color="auto"/>
            </w:tcBorders>
            <w:shd w:val="clear" w:color="000000" w:fill="FFFFFF"/>
            <w:noWrap/>
            <w:vAlign w:val="center"/>
            <w:hideMark/>
          </w:tcPr>
          <w:p w14:paraId="6D9970D7" w14:textId="77777777" w:rsidR="00E043E2" w:rsidRPr="00E043E2" w:rsidRDefault="00E043E2" w:rsidP="00E043E2">
            <w:pPr>
              <w:keepNext/>
              <w:jc w:val="right"/>
              <w:rPr>
                <w:rFonts w:ascii="Arial" w:hAnsi="Arial" w:cs="Arial"/>
                <w:color w:val="000000"/>
                <w:sz w:val="20"/>
                <w:szCs w:val="20"/>
              </w:rPr>
            </w:pPr>
            <w:r w:rsidRPr="00E043E2">
              <w:rPr>
                <w:rFonts w:ascii="Arial" w:hAnsi="Arial" w:cs="Arial"/>
                <w:color w:val="000000"/>
                <w:sz w:val="20"/>
                <w:szCs w:val="20"/>
              </w:rPr>
              <w:t>29.2%</w:t>
            </w:r>
          </w:p>
        </w:tc>
        <w:tc>
          <w:tcPr>
            <w:tcW w:w="1320" w:type="dxa"/>
            <w:tcBorders>
              <w:top w:val="nil"/>
              <w:left w:val="nil"/>
              <w:bottom w:val="single" w:sz="4" w:space="0" w:color="auto"/>
              <w:right w:val="single" w:sz="4" w:space="0" w:color="auto"/>
            </w:tcBorders>
            <w:shd w:val="clear" w:color="000000" w:fill="FFFFFF"/>
            <w:noWrap/>
            <w:vAlign w:val="center"/>
            <w:hideMark/>
          </w:tcPr>
          <w:p w14:paraId="328AE83C" w14:textId="77777777" w:rsidR="00E043E2" w:rsidRPr="00E043E2" w:rsidRDefault="00E043E2" w:rsidP="00E043E2">
            <w:pPr>
              <w:keepNext/>
              <w:jc w:val="center"/>
              <w:rPr>
                <w:rFonts w:cs="Calibri"/>
                <w:color w:val="000000"/>
                <w:sz w:val="22"/>
                <w:szCs w:val="22"/>
              </w:rPr>
            </w:pPr>
            <w:r w:rsidRPr="00E043E2">
              <w:rPr>
                <w:rFonts w:cs="Calibri"/>
                <w:color w:val="000000"/>
                <w:sz w:val="22"/>
                <w:szCs w:val="22"/>
              </w:rPr>
              <w:t>2</w:t>
            </w:r>
          </w:p>
        </w:tc>
      </w:tr>
    </w:tbl>
    <w:p w14:paraId="59F613C9" w14:textId="49BE6680" w:rsidR="00E043E2" w:rsidRDefault="00E043E2" w:rsidP="00E043E2">
      <w:pPr>
        <w:pStyle w:val="TableCaption"/>
        <w:keepNext/>
        <w:keepLines/>
      </w:pPr>
    </w:p>
    <w:p w14:paraId="3138AAFE" w14:textId="34EAD364" w:rsidR="00731D0B" w:rsidRDefault="00731D0B" w:rsidP="00731D0B">
      <w:r>
        <w:t xml:space="preserve">Tables A.10 through A.12 summarize for each utility the mean percentage error (MPE), mean absolute percentage error (MAPE), and customer count of the winning specification for each industry by weather sensitivity type (specified in Tables A.4 and A.5) for specifications included in the </w:t>
      </w:r>
      <w:r>
        <w:rPr>
          <w:i/>
        </w:rPr>
        <w:t>ex-ante</w:t>
      </w:r>
      <w:r>
        <w:t xml:space="preserve"> analysis. </w:t>
      </w:r>
    </w:p>
    <w:p w14:paraId="286F1930" w14:textId="77777777" w:rsidR="00731D0B" w:rsidRDefault="00731D0B" w:rsidP="00E043E2">
      <w:pPr>
        <w:pStyle w:val="TableCaption"/>
        <w:keepNext/>
        <w:keepLines/>
      </w:pPr>
    </w:p>
    <w:p w14:paraId="175A553C" w14:textId="14D857CE" w:rsidR="00731D0B" w:rsidRPr="0088530C" w:rsidRDefault="00731D0B" w:rsidP="00731D0B">
      <w:pPr>
        <w:pStyle w:val="TableCaption"/>
        <w:keepNext/>
        <w:keepLines/>
      </w:pPr>
      <w:bookmarkStart w:id="284" w:name="_Toc508800256"/>
      <w:r w:rsidRPr="0088530C">
        <w:t xml:space="preserve">Table </w:t>
      </w:r>
      <w:r>
        <w:t>A</w:t>
      </w:r>
      <w:r w:rsidRPr="0088530C">
        <w:t>.</w:t>
      </w:r>
      <w:r>
        <w:t>10</w:t>
      </w:r>
      <w:r w:rsidRPr="0088530C">
        <w:t>: Specification Test Results</w:t>
      </w:r>
      <w:r>
        <w:t xml:space="preserve"> for the </w:t>
      </w:r>
      <w:r>
        <w:rPr>
          <w:i/>
        </w:rPr>
        <w:t xml:space="preserve">Ex-Ante </w:t>
      </w:r>
      <w:r>
        <w:t>analysis, PG&amp;E</w:t>
      </w:r>
      <w:bookmarkEnd w:id="284"/>
    </w:p>
    <w:tbl>
      <w:tblPr>
        <w:tblW w:w="9486" w:type="dxa"/>
        <w:jc w:val="center"/>
        <w:tblLook w:val="04A0" w:firstRow="1" w:lastRow="0" w:firstColumn="1" w:lastColumn="0" w:noHBand="0" w:noVBand="1"/>
      </w:tblPr>
      <w:tblGrid>
        <w:gridCol w:w="1028"/>
        <w:gridCol w:w="3779"/>
        <w:gridCol w:w="1386"/>
        <w:gridCol w:w="1053"/>
        <w:gridCol w:w="1051"/>
        <w:gridCol w:w="1189"/>
      </w:tblGrid>
      <w:tr w:rsidR="00731D0B" w:rsidRPr="00AF60E4" w14:paraId="1CE0AD11" w14:textId="77777777" w:rsidTr="0086367A">
        <w:trPr>
          <w:trHeight w:val="600"/>
          <w:jc w:val="center"/>
        </w:trPr>
        <w:tc>
          <w:tcPr>
            <w:tcW w:w="1028" w:type="dxa"/>
            <w:tcBorders>
              <w:top w:val="single" w:sz="4" w:space="0" w:color="auto"/>
              <w:left w:val="single" w:sz="4" w:space="0" w:color="auto"/>
              <w:bottom w:val="single" w:sz="4" w:space="0" w:color="auto"/>
              <w:right w:val="single" w:sz="4" w:space="0" w:color="FFFFFF"/>
            </w:tcBorders>
            <w:shd w:val="clear" w:color="auto" w:fill="0C2577"/>
            <w:noWrap/>
            <w:vAlign w:val="center"/>
            <w:hideMark/>
          </w:tcPr>
          <w:p w14:paraId="7F849052" w14:textId="77777777" w:rsidR="00731D0B" w:rsidRPr="00AF60E4" w:rsidRDefault="00731D0B" w:rsidP="00F15230">
            <w:pPr>
              <w:keepNext/>
              <w:jc w:val="center"/>
              <w:rPr>
                <w:rFonts w:cs="Calibri"/>
                <w:b/>
                <w:bCs/>
                <w:color w:val="FFFFFF"/>
                <w:sz w:val="22"/>
                <w:szCs w:val="22"/>
              </w:rPr>
            </w:pPr>
            <w:r w:rsidRPr="00AF60E4">
              <w:rPr>
                <w:rFonts w:cs="Calibri"/>
                <w:b/>
                <w:bCs/>
                <w:color w:val="FFFFFF"/>
                <w:sz w:val="22"/>
                <w:szCs w:val="22"/>
              </w:rPr>
              <w:t>Group</w:t>
            </w:r>
          </w:p>
        </w:tc>
        <w:tc>
          <w:tcPr>
            <w:tcW w:w="3779" w:type="dxa"/>
            <w:tcBorders>
              <w:top w:val="single" w:sz="4" w:space="0" w:color="auto"/>
              <w:left w:val="nil"/>
              <w:bottom w:val="single" w:sz="4" w:space="0" w:color="auto"/>
              <w:right w:val="single" w:sz="4" w:space="0" w:color="FFFFFF"/>
            </w:tcBorders>
            <w:shd w:val="clear" w:color="auto" w:fill="0C2577"/>
            <w:noWrap/>
            <w:vAlign w:val="center"/>
            <w:hideMark/>
          </w:tcPr>
          <w:p w14:paraId="1BA19C77" w14:textId="77777777" w:rsidR="00731D0B" w:rsidRPr="00AF60E4" w:rsidRDefault="00731D0B" w:rsidP="00F15230">
            <w:pPr>
              <w:keepNext/>
              <w:jc w:val="center"/>
              <w:rPr>
                <w:rFonts w:cs="Calibri"/>
                <w:b/>
                <w:bCs/>
                <w:color w:val="FFFFFF"/>
                <w:sz w:val="22"/>
                <w:szCs w:val="22"/>
              </w:rPr>
            </w:pPr>
            <w:r w:rsidRPr="00AF60E4">
              <w:rPr>
                <w:rFonts w:cs="Calibri"/>
                <w:b/>
                <w:bCs/>
                <w:color w:val="FFFFFF"/>
                <w:sz w:val="22"/>
                <w:szCs w:val="22"/>
              </w:rPr>
              <w:t>Industry Type</w:t>
            </w:r>
          </w:p>
        </w:tc>
        <w:tc>
          <w:tcPr>
            <w:tcW w:w="1386" w:type="dxa"/>
            <w:tcBorders>
              <w:top w:val="single" w:sz="4" w:space="0" w:color="auto"/>
              <w:left w:val="nil"/>
              <w:bottom w:val="single" w:sz="4" w:space="0" w:color="auto"/>
              <w:right w:val="single" w:sz="4" w:space="0" w:color="FFFFFF"/>
            </w:tcBorders>
            <w:shd w:val="clear" w:color="auto" w:fill="0C2577"/>
            <w:vAlign w:val="center"/>
            <w:hideMark/>
          </w:tcPr>
          <w:p w14:paraId="21FC52AE" w14:textId="77777777" w:rsidR="00731D0B" w:rsidRPr="00AF60E4" w:rsidRDefault="00731D0B" w:rsidP="00F15230">
            <w:pPr>
              <w:keepNext/>
              <w:jc w:val="center"/>
              <w:rPr>
                <w:rFonts w:cs="Calibri"/>
                <w:b/>
                <w:bCs/>
                <w:color w:val="FFFFFF"/>
                <w:sz w:val="22"/>
                <w:szCs w:val="22"/>
              </w:rPr>
            </w:pPr>
            <w:r w:rsidRPr="00AF60E4">
              <w:rPr>
                <w:rFonts w:cs="Calibri"/>
                <w:b/>
                <w:bCs/>
                <w:color w:val="FFFFFF"/>
                <w:sz w:val="22"/>
                <w:szCs w:val="22"/>
              </w:rPr>
              <w:t>Selected Specification</w:t>
            </w:r>
          </w:p>
        </w:tc>
        <w:tc>
          <w:tcPr>
            <w:tcW w:w="1053" w:type="dxa"/>
            <w:tcBorders>
              <w:top w:val="single" w:sz="4" w:space="0" w:color="auto"/>
              <w:left w:val="nil"/>
              <w:bottom w:val="single" w:sz="4" w:space="0" w:color="auto"/>
              <w:right w:val="single" w:sz="4" w:space="0" w:color="FFFFFF"/>
            </w:tcBorders>
            <w:shd w:val="clear" w:color="auto" w:fill="0C2577"/>
            <w:noWrap/>
            <w:vAlign w:val="center"/>
            <w:hideMark/>
          </w:tcPr>
          <w:p w14:paraId="67FCA1B1" w14:textId="77777777" w:rsidR="00731D0B" w:rsidRPr="00AF60E4" w:rsidRDefault="00731D0B" w:rsidP="00F15230">
            <w:pPr>
              <w:keepNext/>
              <w:jc w:val="center"/>
              <w:rPr>
                <w:rFonts w:cs="Calibri"/>
                <w:b/>
                <w:bCs/>
                <w:color w:val="FFFFFF"/>
                <w:sz w:val="22"/>
                <w:szCs w:val="22"/>
              </w:rPr>
            </w:pPr>
            <w:r w:rsidRPr="00AF60E4">
              <w:rPr>
                <w:rFonts w:cs="Calibri"/>
                <w:b/>
                <w:bCs/>
                <w:color w:val="FFFFFF"/>
                <w:sz w:val="22"/>
                <w:szCs w:val="22"/>
              </w:rPr>
              <w:t>MPE</w:t>
            </w:r>
          </w:p>
        </w:tc>
        <w:tc>
          <w:tcPr>
            <w:tcW w:w="1051" w:type="dxa"/>
            <w:tcBorders>
              <w:top w:val="single" w:sz="4" w:space="0" w:color="auto"/>
              <w:left w:val="nil"/>
              <w:bottom w:val="single" w:sz="4" w:space="0" w:color="auto"/>
              <w:right w:val="single" w:sz="4" w:space="0" w:color="FFFFFF"/>
            </w:tcBorders>
            <w:shd w:val="clear" w:color="auto" w:fill="0C2577"/>
            <w:noWrap/>
            <w:vAlign w:val="center"/>
            <w:hideMark/>
          </w:tcPr>
          <w:p w14:paraId="61D40440" w14:textId="77777777" w:rsidR="00731D0B" w:rsidRPr="00AF60E4" w:rsidRDefault="00731D0B" w:rsidP="00F15230">
            <w:pPr>
              <w:keepNext/>
              <w:jc w:val="center"/>
              <w:rPr>
                <w:rFonts w:cs="Calibri"/>
                <w:b/>
                <w:bCs/>
                <w:color w:val="FFFFFF"/>
                <w:sz w:val="22"/>
                <w:szCs w:val="22"/>
              </w:rPr>
            </w:pPr>
            <w:r w:rsidRPr="00AF60E4">
              <w:rPr>
                <w:rFonts w:cs="Calibri"/>
                <w:b/>
                <w:bCs/>
                <w:color w:val="FFFFFF"/>
                <w:sz w:val="22"/>
                <w:szCs w:val="22"/>
              </w:rPr>
              <w:t>MAPE</w:t>
            </w:r>
          </w:p>
        </w:tc>
        <w:tc>
          <w:tcPr>
            <w:tcW w:w="1189" w:type="dxa"/>
            <w:tcBorders>
              <w:top w:val="single" w:sz="4" w:space="0" w:color="auto"/>
              <w:left w:val="nil"/>
              <w:bottom w:val="single" w:sz="4" w:space="0" w:color="auto"/>
              <w:right w:val="single" w:sz="4" w:space="0" w:color="auto"/>
            </w:tcBorders>
            <w:shd w:val="clear" w:color="auto" w:fill="0C2577"/>
            <w:vAlign w:val="center"/>
            <w:hideMark/>
          </w:tcPr>
          <w:p w14:paraId="1DB3FC3F" w14:textId="77777777" w:rsidR="00731D0B" w:rsidRPr="00AF60E4" w:rsidRDefault="00731D0B" w:rsidP="00F15230">
            <w:pPr>
              <w:keepNext/>
              <w:jc w:val="center"/>
              <w:rPr>
                <w:rFonts w:cs="Calibri"/>
                <w:b/>
                <w:bCs/>
                <w:color w:val="FFFFFF"/>
                <w:sz w:val="22"/>
                <w:szCs w:val="22"/>
              </w:rPr>
            </w:pPr>
            <w:r w:rsidRPr="00AF60E4">
              <w:rPr>
                <w:rFonts w:cs="Calibri"/>
                <w:b/>
                <w:bCs/>
                <w:color w:val="FFFFFF"/>
                <w:sz w:val="22"/>
                <w:szCs w:val="22"/>
              </w:rPr>
              <w:t>Number of Customers</w:t>
            </w:r>
          </w:p>
        </w:tc>
      </w:tr>
      <w:tr w:rsidR="00F15230" w:rsidRPr="00AF60E4" w14:paraId="423A76CA" w14:textId="77777777" w:rsidTr="00F15230">
        <w:trPr>
          <w:trHeight w:val="322"/>
          <w:jc w:val="center"/>
        </w:trPr>
        <w:tc>
          <w:tcPr>
            <w:tcW w:w="102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25C3725" w14:textId="77777777" w:rsidR="00F15230" w:rsidRPr="00AF60E4" w:rsidRDefault="00F15230" w:rsidP="00F15230">
            <w:pPr>
              <w:keepNext/>
              <w:jc w:val="center"/>
              <w:rPr>
                <w:rFonts w:ascii="Arial" w:hAnsi="Arial" w:cs="Arial"/>
                <w:color w:val="000000"/>
                <w:sz w:val="20"/>
                <w:szCs w:val="20"/>
              </w:rPr>
            </w:pPr>
            <w:r w:rsidRPr="00AF60E4">
              <w:rPr>
                <w:rFonts w:ascii="Arial" w:hAnsi="Arial" w:cs="Arial"/>
                <w:color w:val="000000"/>
                <w:sz w:val="20"/>
                <w:szCs w:val="20"/>
              </w:rPr>
              <w:t>Weather Sensitive</w:t>
            </w:r>
          </w:p>
        </w:tc>
        <w:tc>
          <w:tcPr>
            <w:tcW w:w="3779" w:type="dxa"/>
            <w:tcBorders>
              <w:top w:val="nil"/>
              <w:left w:val="nil"/>
              <w:bottom w:val="single" w:sz="4" w:space="0" w:color="auto"/>
              <w:right w:val="single" w:sz="4" w:space="0" w:color="auto"/>
            </w:tcBorders>
            <w:shd w:val="clear" w:color="000000" w:fill="FFFFFF"/>
            <w:noWrap/>
            <w:vAlign w:val="center"/>
            <w:hideMark/>
          </w:tcPr>
          <w:p w14:paraId="56BC7BB4" w14:textId="77777777" w:rsidR="00F15230" w:rsidRPr="00AF60E4" w:rsidRDefault="00F15230" w:rsidP="00F15230">
            <w:pPr>
              <w:keepNext/>
              <w:rPr>
                <w:rFonts w:cs="Calibri"/>
                <w:color w:val="000000"/>
                <w:sz w:val="22"/>
                <w:szCs w:val="22"/>
              </w:rPr>
            </w:pPr>
            <w:r w:rsidRPr="00AF60E4">
              <w:rPr>
                <w:rFonts w:cs="Calibri"/>
                <w:color w:val="000000"/>
                <w:sz w:val="22"/>
                <w:szCs w:val="22"/>
              </w:rPr>
              <w:t>1. Agriculture, Mining, Construction</w:t>
            </w:r>
          </w:p>
        </w:tc>
        <w:tc>
          <w:tcPr>
            <w:tcW w:w="1386" w:type="dxa"/>
            <w:tcBorders>
              <w:top w:val="nil"/>
              <w:left w:val="nil"/>
              <w:bottom w:val="single" w:sz="4" w:space="0" w:color="auto"/>
              <w:right w:val="single" w:sz="4" w:space="0" w:color="auto"/>
            </w:tcBorders>
            <w:shd w:val="clear" w:color="000000" w:fill="FFFFFF"/>
            <w:noWrap/>
            <w:vAlign w:val="center"/>
            <w:hideMark/>
          </w:tcPr>
          <w:p w14:paraId="17E28C93" w14:textId="1B2E59B4" w:rsidR="00F15230" w:rsidRPr="00AF60E4" w:rsidRDefault="00F15230" w:rsidP="00F15230">
            <w:pPr>
              <w:keepNext/>
              <w:jc w:val="center"/>
              <w:rPr>
                <w:rFonts w:cs="Calibri"/>
                <w:color w:val="000000"/>
                <w:sz w:val="22"/>
                <w:szCs w:val="22"/>
              </w:rPr>
            </w:pPr>
            <w:r>
              <w:rPr>
                <w:color w:val="000000"/>
                <w:sz w:val="22"/>
                <w:szCs w:val="22"/>
              </w:rPr>
              <w:t>6</w:t>
            </w:r>
          </w:p>
        </w:tc>
        <w:tc>
          <w:tcPr>
            <w:tcW w:w="1053" w:type="dxa"/>
            <w:tcBorders>
              <w:top w:val="nil"/>
              <w:left w:val="nil"/>
              <w:bottom w:val="single" w:sz="4" w:space="0" w:color="auto"/>
              <w:right w:val="single" w:sz="4" w:space="0" w:color="auto"/>
            </w:tcBorders>
            <w:shd w:val="clear" w:color="000000" w:fill="FFFFFF"/>
            <w:noWrap/>
            <w:vAlign w:val="center"/>
            <w:hideMark/>
          </w:tcPr>
          <w:p w14:paraId="69379142" w14:textId="51E23733" w:rsidR="00F15230" w:rsidRPr="00AF60E4" w:rsidRDefault="00F15230" w:rsidP="00F15230">
            <w:pPr>
              <w:keepNext/>
              <w:jc w:val="center"/>
              <w:rPr>
                <w:rFonts w:cs="Calibri"/>
                <w:color w:val="000000"/>
                <w:sz w:val="22"/>
                <w:szCs w:val="22"/>
              </w:rPr>
            </w:pPr>
            <w:r>
              <w:rPr>
                <w:color w:val="000000"/>
                <w:sz w:val="22"/>
                <w:szCs w:val="22"/>
              </w:rPr>
              <w:t>2.6%</w:t>
            </w:r>
          </w:p>
        </w:tc>
        <w:tc>
          <w:tcPr>
            <w:tcW w:w="1051" w:type="dxa"/>
            <w:tcBorders>
              <w:top w:val="nil"/>
              <w:left w:val="nil"/>
              <w:bottom w:val="single" w:sz="4" w:space="0" w:color="auto"/>
              <w:right w:val="single" w:sz="4" w:space="0" w:color="auto"/>
            </w:tcBorders>
            <w:shd w:val="clear" w:color="000000" w:fill="FFFFFF"/>
            <w:noWrap/>
            <w:vAlign w:val="center"/>
            <w:hideMark/>
          </w:tcPr>
          <w:p w14:paraId="13CC711D" w14:textId="53AF4EDA"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6.7%</w:t>
            </w:r>
          </w:p>
        </w:tc>
        <w:tc>
          <w:tcPr>
            <w:tcW w:w="1189" w:type="dxa"/>
            <w:tcBorders>
              <w:top w:val="nil"/>
              <w:left w:val="nil"/>
              <w:bottom w:val="single" w:sz="4" w:space="0" w:color="auto"/>
              <w:right w:val="single" w:sz="4" w:space="0" w:color="auto"/>
            </w:tcBorders>
            <w:shd w:val="clear" w:color="000000" w:fill="FFFFFF"/>
            <w:noWrap/>
            <w:vAlign w:val="center"/>
            <w:hideMark/>
          </w:tcPr>
          <w:p w14:paraId="251C1ABC" w14:textId="11CEA014" w:rsidR="00F15230" w:rsidRPr="00AF60E4" w:rsidRDefault="00F15230" w:rsidP="00F15230">
            <w:pPr>
              <w:keepNext/>
              <w:jc w:val="center"/>
              <w:rPr>
                <w:rFonts w:cs="Calibri"/>
                <w:color w:val="000000"/>
                <w:sz w:val="22"/>
                <w:szCs w:val="22"/>
              </w:rPr>
            </w:pPr>
            <w:r>
              <w:rPr>
                <w:color w:val="000000"/>
                <w:sz w:val="22"/>
                <w:szCs w:val="22"/>
              </w:rPr>
              <w:t>38</w:t>
            </w:r>
          </w:p>
        </w:tc>
      </w:tr>
      <w:tr w:rsidR="00F15230" w:rsidRPr="00AF60E4" w14:paraId="3934ACA9"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57EBEAB7"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10984553" w14:textId="77777777" w:rsidR="00F15230" w:rsidRPr="00AF60E4" w:rsidRDefault="00F15230" w:rsidP="00F15230">
            <w:pPr>
              <w:keepNext/>
              <w:rPr>
                <w:rFonts w:cs="Calibri"/>
                <w:color w:val="000000"/>
                <w:sz w:val="22"/>
                <w:szCs w:val="22"/>
              </w:rPr>
            </w:pPr>
            <w:r w:rsidRPr="00AF60E4">
              <w:rPr>
                <w:rFonts w:cs="Calibri"/>
                <w:color w:val="000000"/>
                <w:sz w:val="22"/>
                <w:szCs w:val="22"/>
              </w:rPr>
              <w:t>2. Manufacturing</w:t>
            </w:r>
          </w:p>
        </w:tc>
        <w:tc>
          <w:tcPr>
            <w:tcW w:w="1386" w:type="dxa"/>
            <w:tcBorders>
              <w:top w:val="nil"/>
              <w:left w:val="nil"/>
              <w:bottom w:val="single" w:sz="4" w:space="0" w:color="auto"/>
              <w:right w:val="single" w:sz="4" w:space="0" w:color="auto"/>
            </w:tcBorders>
            <w:shd w:val="clear" w:color="000000" w:fill="FFFFFF"/>
            <w:noWrap/>
            <w:vAlign w:val="center"/>
            <w:hideMark/>
          </w:tcPr>
          <w:p w14:paraId="3CA848A2" w14:textId="2E8A3355" w:rsidR="00F15230" w:rsidRPr="00AF60E4" w:rsidRDefault="00F15230" w:rsidP="00F15230">
            <w:pPr>
              <w:keepNext/>
              <w:jc w:val="center"/>
              <w:rPr>
                <w:rFonts w:cs="Calibri"/>
                <w:color w:val="000000"/>
                <w:sz w:val="22"/>
                <w:szCs w:val="22"/>
              </w:rPr>
            </w:pPr>
            <w:r>
              <w:rPr>
                <w:color w:val="000000"/>
                <w:sz w:val="22"/>
                <w:szCs w:val="22"/>
              </w:rPr>
              <w:t>2</w:t>
            </w:r>
          </w:p>
        </w:tc>
        <w:tc>
          <w:tcPr>
            <w:tcW w:w="1053" w:type="dxa"/>
            <w:tcBorders>
              <w:top w:val="nil"/>
              <w:left w:val="nil"/>
              <w:bottom w:val="single" w:sz="4" w:space="0" w:color="auto"/>
              <w:right w:val="single" w:sz="4" w:space="0" w:color="auto"/>
            </w:tcBorders>
            <w:shd w:val="clear" w:color="000000" w:fill="FFFFFF"/>
            <w:noWrap/>
            <w:vAlign w:val="center"/>
            <w:hideMark/>
          </w:tcPr>
          <w:p w14:paraId="1EF753A2" w14:textId="5AB39DA0" w:rsidR="00F15230" w:rsidRPr="00AF60E4" w:rsidRDefault="00F15230" w:rsidP="00F15230">
            <w:pPr>
              <w:keepNext/>
              <w:jc w:val="center"/>
              <w:rPr>
                <w:rFonts w:cs="Calibri"/>
                <w:color w:val="000000"/>
                <w:sz w:val="22"/>
                <w:szCs w:val="22"/>
              </w:rPr>
            </w:pPr>
            <w:r>
              <w:rPr>
                <w:color w:val="000000"/>
                <w:sz w:val="22"/>
                <w:szCs w:val="22"/>
              </w:rPr>
              <w:t>-1.0%</w:t>
            </w:r>
          </w:p>
        </w:tc>
        <w:tc>
          <w:tcPr>
            <w:tcW w:w="1051" w:type="dxa"/>
            <w:tcBorders>
              <w:top w:val="nil"/>
              <w:left w:val="nil"/>
              <w:bottom w:val="single" w:sz="4" w:space="0" w:color="auto"/>
              <w:right w:val="single" w:sz="4" w:space="0" w:color="auto"/>
            </w:tcBorders>
            <w:shd w:val="clear" w:color="000000" w:fill="FFFFFF"/>
            <w:noWrap/>
            <w:vAlign w:val="center"/>
            <w:hideMark/>
          </w:tcPr>
          <w:p w14:paraId="11502D18" w14:textId="638904C3"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2.1%</w:t>
            </w:r>
          </w:p>
        </w:tc>
        <w:tc>
          <w:tcPr>
            <w:tcW w:w="1189" w:type="dxa"/>
            <w:tcBorders>
              <w:top w:val="nil"/>
              <w:left w:val="nil"/>
              <w:bottom w:val="single" w:sz="4" w:space="0" w:color="auto"/>
              <w:right w:val="single" w:sz="4" w:space="0" w:color="auto"/>
            </w:tcBorders>
            <w:shd w:val="clear" w:color="000000" w:fill="FFFFFF"/>
            <w:noWrap/>
            <w:vAlign w:val="center"/>
            <w:hideMark/>
          </w:tcPr>
          <w:p w14:paraId="4BDEB0E2" w14:textId="07215F28" w:rsidR="00F15230" w:rsidRPr="00AF60E4" w:rsidRDefault="00F15230" w:rsidP="00F15230">
            <w:pPr>
              <w:keepNext/>
              <w:jc w:val="center"/>
              <w:rPr>
                <w:rFonts w:cs="Calibri"/>
                <w:color w:val="000000"/>
                <w:sz w:val="22"/>
                <w:szCs w:val="22"/>
              </w:rPr>
            </w:pPr>
            <w:r>
              <w:rPr>
                <w:color w:val="000000"/>
                <w:sz w:val="22"/>
                <w:szCs w:val="22"/>
              </w:rPr>
              <w:t>21</w:t>
            </w:r>
          </w:p>
        </w:tc>
      </w:tr>
      <w:tr w:rsidR="00F15230" w:rsidRPr="00AF60E4" w14:paraId="5570E154" w14:textId="77777777" w:rsidTr="00F15230">
        <w:trPr>
          <w:trHeight w:val="307"/>
          <w:jc w:val="center"/>
        </w:trPr>
        <w:tc>
          <w:tcPr>
            <w:tcW w:w="1028" w:type="dxa"/>
            <w:vMerge/>
            <w:tcBorders>
              <w:top w:val="nil"/>
              <w:left w:val="single" w:sz="4" w:space="0" w:color="auto"/>
              <w:bottom w:val="single" w:sz="4" w:space="0" w:color="000000"/>
              <w:right w:val="single" w:sz="4" w:space="0" w:color="auto"/>
            </w:tcBorders>
            <w:vAlign w:val="center"/>
            <w:hideMark/>
          </w:tcPr>
          <w:p w14:paraId="34D0B213"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454C6535" w14:textId="77777777" w:rsidR="00F15230" w:rsidRPr="00AF60E4" w:rsidRDefault="00F15230" w:rsidP="00F15230">
            <w:pPr>
              <w:keepNext/>
              <w:rPr>
                <w:rFonts w:cs="Calibri"/>
                <w:color w:val="000000"/>
                <w:sz w:val="22"/>
                <w:szCs w:val="22"/>
              </w:rPr>
            </w:pPr>
            <w:r w:rsidRPr="00AF60E4">
              <w:rPr>
                <w:rFonts w:cs="Calibri"/>
                <w:color w:val="000000"/>
                <w:sz w:val="22"/>
                <w:szCs w:val="22"/>
              </w:rPr>
              <w:t>3. Wholesale, Transportation, Utilities</w:t>
            </w:r>
          </w:p>
        </w:tc>
        <w:tc>
          <w:tcPr>
            <w:tcW w:w="1386" w:type="dxa"/>
            <w:tcBorders>
              <w:top w:val="nil"/>
              <w:left w:val="nil"/>
              <w:bottom w:val="single" w:sz="4" w:space="0" w:color="auto"/>
              <w:right w:val="single" w:sz="4" w:space="0" w:color="auto"/>
            </w:tcBorders>
            <w:shd w:val="clear" w:color="000000" w:fill="FFFFFF"/>
            <w:noWrap/>
            <w:vAlign w:val="center"/>
            <w:hideMark/>
          </w:tcPr>
          <w:p w14:paraId="1ED38815" w14:textId="54B71E1B" w:rsidR="00F15230" w:rsidRPr="00AF60E4" w:rsidRDefault="00F15230" w:rsidP="00F15230">
            <w:pPr>
              <w:keepNext/>
              <w:jc w:val="center"/>
              <w:rPr>
                <w:rFonts w:cs="Calibri"/>
                <w:color w:val="000000"/>
                <w:sz w:val="22"/>
                <w:szCs w:val="22"/>
              </w:rPr>
            </w:pPr>
            <w:r>
              <w:rPr>
                <w:color w:val="000000"/>
                <w:sz w:val="22"/>
                <w:szCs w:val="22"/>
              </w:rPr>
              <w:t>7</w:t>
            </w:r>
          </w:p>
        </w:tc>
        <w:tc>
          <w:tcPr>
            <w:tcW w:w="1053" w:type="dxa"/>
            <w:tcBorders>
              <w:top w:val="nil"/>
              <w:left w:val="nil"/>
              <w:bottom w:val="single" w:sz="4" w:space="0" w:color="auto"/>
              <w:right w:val="single" w:sz="4" w:space="0" w:color="auto"/>
            </w:tcBorders>
            <w:shd w:val="clear" w:color="000000" w:fill="FFFFFF"/>
            <w:noWrap/>
            <w:vAlign w:val="center"/>
            <w:hideMark/>
          </w:tcPr>
          <w:p w14:paraId="341861B3" w14:textId="08B4F6AC" w:rsidR="00F15230" w:rsidRPr="00AF60E4" w:rsidRDefault="00F15230" w:rsidP="00F15230">
            <w:pPr>
              <w:keepNext/>
              <w:jc w:val="center"/>
              <w:rPr>
                <w:rFonts w:cs="Calibri"/>
                <w:color w:val="000000"/>
                <w:sz w:val="22"/>
                <w:szCs w:val="22"/>
              </w:rPr>
            </w:pPr>
            <w:r>
              <w:rPr>
                <w:color w:val="000000"/>
                <w:sz w:val="22"/>
                <w:szCs w:val="22"/>
              </w:rPr>
              <w:t>2.2%</w:t>
            </w:r>
          </w:p>
        </w:tc>
        <w:tc>
          <w:tcPr>
            <w:tcW w:w="1051" w:type="dxa"/>
            <w:tcBorders>
              <w:top w:val="nil"/>
              <w:left w:val="nil"/>
              <w:bottom w:val="single" w:sz="4" w:space="0" w:color="auto"/>
              <w:right w:val="single" w:sz="4" w:space="0" w:color="auto"/>
            </w:tcBorders>
            <w:shd w:val="clear" w:color="000000" w:fill="FFFFFF"/>
            <w:noWrap/>
            <w:vAlign w:val="center"/>
            <w:hideMark/>
          </w:tcPr>
          <w:p w14:paraId="2668E23A" w14:textId="26311CEC"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5.3%</w:t>
            </w:r>
          </w:p>
        </w:tc>
        <w:tc>
          <w:tcPr>
            <w:tcW w:w="1189" w:type="dxa"/>
            <w:tcBorders>
              <w:top w:val="nil"/>
              <w:left w:val="nil"/>
              <w:bottom w:val="single" w:sz="4" w:space="0" w:color="auto"/>
              <w:right w:val="single" w:sz="4" w:space="0" w:color="auto"/>
            </w:tcBorders>
            <w:shd w:val="clear" w:color="000000" w:fill="FFFFFF"/>
            <w:noWrap/>
            <w:vAlign w:val="center"/>
            <w:hideMark/>
          </w:tcPr>
          <w:p w14:paraId="20BB8884" w14:textId="4428E5CD" w:rsidR="00F15230" w:rsidRPr="00AF60E4" w:rsidRDefault="00F15230" w:rsidP="00F15230">
            <w:pPr>
              <w:keepNext/>
              <w:jc w:val="center"/>
              <w:rPr>
                <w:rFonts w:cs="Calibri"/>
                <w:color w:val="000000"/>
                <w:sz w:val="22"/>
                <w:szCs w:val="22"/>
              </w:rPr>
            </w:pPr>
            <w:r>
              <w:rPr>
                <w:color w:val="000000"/>
                <w:sz w:val="22"/>
                <w:szCs w:val="22"/>
              </w:rPr>
              <w:t>20</w:t>
            </w:r>
          </w:p>
        </w:tc>
      </w:tr>
      <w:tr w:rsidR="00F15230" w:rsidRPr="00AF60E4" w14:paraId="3FF147A0"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66814840"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08BDBF4E" w14:textId="77777777" w:rsidR="00F15230" w:rsidRPr="00AF60E4" w:rsidRDefault="00F15230" w:rsidP="00F15230">
            <w:pPr>
              <w:keepNext/>
              <w:rPr>
                <w:rFonts w:cs="Calibri"/>
                <w:color w:val="000000"/>
                <w:sz w:val="22"/>
                <w:szCs w:val="22"/>
              </w:rPr>
            </w:pPr>
            <w:r w:rsidRPr="00AF60E4">
              <w:rPr>
                <w:rFonts w:cs="Calibri"/>
                <w:color w:val="000000"/>
                <w:sz w:val="22"/>
                <w:szCs w:val="22"/>
              </w:rPr>
              <w:t>4. Retail</w:t>
            </w:r>
          </w:p>
        </w:tc>
        <w:tc>
          <w:tcPr>
            <w:tcW w:w="1386" w:type="dxa"/>
            <w:tcBorders>
              <w:top w:val="nil"/>
              <w:left w:val="nil"/>
              <w:bottom w:val="single" w:sz="4" w:space="0" w:color="auto"/>
              <w:right w:val="single" w:sz="4" w:space="0" w:color="auto"/>
            </w:tcBorders>
            <w:shd w:val="clear" w:color="000000" w:fill="FFFFFF"/>
            <w:noWrap/>
            <w:vAlign w:val="center"/>
            <w:hideMark/>
          </w:tcPr>
          <w:p w14:paraId="7260D712" w14:textId="01F96369" w:rsidR="00F15230" w:rsidRPr="00AF60E4" w:rsidRDefault="00F15230" w:rsidP="00F15230">
            <w:pPr>
              <w:keepNext/>
              <w:jc w:val="center"/>
              <w:rPr>
                <w:rFonts w:cs="Calibri"/>
                <w:color w:val="000000"/>
                <w:sz w:val="22"/>
                <w:szCs w:val="22"/>
              </w:rPr>
            </w:pPr>
            <w:r>
              <w:rPr>
                <w:color w:val="000000"/>
                <w:sz w:val="22"/>
                <w:szCs w:val="22"/>
              </w:rPr>
              <w:t>1</w:t>
            </w:r>
          </w:p>
        </w:tc>
        <w:tc>
          <w:tcPr>
            <w:tcW w:w="1053" w:type="dxa"/>
            <w:tcBorders>
              <w:top w:val="nil"/>
              <w:left w:val="nil"/>
              <w:bottom w:val="single" w:sz="4" w:space="0" w:color="auto"/>
              <w:right w:val="single" w:sz="4" w:space="0" w:color="auto"/>
            </w:tcBorders>
            <w:shd w:val="clear" w:color="000000" w:fill="FFFFFF"/>
            <w:noWrap/>
            <w:vAlign w:val="center"/>
            <w:hideMark/>
          </w:tcPr>
          <w:p w14:paraId="0827AF2D" w14:textId="35292FD1" w:rsidR="00F15230" w:rsidRPr="00AF60E4" w:rsidRDefault="00F15230" w:rsidP="00F15230">
            <w:pPr>
              <w:keepNext/>
              <w:jc w:val="center"/>
              <w:rPr>
                <w:rFonts w:cs="Calibri"/>
                <w:color w:val="000000"/>
                <w:sz w:val="22"/>
                <w:szCs w:val="22"/>
              </w:rPr>
            </w:pPr>
            <w:r>
              <w:rPr>
                <w:color w:val="000000"/>
                <w:sz w:val="22"/>
                <w:szCs w:val="22"/>
              </w:rPr>
              <w:t>0.0%</w:t>
            </w:r>
          </w:p>
        </w:tc>
        <w:tc>
          <w:tcPr>
            <w:tcW w:w="1051" w:type="dxa"/>
            <w:tcBorders>
              <w:top w:val="nil"/>
              <w:left w:val="nil"/>
              <w:bottom w:val="single" w:sz="4" w:space="0" w:color="auto"/>
              <w:right w:val="single" w:sz="4" w:space="0" w:color="auto"/>
            </w:tcBorders>
            <w:shd w:val="clear" w:color="000000" w:fill="FFFFFF"/>
            <w:noWrap/>
            <w:vAlign w:val="center"/>
            <w:hideMark/>
          </w:tcPr>
          <w:p w14:paraId="7577F888" w14:textId="3C36B2AE"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0.7%</w:t>
            </w:r>
          </w:p>
        </w:tc>
        <w:tc>
          <w:tcPr>
            <w:tcW w:w="1189" w:type="dxa"/>
            <w:tcBorders>
              <w:top w:val="nil"/>
              <w:left w:val="nil"/>
              <w:bottom w:val="single" w:sz="4" w:space="0" w:color="auto"/>
              <w:right w:val="single" w:sz="4" w:space="0" w:color="auto"/>
            </w:tcBorders>
            <w:shd w:val="clear" w:color="000000" w:fill="FFFFFF"/>
            <w:noWrap/>
            <w:vAlign w:val="center"/>
            <w:hideMark/>
          </w:tcPr>
          <w:p w14:paraId="16867989" w14:textId="363839D6" w:rsidR="00F15230" w:rsidRPr="00AF60E4" w:rsidRDefault="00F15230" w:rsidP="00F15230">
            <w:pPr>
              <w:keepNext/>
              <w:jc w:val="center"/>
              <w:rPr>
                <w:rFonts w:cs="Calibri"/>
                <w:color w:val="000000"/>
                <w:sz w:val="22"/>
                <w:szCs w:val="22"/>
              </w:rPr>
            </w:pPr>
            <w:r>
              <w:rPr>
                <w:color w:val="000000"/>
                <w:sz w:val="22"/>
                <w:szCs w:val="22"/>
              </w:rPr>
              <w:t>9</w:t>
            </w:r>
          </w:p>
        </w:tc>
      </w:tr>
      <w:tr w:rsidR="00F15230" w:rsidRPr="00AF60E4" w14:paraId="38376A96"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26558A36"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3AA3FF3A" w14:textId="77777777" w:rsidR="00F15230" w:rsidRPr="00AF60E4" w:rsidRDefault="00F15230" w:rsidP="00F15230">
            <w:pPr>
              <w:keepNext/>
              <w:rPr>
                <w:rFonts w:cs="Calibri"/>
                <w:color w:val="000000"/>
                <w:sz w:val="22"/>
                <w:szCs w:val="22"/>
              </w:rPr>
            </w:pPr>
            <w:r w:rsidRPr="00AF60E4">
              <w:rPr>
                <w:rFonts w:cs="Calibri"/>
                <w:color w:val="000000"/>
                <w:sz w:val="22"/>
                <w:szCs w:val="22"/>
              </w:rPr>
              <w:t>5. Offices, Hotels, Health, Services</w:t>
            </w:r>
          </w:p>
        </w:tc>
        <w:tc>
          <w:tcPr>
            <w:tcW w:w="1386" w:type="dxa"/>
            <w:tcBorders>
              <w:top w:val="nil"/>
              <w:left w:val="nil"/>
              <w:bottom w:val="single" w:sz="4" w:space="0" w:color="auto"/>
              <w:right w:val="single" w:sz="4" w:space="0" w:color="auto"/>
            </w:tcBorders>
            <w:shd w:val="clear" w:color="000000" w:fill="FFFFFF"/>
            <w:noWrap/>
            <w:vAlign w:val="center"/>
            <w:hideMark/>
          </w:tcPr>
          <w:p w14:paraId="40832418" w14:textId="3CEFCF93" w:rsidR="00F15230" w:rsidRPr="00AF60E4" w:rsidRDefault="00F15230" w:rsidP="00F15230">
            <w:pPr>
              <w:keepNext/>
              <w:jc w:val="center"/>
              <w:rPr>
                <w:rFonts w:cs="Calibri"/>
                <w:color w:val="000000"/>
                <w:sz w:val="22"/>
                <w:szCs w:val="22"/>
              </w:rPr>
            </w:pPr>
            <w:r>
              <w:rPr>
                <w:color w:val="000000"/>
                <w:sz w:val="22"/>
                <w:szCs w:val="22"/>
              </w:rPr>
              <w:t>7</w:t>
            </w:r>
          </w:p>
        </w:tc>
        <w:tc>
          <w:tcPr>
            <w:tcW w:w="1053" w:type="dxa"/>
            <w:tcBorders>
              <w:top w:val="nil"/>
              <w:left w:val="nil"/>
              <w:bottom w:val="single" w:sz="4" w:space="0" w:color="auto"/>
              <w:right w:val="single" w:sz="4" w:space="0" w:color="auto"/>
            </w:tcBorders>
            <w:shd w:val="clear" w:color="000000" w:fill="FFFFFF"/>
            <w:noWrap/>
            <w:vAlign w:val="center"/>
            <w:hideMark/>
          </w:tcPr>
          <w:p w14:paraId="020C8643" w14:textId="77759504" w:rsidR="00F15230" w:rsidRPr="00AF60E4" w:rsidRDefault="00F15230" w:rsidP="00F15230">
            <w:pPr>
              <w:keepNext/>
              <w:jc w:val="center"/>
              <w:rPr>
                <w:rFonts w:cs="Calibri"/>
                <w:color w:val="000000"/>
                <w:sz w:val="22"/>
                <w:szCs w:val="22"/>
              </w:rPr>
            </w:pPr>
            <w:r>
              <w:rPr>
                <w:color w:val="000000"/>
                <w:sz w:val="22"/>
                <w:szCs w:val="22"/>
              </w:rPr>
              <w:t>0.0%</w:t>
            </w:r>
          </w:p>
        </w:tc>
        <w:tc>
          <w:tcPr>
            <w:tcW w:w="1051" w:type="dxa"/>
            <w:tcBorders>
              <w:top w:val="nil"/>
              <w:left w:val="nil"/>
              <w:bottom w:val="single" w:sz="4" w:space="0" w:color="auto"/>
              <w:right w:val="single" w:sz="4" w:space="0" w:color="auto"/>
            </w:tcBorders>
            <w:shd w:val="clear" w:color="000000" w:fill="FFFFFF"/>
            <w:noWrap/>
            <w:vAlign w:val="center"/>
            <w:hideMark/>
          </w:tcPr>
          <w:p w14:paraId="35876E24" w14:textId="3500A02B"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2.2%</w:t>
            </w:r>
          </w:p>
        </w:tc>
        <w:tc>
          <w:tcPr>
            <w:tcW w:w="1189" w:type="dxa"/>
            <w:tcBorders>
              <w:top w:val="nil"/>
              <w:left w:val="nil"/>
              <w:bottom w:val="single" w:sz="4" w:space="0" w:color="auto"/>
              <w:right w:val="single" w:sz="4" w:space="0" w:color="auto"/>
            </w:tcBorders>
            <w:shd w:val="clear" w:color="000000" w:fill="FFFFFF"/>
            <w:noWrap/>
            <w:vAlign w:val="center"/>
            <w:hideMark/>
          </w:tcPr>
          <w:p w14:paraId="27991E98" w14:textId="3E820656" w:rsidR="00F15230" w:rsidRPr="00AF60E4" w:rsidRDefault="00F15230" w:rsidP="00F15230">
            <w:pPr>
              <w:keepNext/>
              <w:jc w:val="center"/>
              <w:rPr>
                <w:rFonts w:cs="Calibri"/>
                <w:color w:val="000000"/>
                <w:sz w:val="22"/>
                <w:szCs w:val="22"/>
              </w:rPr>
            </w:pPr>
            <w:r>
              <w:rPr>
                <w:color w:val="000000"/>
                <w:sz w:val="22"/>
                <w:szCs w:val="22"/>
              </w:rPr>
              <w:t>14</w:t>
            </w:r>
          </w:p>
        </w:tc>
      </w:tr>
      <w:tr w:rsidR="00F15230" w:rsidRPr="00AF60E4" w14:paraId="0AAD9DC0"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4100CD44"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56CF7C33" w14:textId="77777777" w:rsidR="00F15230" w:rsidRPr="00AF60E4" w:rsidRDefault="00F15230" w:rsidP="00F15230">
            <w:pPr>
              <w:keepNext/>
              <w:rPr>
                <w:rFonts w:cs="Calibri"/>
                <w:color w:val="000000"/>
                <w:sz w:val="22"/>
                <w:szCs w:val="22"/>
              </w:rPr>
            </w:pPr>
            <w:r w:rsidRPr="00AF60E4">
              <w:rPr>
                <w:rFonts w:cs="Calibri"/>
                <w:color w:val="000000"/>
                <w:sz w:val="22"/>
                <w:szCs w:val="22"/>
              </w:rPr>
              <w:t xml:space="preserve">7. </w:t>
            </w:r>
            <w:r>
              <w:rPr>
                <w:rFonts w:cs="Calibri"/>
                <w:color w:val="000000"/>
                <w:sz w:val="22"/>
                <w:szCs w:val="22"/>
              </w:rPr>
              <w:t>Institutional/Government</w:t>
            </w:r>
          </w:p>
        </w:tc>
        <w:tc>
          <w:tcPr>
            <w:tcW w:w="1386" w:type="dxa"/>
            <w:tcBorders>
              <w:top w:val="nil"/>
              <w:left w:val="nil"/>
              <w:bottom w:val="single" w:sz="4" w:space="0" w:color="auto"/>
              <w:right w:val="single" w:sz="4" w:space="0" w:color="auto"/>
            </w:tcBorders>
            <w:shd w:val="clear" w:color="000000" w:fill="FFFFFF"/>
            <w:noWrap/>
            <w:vAlign w:val="center"/>
            <w:hideMark/>
          </w:tcPr>
          <w:p w14:paraId="70DC89D7" w14:textId="533E47D1" w:rsidR="00F15230" w:rsidRPr="00AF60E4" w:rsidRDefault="00F15230" w:rsidP="00F15230">
            <w:pPr>
              <w:keepNext/>
              <w:jc w:val="center"/>
              <w:rPr>
                <w:rFonts w:cs="Calibri"/>
                <w:color w:val="000000"/>
                <w:sz w:val="22"/>
                <w:szCs w:val="22"/>
              </w:rPr>
            </w:pPr>
            <w:r>
              <w:rPr>
                <w:color w:val="000000"/>
                <w:sz w:val="22"/>
                <w:szCs w:val="22"/>
              </w:rPr>
              <w:t>3</w:t>
            </w:r>
          </w:p>
        </w:tc>
        <w:tc>
          <w:tcPr>
            <w:tcW w:w="1053" w:type="dxa"/>
            <w:tcBorders>
              <w:top w:val="nil"/>
              <w:left w:val="nil"/>
              <w:bottom w:val="single" w:sz="4" w:space="0" w:color="auto"/>
              <w:right w:val="single" w:sz="4" w:space="0" w:color="auto"/>
            </w:tcBorders>
            <w:shd w:val="clear" w:color="000000" w:fill="FFFFFF"/>
            <w:noWrap/>
            <w:vAlign w:val="center"/>
            <w:hideMark/>
          </w:tcPr>
          <w:p w14:paraId="57A0EAB9" w14:textId="57A951B8" w:rsidR="00F15230" w:rsidRPr="00AF60E4" w:rsidRDefault="00F15230" w:rsidP="00F15230">
            <w:pPr>
              <w:keepNext/>
              <w:jc w:val="center"/>
              <w:rPr>
                <w:rFonts w:cs="Calibri"/>
                <w:color w:val="000000"/>
                <w:sz w:val="22"/>
                <w:szCs w:val="22"/>
              </w:rPr>
            </w:pPr>
            <w:r>
              <w:rPr>
                <w:color w:val="000000"/>
                <w:sz w:val="22"/>
                <w:szCs w:val="22"/>
              </w:rPr>
              <w:t>0.2%</w:t>
            </w:r>
          </w:p>
        </w:tc>
        <w:tc>
          <w:tcPr>
            <w:tcW w:w="1051" w:type="dxa"/>
            <w:tcBorders>
              <w:top w:val="nil"/>
              <w:left w:val="nil"/>
              <w:bottom w:val="single" w:sz="4" w:space="0" w:color="auto"/>
              <w:right w:val="single" w:sz="4" w:space="0" w:color="auto"/>
            </w:tcBorders>
            <w:shd w:val="clear" w:color="000000" w:fill="FFFFFF"/>
            <w:noWrap/>
            <w:vAlign w:val="center"/>
            <w:hideMark/>
          </w:tcPr>
          <w:p w14:paraId="5359B185" w14:textId="3EA148F8"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3.4%</w:t>
            </w:r>
          </w:p>
        </w:tc>
        <w:tc>
          <w:tcPr>
            <w:tcW w:w="1189" w:type="dxa"/>
            <w:tcBorders>
              <w:top w:val="nil"/>
              <w:left w:val="nil"/>
              <w:bottom w:val="single" w:sz="4" w:space="0" w:color="auto"/>
              <w:right w:val="single" w:sz="4" w:space="0" w:color="auto"/>
            </w:tcBorders>
            <w:shd w:val="clear" w:color="000000" w:fill="FFFFFF"/>
            <w:noWrap/>
            <w:vAlign w:val="center"/>
            <w:hideMark/>
          </w:tcPr>
          <w:p w14:paraId="32FC0DE3" w14:textId="5D979884" w:rsidR="00F15230" w:rsidRPr="00AF60E4" w:rsidRDefault="00F15230" w:rsidP="00F15230">
            <w:pPr>
              <w:keepNext/>
              <w:jc w:val="center"/>
              <w:rPr>
                <w:rFonts w:cs="Calibri"/>
                <w:color w:val="000000"/>
                <w:sz w:val="22"/>
                <w:szCs w:val="22"/>
              </w:rPr>
            </w:pPr>
            <w:r>
              <w:rPr>
                <w:color w:val="000000"/>
                <w:sz w:val="22"/>
                <w:szCs w:val="22"/>
              </w:rPr>
              <w:t>4</w:t>
            </w:r>
          </w:p>
        </w:tc>
      </w:tr>
      <w:tr w:rsidR="00F15230" w:rsidRPr="00AF60E4" w14:paraId="2822C031"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418991E3"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55AE81B6" w14:textId="77777777" w:rsidR="00F15230" w:rsidRPr="00AF60E4" w:rsidRDefault="00F15230" w:rsidP="00F15230">
            <w:pPr>
              <w:keepNext/>
              <w:rPr>
                <w:rFonts w:cs="Calibri"/>
                <w:color w:val="000000"/>
                <w:sz w:val="22"/>
                <w:szCs w:val="22"/>
              </w:rPr>
            </w:pPr>
            <w:r w:rsidRPr="00AF60E4">
              <w:rPr>
                <w:rFonts w:cs="Calibri"/>
                <w:color w:val="000000"/>
                <w:sz w:val="22"/>
                <w:szCs w:val="22"/>
              </w:rPr>
              <w:t>8. Other</w:t>
            </w:r>
          </w:p>
        </w:tc>
        <w:tc>
          <w:tcPr>
            <w:tcW w:w="1386" w:type="dxa"/>
            <w:tcBorders>
              <w:top w:val="nil"/>
              <w:left w:val="nil"/>
              <w:bottom w:val="single" w:sz="4" w:space="0" w:color="auto"/>
              <w:right w:val="single" w:sz="4" w:space="0" w:color="auto"/>
            </w:tcBorders>
            <w:shd w:val="clear" w:color="000000" w:fill="FFFFFF"/>
            <w:noWrap/>
            <w:vAlign w:val="center"/>
            <w:hideMark/>
          </w:tcPr>
          <w:p w14:paraId="22B31190" w14:textId="1DCB0B2E" w:rsidR="00F15230" w:rsidRPr="00AF60E4" w:rsidRDefault="00F15230" w:rsidP="00F15230">
            <w:pPr>
              <w:keepNext/>
              <w:jc w:val="center"/>
              <w:rPr>
                <w:rFonts w:cs="Calibri"/>
                <w:color w:val="000000"/>
                <w:sz w:val="22"/>
                <w:szCs w:val="22"/>
              </w:rPr>
            </w:pPr>
            <w:r>
              <w:rPr>
                <w:color w:val="000000"/>
                <w:sz w:val="22"/>
                <w:szCs w:val="22"/>
              </w:rPr>
              <w:t>2</w:t>
            </w:r>
          </w:p>
        </w:tc>
        <w:tc>
          <w:tcPr>
            <w:tcW w:w="1053" w:type="dxa"/>
            <w:tcBorders>
              <w:top w:val="nil"/>
              <w:left w:val="nil"/>
              <w:bottom w:val="single" w:sz="4" w:space="0" w:color="auto"/>
              <w:right w:val="single" w:sz="4" w:space="0" w:color="auto"/>
            </w:tcBorders>
            <w:shd w:val="clear" w:color="000000" w:fill="FFFFFF"/>
            <w:noWrap/>
            <w:vAlign w:val="center"/>
            <w:hideMark/>
          </w:tcPr>
          <w:p w14:paraId="4AB5911C" w14:textId="5A249FEB" w:rsidR="00F15230" w:rsidRPr="00AF60E4" w:rsidRDefault="00F15230" w:rsidP="00F15230">
            <w:pPr>
              <w:keepNext/>
              <w:jc w:val="center"/>
              <w:rPr>
                <w:rFonts w:cs="Calibri"/>
                <w:color w:val="000000"/>
                <w:sz w:val="22"/>
                <w:szCs w:val="22"/>
              </w:rPr>
            </w:pPr>
            <w:r>
              <w:rPr>
                <w:color w:val="000000"/>
                <w:sz w:val="22"/>
                <w:szCs w:val="22"/>
              </w:rPr>
              <w:t>-1.4%</w:t>
            </w:r>
          </w:p>
        </w:tc>
        <w:tc>
          <w:tcPr>
            <w:tcW w:w="1051" w:type="dxa"/>
            <w:tcBorders>
              <w:top w:val="nil"/>
              <w:left w:val="nil"/>
              <w:bottom w:val="single" w:sz="4" w:space="0" w:color="auto"/>
              <w:right w:val="single" w:sz="4" w:space="0" w:color="auto"/>
            </w:tcBorders>
            <w:shd w:val="clear" w:color="000000" w:fill="FFFFFF"/>
            <w:noWrap/>
            <w:vAlign w:val="center"/>
            <w:hideMark/>
          </w:tcPr>
          <w:p w14:paraId="328CCA2C" w14:textId="12094CB4"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3.5%</w:t>
            </w:r>
          </w:p>
        </w:tc>
        <w:tc>
          <w:tcPr>
            <w:tcW w:w="1189" w:type="dxa"/>
            <w:tcBorders>
              <w:top w:val="nil"/>
              <w:left w:val="nil"/>
              <w:bottom w:val="single" w:sz="4" w:space="0" w:color="auto"/>
              <w:right w:val="single" w:sz="4" w:space="0" w:color="auto"/>
            </w:tcBorders>
            <w:shd w:val="clear" w:color="000000" w:fill="FFFFFF"/>
            <w:noWrap/>
            <w:vAlign w:val="center"/>
            <w:hideMark/>
          </w:tcPr>
          <w:p w14:paraId="5E34BC25" w14:textId="160F83C1" w:rsidR="00F15230" w:rsidRPr="00AF60E4" w:rsidRDefault="00F15230" w:rsidP="00F15230">
            <w:pPr>
              <w:keepNext/>
              <w:jc w:val="center"/>
              <w:rPr>
                <w:rFonts w:cs="Calibri"/>
                <w:color w:val="000000"/>
                <w:sz w:val="22"/>
                <w:szCs w:val="22"/>
              </w:rPr>
            </w:pPr>
            <w:r>
              <w:rPr>
                <w:color w:val="000000"/>
                <w:sz w:val="22"/>
                <w:szCs w:val="22"/>
              </w:rPr>
              <w:t>1</w:t>
            </w:r>
          </w:p>
        </w:tc>
      </w:tr>
      <w:tr w:rsidR="00F15230" w:rsidRPr="00AF60E4" w14:paraId="5EAD5C02" w14:textId="77777777" w:rsidTr="00F15230">
        <w:trPr>
          <w:trHeight w:val="263"/>
          <w:jc w:val="center"/>
        </w:trPr>
        <w:tc>
          <w:tcPr>
            <w:tcW w:w="102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833EF17" w14:textId="77777777" w:rsidR="00F15230" w:rsidRPr="00AF60E4" w:rsidRDefault="00F15230" w:rsidP="00F15230">
            <w:pPr>
              <w:keepNext/>
              <w:jc w:val="center"/>
              <w:rPr>
                <w:rFonts w:ascii="Arial" w:hAnsi="Arial" w:cs="Arial"/>
                <w:color w:val="000000"/>
                <w:sz w:val="20"/>
                <w:szCs w:val="20"/>
              </w:rPr>
            </w:pPr>
            <w:r w:rsidRPr="00AF60E4">
              <w:rPr>
                <w:rFonts w:ascii="Arial" w:hAnsi="Arial" w:cs="Arial"/>
                <w:color w:val="000000"/>
                <w:sz w:val="20"/>
                <w:szCs w:val="20"/>
              </w:rPr>
              <w:t>Non-Weather Sensitive</w:t>
            </w:r>
          </w:p>
        </w:tc>
        <w:tc>
          <w:tcPr>
            <w:tcW w:w="3779" w:type="dxa"/>
            <w:tcBorders>
              <w:top w:val="nil"/>
              <w:left w:val="nil"/>
              <w:bottom w:val="single" w:sz="4" w:space="0" w:color="auto"/>
              <w:right w:val="single" w:sz="4" w:space="0" w:color="auto"/>
            </w:tcBorders>
            <w:shd w:val="clear" w:color="000000" w:fill="FFFFFF"/>
            <w:noWrap/>
            <w:vAlign w:val="center"/>
            <w:hideMark/>
          </w:tcPr>
          <w:p w14:paraId="5B6836A5" w14:textId="77777777" w:rsidR="00F15230" w:rsidRPr="00AF60E4" w:rsidRDefault="00F15230" w:rsidP="00F15230">
            <w:pPr>
              <w:keepNext/>
              <w:rPr>
                <w:rFonts w:cs="Calibri"/>
                <w:color w:val="000000"/>
                <w:sz w:val="22"/>
                <w:szCs w:val="22"/>
              </w:rPr>
            </w:pPr>
            <w:r w:rsidRPr="00AF60E4">
              <w:rPr>
                <w:rFonts w:cs="Calibri"/>
                <w:color w:val="000000"/>
                <w:sz w:val="22"/>
                <w:szCs w:val="22"/>
              </w:rPr>
              <w:t>1. Agriculture, Mining, Construction</w:t>
            </w:r>
          </w:p>
        </w:tc>
        <w:tc>
          <w:tcPr>
            <w:tcW w:w="1386" w:type="dxa"/>
            <w:tcBorders>
              <w:top w:val="nil"/>
              <w:left w:val="nil"/>
              <w:bottom w:val="single" w:sz="4" w:space="0" w:color="auto"/>
              <w:right w:val="single" w:sz="4" w:space="0" w:color="auto"/>
            </w:tcBorders>
            <w:shd w:val="clear" w:color="000000" w:fill="FFFFFF"/>
            <w:noWrap/>
            <w:vAlign w:val="center"/>
            <w:hideMark/>
          </w:tcPr>
          <w:p w14:paraId="48054A5B" w14:textId="2CA0EF6C" w:rsidR="00F15230" w:rsidRPr="00AF60E4" w:rsidRDefault="00F15230" w:rsidP="00F15230">
            <w:pPr>
              <w:keepNext/>
              <w:jc w:val="center"/>
              <w:rPr>
                <w:rFonts w:cs="Calibri"/>
                <w:color w:val="000000"/>
                <w:sz w:val="22"/>
                <w:szCs w:val="22"/>
              </w:rPr>
            </w:pPr>
            <w:r>
              <w:rPr>
                <w:color w:val="000000"/>
                <w:sz w:val="22"/>
                <w:szCs w:val="22"/>
              </w:rPr>
              <w:t>2</w:t>
            </w:r>
          </w:p>
        </w:tc>
        <w:tc>
          <w:tcPr>
            <w:tcW w:w="1053" w:type="dxa"/>
            <w:tcBorders>
              <w:top w:val="nil"/>
              <w:left w:val="nil"/>
              <w:bottom w:val="single" w:sz="4" w:space="0" w:color="auto"/>
              <w:right w:val="single" w:sz="4" w:space="0" w:color="auto"/>
            </w:tcBorders>
            <w:shd w:val="clear" w:color="000000" w:fill="FFFFFF"/>
            <w:noWrap/>
            <w:vAlign w:val="center"/>
            <w:hideMark/>
          </w:tcPr>
          <w:p w14:paraId="0E026CEA" w14:textId="6CD53832" w:rsidR="00F15230" w:rsidRPr="00AF60E4" w:rsidRDefault="00F15230" w:rsidP="00F15230">
            <w:pPr>
              <w:keepNext/>
              <w:jc w:val="center"/>
              <w:rPr>
                <w:rFonts w:cs="Calibri"/>
                <w:color w:val="000000"/>
                <w:sz w:val="22"/>
                <w:szCs w:val="22"/>
              </w:rPr>
            </w:pPr>
            <w:r>
              <w:rPr>
                <w:color w:val="000000"/>
                <w:sz w:val="22"/>
                <w:szCs w:val="22"/>
              </w:rPr>
              <w:t>-0.1%</w:t>
            </w:r>
          </w:p>
        </w:tc>
        <w:tc>
          <w:tcPr>
            <w:tcW w:w="1051" w:type="dxa"/>
            <w:tcBorders>
              <w:top w:val="nil"/>
              <w:left w:val="nil"/>
              <w:bottom w:val="single" w:sz="4" w:space="0" w:color="auto"/>
              <w:right w:val="single" w:sz="4" w:space="0" w:color="auto"/>
            </w:tcBorders>
            <w:shd w:val="clear" w:color="000000" w:fill="FFFFFF"/>
            <w:noWrap/>
            <w:vAlign w:val="center"/>
            <w:hideMark/>
          </w:tcPr>
          <w:p w14:paraId="0E18F70C" w14:textId="2188EB54"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2.9%</w:t>
            </w:r>
          </w:p>
        </w:tc>
        <w:tc>
          <w:tcPr>
            <w:tcW w:w="1189" w:type="dxa"/>
            <w:tcBorders>
              <w:top w:val="nil"/>
              <w:left w:val="nil"/>
              <w:bottom w:val="single" w:sz="4" w:space="0" w:color="auto"/>
              <w:right w:val="single" w:sz="4" w:space="0" w:color="auto"/>
            </w:tcBorders>
            <w:shd w:val="clear" w:color="000000" w:fill="FFFFFF"/>
            <w:noWrap/>
            <w:vAlign w:val="center"/>
            <w:hideMark/>
          </w:tcPr>
          <w:p w14:paraId="6ECA3703" w14:textId="77231CCF" w:rsidR="00F15230" w:rsidRPr="00AF60E4" w:rsidRDefault="00F15230" w:rsidP="00F15230">
            <w:pPr>
              <w:keepNext/>
              <w:jc w:val="center"/>
              <w:rPr>
                <w:rFonts w:cs="Calibri"/>
                <w:color w:val="000000"/>
                <w:sz w:val="22"/>
                <w:szCs w:val="22"/>
              </w:rPr>
            </w:pPr>
            <w:r>
              <w:rPr>
                <w:color w:val="000000"/>
                <w:sz w:val="22"/>
                <w:szCs w:val="22"/>
              </w:rPr>
              <w:t>88</w:t>
            </w:r>
          </w:p>
        </w:tc>
      </w:tr>
      <w:tr w:rsidR="00F15230" w:rsidRPr="00AF60E4" w14:paraId="3BD74D7A"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3BAFA48D"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5C48774F" w14:textId="77777777" w:rsidR="00F15230" w:rsidRPr="00AF60E4" w:rsidRDefault="00F15230" w:rsidP="00F15230">
            <w:pPr>
              <w:keepNext/>
              <w:rPr>
                <w:rFonts w:cs="Calibri"/>
                <w:color w:val="000000"/>
                <w:sz w:val="22"/>
                <w:szCs w:val="22"/>
              </w:rPr>
            </w:pPr>
            <w:r w:rsidRPr="00AF60E4">
              <w:rPr>
                <w:rFonts w:cs="Calibri"/>
                <w:color w:val="000000"/>
                <w:sz w:val="22"/>
                <w:szCs w:val="22"/>
              </w:rPr>
              <w:t>2. Manufacturing</w:t>
            </w:r>
          </w:p>
        </w:tc>
        <w:tc>
          <w:tcPr>
            <w:tcW w:w="1386" w:type="dxa"/>
            <w:tcBorders>
              <w:top w:val="nil"/>
              <w:left w:val="nil"/>
              <w:bottom w:val="single" w:sz="4" w:space="0" w:color="auto"/>
              <w:right w:val="single" w:sz="4" w:space="0" w:color="auto"/>
            </w:tcBorders>
            <w:shd w:val="clear" w:color="000000" w:fill="FFFFFF"/>
            <w:noWrap/>
            <w:vAlign w:val="center"/>
            <w:hideMark/>
          </w:tcPr>
          <w:p w14:paraId="6315F37B" w14:textId="5A324F7A" w:rsidR="00F15230" w:rsidRPr="00AF60E4" w:rsidRDefault="00F15230" w:rsidP="00F15230">
            <w:pPr>
              <w:keepNext/>
              <w:jc w:val="center"/>
              <w:rPr>
                <w:rFonts w:cs="Calibri"/>
                <w:color w:val="000000"/>
                <w:sz w:val="22"/>
                <w:szCs w:val="22"/>
              </w:rPr>
            </w:pPr>
            <w:r>
              <w:rPr>
                <w:color w:val="000000"/>
                <w:sz w:val="22"/>
                <w:szCs w:val="22"/>
              </w:rPr>
              <w:t>1</w:t>
            </w:r>
          </w:p>
        </w:tc>
        <w:tc>
          <w:tcPr>
            <w:tcW w:w="1053" w:type="dxa"/>
            <w:tcBorders>
              <w:top w:val="nil"/>
              <w:left w:val="nil"/>
              <w:bottom w:val="single" w:sz="4" w:space="0" w:color="auto"/>
              <w:right w:val="single" w:sz="4" w:space="0" w:color="auto"/>
            </w:tcBorders>
            <w:shd w:val="clear" w:color="000000" w:fill="FFFFFF"/>
            <w:noWrap/>
            <w:vAlign w:val="center"/>
            <w:hideMark/>
          </w:tcPr>
          <w:p w14:paraId="5C2A9118" w14:textId="7B04FA47" w:rsidR="00F15230" w:rsidRPr="00AF60E4" w:rsidRDefault="00F15230" w:rsidP="00F15230">
            <w:pPr>
              <w:keepNext/>
              <w:jc w:val="center"/>
              <w:rPr>
                <w:rFonts w:cs="Calibri"/>
                <w:color w:val="000000"/>
                <w:sz w:val="22"/>
                <w:szCs w:val="22"/>
              </w:rPr>
            </w:pPr>
            <w:r>
              <w:rPr>
                <w:color w:val="000000"/>
                <w:sz w:val="22"/>
                <w:szCs w:val="22"/>
              </w:rPr>
              <w:t>-0.8%</w:t>
            </w:r>
          </w:p>
        </w:tc>
        <w:tc>
          <w:tcPr>
            <w:tcW w:w="1051" w:type="dxa"/>
            <w:tcBorders>
              <w:top w:val="nil"/>
              <w:left w:val="nil"/>
              <w:bottom w:val="single" w:sz="4" w:space="0" w:color="auto"/>
              <w:right w:val="single" w:sz="4" w:space="0" w:color="auto"/>
            </w:tcBorders>
            <w:shd w:val="clear" w:color="000000" w:fill="FFFFFF"/>
            <w:noWrap/>
            <w:vAlign w:val="center"/>
            <w:hideMark/>
          </w:tcPr>
          <w:p w14:paraId="680D36A2" w14:textId="3FDCD925"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3.7%</w:t>
            </w:r>
          </w:p>
        </w:tc>
        <w:tc>
          <w:tcPr>
            <w:tcW w:w="1189" w:type="dxa"/>
            <w:tcBorders>
              <w:top w:val="nil"/>
              <w:left w:val="nil"/>
              <w:bottom w:val="single" w:sz="4" w:space="0" w:color="auto"/>
              <w:right w:val="single" w:sz="4" w:space="0" w:color="auto"/>
            </w:tcBorders>
            <w:shd w:val="clear" w:color="000000" w:fill="FFFFFF"/>
            <w:noWrap/>
            <w:vAlign w:val="center"/>
            <w:hideMark/>
          </w:tcPr>
          <w:p w14:paraId="5DF5DACA" w14:textId="40D8EAED" w:rsidR="00F15230" w:rsidRPr="00AF60E4" w:rsidRDefault="00F15230" w:rsidP="00F15230">
            <w:pPr>
              <w:keepNext/>
              <w:jc w:val="center"/>
              <w:rPr>
                <w:rFonts w:cs="Calibri"/>
                <w:color w:val="000000"/>
                <w:sz w:val="22"/>
                <w:szCs w:val="22"/>
              </w:rPr>
            </w:pPr>
            <w:r>
              <w:rPr>
                <w:color w:val="000000"/>
                <w:sz w:val="22"/>
                <w:szCs w:val="22"/>
              </w:rPr>
              <w:t>74</w:t>
            </w:r>
          </w:p>
        </w:tc>
      </w:tr>
      <w:tr w:rsidR="00F15230" w:rsidRPr="00AF60E4" w14:paraId="4FB90826" w14:textId="77777777" w:rsidTr="00F15230">
        <w:trPr>
          <w:trHeight w:val="307"/>
          <w:jc w:val="center"/>
        </w:trPr>
        <w:tc>
          <w:tcPr>
            <w:tcW w:w="1028" w:type="dxa"/>
            <w:vMerge/>
            <w:tcBorders>
              <w:top w:val="nil"/>
              <w:left w:val="single" w:sz="4" w:space="0" w:color="auto"/>
              <w:bottom w:val="single" w:sz="4" w:space="0" w:color="000000"/>
              <w:right w:val="single" w:sz="4" w:space="0" w:color="auto"/>
            </w:tcBorders>
            <w:vAlign w:val="center"/>
            <w:hideMark/>
          </w:tcPr>
          <w:p w14:paraId="4DC40FD8"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75A0B917" w14:textId="77777777" w:rsidR="00F15230" w:rsidRPr="00AF60E4" w:rsidRDefault="00F15230" w:rsidP="00F15230">
            <w:pPr>
              <w:keepNext/>
              <w:rPr>
                <w:rFonts w:cs="Calibri"/>
                <w:color w:val="000000"/>
                <w:sz w:val="22"/>
                <w:szCs w:val="22"/>
              </w:rPr>
            </w:pPr>
            <w:r w:rsidRPr="00AF60E4">
              <w:rPr>
                <w:rFonts w:cs="Calibri"/>
                <w:color w:val="000000"/>
                <w:sz w:val="22"/>
                <w:szCs w:val="22"/>
              </w:rPr>
              <w:t>3. Wholesale, Transportation, Utilities</w:t>
            </w:r>
          </w:p>
        </w:tc>
        <w:tc>
          <w:tcPr>
            <w:tcW w:w="1386" w:type="dxa"/>
            <w:tcBorders>
              <w:top w:val="nil"/>
              <w:left w:val="nil"/>
              <w:bottom w:val="single" w:sz="4" w:space="0" w:color="auto"/>
              <w:right w:val="single" w:sz="4" w:space="0" w:color="auto"/>
            </w:tcBorders>
            <w:shd w:val="clear" w:color="000000" w:fill="FFFFFF"/>
            <w:noWrap/>
            <w:vAlign w:val="center"/>
            <w:hideMark/>
          </w:tcPr>
          <w:p w14:paraId="31E9AF94" w14:textId="4F8B2162" w:rsidR="00F15230" w:rsidRPr="00AF60E4" w:rsidRDefault="00F15230" w:rsidP="00F15230">
            <w:pPr>
              <w:keepNext/>
              <w:jc w:val="center"/>
              <w:rPr>
                <w:rFonts w:cs="Calibri"/>
                <w:color w:val="000000"/>
                <w:sz w:val="22"/>
                <w:szCs w:val="22"/>
              </w:rPr>
            </w:pPr>
            <w:r>
              <w:rPr>
                <w:color w:val="000000"/>
                <w:sz w:val="22"/>
                <w:szCs w:val="22"/>
              </w:rPr>
              <w:t>2</w:t>
            </w:r>
          </w:p>
        </w:tc>
        <w:tc>
          <w:tcPr>
            <w:tcW w:w="1053" w:type="dxa"/>
            <w:tcBorders>
              <w:top w:val="nil"/>
              <w:left w:val="nil"/>
              <w:bottom w:val="single" w:sz="4" w:space="0" w:color="auto"/>
              <w:right w:val="single" w:sz="4" w:space="0" w:color="auto"/>
            </w:tcBorders>
            <w:shd w:val="clear" w:color="000000" w:fill="FFFFFF"/>
            <w:noWrap/>
            <w:vAlign w:val="center"/>
            <w:hideMark/>
          </w:tcPr>
          <w:p w14:paraId="6D017CEE" w14:textId="56B4FBB6" w:rsidR="00F15230" w:rsidRPr="00AF60E4" w:rsidRDefault="00F15230" w:rsidP="00F15230">
            <w:pPr>
              <w:keepNext/>
              <w:jc w:val="center"/>
              <w:rPr>
                <w:rFonts w:cs="Calibri"/>
                <w:color w:val="000000"/>
                <w:sz w:val="22"/>
                <w:szCs w:val="22"/>
              </w:rPr>
            </w:pPr>
            <w:r>
              <w:rPr>
                <w:color w:val="000000"/>
                <w:sz w:val="22"/>
                <w:szCs w:val="22"/>
              </w:rPr>
              <w:t>0.9%</w:t>
            </w:r>
          </w:p>
        </w:tc>
        <w:tc>
          <w:tcPr>
            <w:tcW w:w="1051" w:type="dxa"/>
            <w:tcBorders>
              <w:top w:val="nil"/>
              <w:left w:val="nil"/>
              <w:bottom w:val="single" w:sz="4" w:space="0" w:color="auto"/>
              <w:right w:val="single" w:sz="4" w:space="0" w:color="auto"/>
            </w:tcBorders>
            <w:shd w:val="clear" w:color="000000" w:fill="FFFFFF"/>
            <w:noWrap/>
            <w:vAlign w:val="center"/>
            <w:hideMark/>
          </w:tcPr>
          <w:p w14:paraId="6D22B131" w14:textId="64E9319D"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6.2%</w:t>
            </w:r>
          </w:p>
        </w:tc>
        <w:tc>
          <w:tcPr>
            <w:tcW w:w="1189" w:type="dxa"/>
            <w:tcBorders>
              <w:top w:val="nil"/>
              <w:left w:val="nil"/>
              <w:bottom w:val="single" w:sz="4" w:space="0" w:color="auto"/>
              <w:right w:val="single" w:sz="4" w:space="0" w:color="auto"/>
            </w:tcBorders>
            <w:shd w:val="clear" w:color="000000" w:fill="FFFFFF"/>
            <w:noWrap/>
            <w:vAlign w:val="center"/>
            <w:hideMark/>
          </w:tcPr>
          <w:p w14:paraId="66F49305" w14:textId="51B8B2BC" w:rsidR="00F15230" w:rsidRPr="00AF60E4" w:rsidRDefault="00F15230" w:rsidP="00F15230">
            <w:pPr>
              <w:keepNext/>
              <w:jc w:val="center"/>
              <w:rPr>
                <w:rFonts w:cs="Calibri"/>
                <w:color w:val="000000"/>
                <w:sz w:val="22"/>
                <w:szCs w:val="22"/>
              </w:rPr>
            </w:pPr>
            <w:r>
              <w:rPr>
                <w:color w:val="000000"/>
                <w:sz w:val="22"/>
                <w:szCs w:val="22"/>
              </w:rPr>
              <w:t>49</w:t>
            </w:r>
          </w:p>
        </w:tc>
      </w:tr>
      <w:tr w:rsidR="00F15230" w:rsidRPr="00AF60E4" w14:paraId="09709F80"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087A71C6"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5C6B75D8" w14:textId="77777777" w:rsidR="00F15230" w:rsidRPr="00AF60E4" w:rsidRDefault="00F15230" w:rsidP="00F15230">
            <w:pPr>
              <w:keepNext/>
              <w:rPr>
                <w:rFonts w:cs="Calibri"/>
                <w:color w:val="000000"/>
                <w:sz w:val="22"/>
                <w:szCs w:val="22"/>
              </w:rPr>
            </w:pPr>
            <w:r w:rsidRPr="00AF60E4">
              <w:rPr>
                <w:rFonts w:cs="Calibri"/>
                <w:color w:val="000000"/>
                <w:sz w:val="22"/>
                <w:szCs w:val="22"/>
              </w:rPr>
              <w:t>4. Retail</w:t>
            </w:r>
          </w:p>
        </w:tc>
        <w:tc>
          <w:tcPr>
            <w:tcW w:w="1386" w:type="dxa"/>
            <w:tcBorders>
              <w:top w:val="nil"/>
              <w:left w:val="nil"/>
              <w:bottom w:val="single" w:sz="4" w:space="0" w:color="auto"/>
              <w:right w:val="single" w:sz="4" w:space="0" w:color="auto"/>
            </w:tcBorders>
            <w:shd w:val="clear" w:color="000000" w:fill="FFFFFF"/>
            <w:noWrap/>
            <w:vAlign w:val="center"/>
            <w:hideMark/>
          </w:tcPr>
          <w:p w14:paraId="2194D329" w14:textId="64C0AF93" w:rsidR="00F15230" w:rsidRPr="00AF60E4" w:rsidRDefault="00F15230" w:rsidP="00F15230">
            <w:pPr>
              <w:keepNext/>
              <w:jc w:val="center"/>
              <w:rPr>
                <w:rFonts w:cs="Calibri"/>
                <w:color w:val="000000"/>
                <w:sz w:val="22"/>
                <w:szCs w:val="22"/>
              </w:rPr>
            </w:pPr>
            <w:r>
              <w:rPr>
                <w:color w:val="000000"/>
                <w:sz w:val="22"/>
                <w:szCs w:val="22"/>
              </w:rPr>
              <w:t>2</w:t>
            </w:r>
          </w:p>
        </w:tc>
        <w:tc>
          <w:tcPr>
            <w:tcW w:w="1053" w:type="dxa"/>
            <w:tcBorders>
              <w:top w:val="nil"/>
              <w:left w:val="nil"/>
              <w:bottom w:val="single" w:sz="4" w:space="0" w:color="auto"/>
              <w:right w:val="single" w:sz="4" w:space="0" w:color="auto"/>
            </w:tcBorders>
            <w:shd w:val="clear" w:color="000000" w:fill="FFFFFF"/>
            <w:noWrap/>
            <w:vAlign w:val="center"/>
            <w:hideMark/>
          </w:tcPr>
          <w:p w14:paraId="657590C0" w14:textId="11C6BEA6" w:rsidR="00F15230" w:rsidRPr="00AF60E4" w:rsidRDefault="00F15230" w:rsidP="00F15230">
            <w:pPr>
              <w:keepNext/>
              <w:jc w:val="center"/>
              <w:rPr>
                <w:rFonts w:cs="Calibri"/>
                <w:color w:val="000000"/>
                <w:sz w:val="22"/>
                <w:szCs w:val="22"/>
              </w:rPr>
            </w:pPr>
            <w:r>
              <w:rPr>
                <w:color w:val="000000"/>
                <w:sz w:val="22"/>
                <w:szCs w:val="22"/>
              </w:rPr>
              <w:t>-0.9%</w:t>
            </w:r>
          </w:p>
        </w:tc>
        <w:tc>
          <w:tcPr>
            <w:tcW w:w="1051" w:type="dxa"/>
            <w:tcBorders>
              <w:top w:val="nil"/>
              <w:left w:val="nil"/>
              <w:bottom w:val="single" w:sz="4" w:space="0" w:color="auto"/>
              <w:right w:val="single" w:sz="4" w:space="0" w:color="auto"/>
            </w:tcBorders>
            <w:shd w:val="clear" w:color="000000" w:fill="FFFFFF"/>
            <w:noWrap/>
            <w:vAlign w:val="center"/>
            <w:hideMark/>
          </w:tcPr>
          <w:p w14:paraId="6A3F132D" w14:textId="7B39B33E"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9.2%</w:t>
            </w:r>
          </w:p>
        </w:tc>
        <w:tc>
          <w:tcPr>
            <w:tcW w:w="1189" w:type="dxa"/>
            <w:tcBorders>
              <w:top w:val="nil"/>
              <w:left w:val="nil"/>
              <w:bottom w:val="single" w:sz="4" w:space="0" w:color="auto"/>
              <w:right w:val="single" w:sz="4" w:space="0" w:color="auto"/>
            </w:tcBorders>
            <w:shd w:val="clear" w:color="000000" w:fill="FFFFFF"/>
            <w:noWrap/>
            <w:vAlign w:val="center"/>
            <w:hideMark/>
          </w:tcPr>
          <w:p w14:paraId="10CFA81A" w14:textId="25003D5B" w:rsidR="00F15230" w:rsidRPr="00AF60E4" w:rsidRDefault="00F15230" w:rsidP="00F15230">
            <w:pPr>
              <w:keepNext/>
              <w:jc w:val="center"/>
              <w:rPr>
                <w:rFonts w:cs="Calibri"/>
                <w:color w:val="000000"/>
                <w:sz w:val="22"/>
                <w:szCs w:val="22"/>
              </w:rPr>
            </w:pPr>
            <w:r>
              <w:rPr>
                <w:color w:val="000000"/>
                <w:sz w:val="22"/>
                <w:szCs w:val="22"/>
              </w:rPr>
              <w:t>1</w:t>
            </w:r>
          </w:p>
        </w:tc>
      </w:tr>
      <w:tr w:rsidR="00F15230" w:rsidRPr="00AF60E4" w14:paraId="11AC5F3B"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40A3B1DD"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62EB463F" w14:textId="77777777" w:rsidR="00F15230" w:rsidRPr="00AF60E4" w:rsidRDefault="00F15230" w:rsidP="00F15230">
            <w:pPr>
              <w:keepNext/>
              <w:rPr>
                <w:rFonts w:cs="Calibri"/>
                <w:color w:val="000000"/>
                <w:sz w:val="22"/>
                <w:szCs w:val="22"/>
              </w:rPr>
            </w:pPr>
            <w:r w:rsidRPr="00AF60E4">
              <w:rPr>
                <w:rFonts w:cs="Calibri"/>
                <w:color w:val="000000"/>
                <w:sz w:val="22"/>
                <w:szCs w:val="22"/>
              </w:rPr>
              <w:t>5. Offices, Hotels, Health, Services</w:t>
            </w:r>
          </w:p>
        </w:tc>
        <w:tc>
          <w:tcPr>
            <w:tcW w:w="1386" w:type="dxa"/>
            <w:tcBorders>
              <w:top w:val="nil"/>
              <w:left w:val="nil"/>
              <w:bottom w:val="single" w:sz="4" w:space="0" w:color="auto"/>
              <w:right w:val="single" w:sz="4" w:space="0" w:color="auto"/>
            </w:tcBorders>
            <w:shd w:val="clear" w:color="000000" w:fill="FFFFFF"/>
            <w:noWrap/>
            <w:vAlign w:val="center"/>
            <w:hideMark/>
          </w:tcPr>
          <w:p w14:paraId="76F2CC5B" w14:textId="1F2A3D55" w:rsidR="00F15230" w:rsidRPr="00AF60E4" w:rsidRDefault="00F15230" w:rsidP="00F15230">
            <w:pPr>
              <w:keepNext/>
              <w:jc w:val="center"/>
              <w:rPr>
                <w:rFonts w:cs="Calibri"/>
                <w:color w:val="000000"/>
                <w:sz w:val="22"/>
                <w:szCs w:val="22"/>
              </w:rPr>
            </w:pPr>
            <w:r>
              <w:rPr>
                <w:color w:val="000000"/>
                <w:sz w:val="22"/>
                <w:szCs w:val="22"/>
              </w:rPr>
              <w:t>2</w:t>
            </w:r>
          </w:p>
        </w:tc>
        <w:tc>
          <w:tcPr>
            <w:tcW w:w="1053" w:type="dxa"/>
            <w:tcBorders>
              <w:top w:val="nil"/>
              <w:left w:val="nil"/>
              <w:bottom w:val="single" w:sz="4" w:space="0" w:color="auto"/>
              <w:right w:val="single" w:sz="4" w:space="0" w:color="auto"/>
            </w:tcBorders>
            <w:shd w:val="clear" w:color="000000" w:fill="FFFFFF"/>
            <w:noWrap/>
            <w:vAlign w:val="center"/>
            <w:hideMark/>
          </w:tcPr>
          <w:p w14:paraId="5B96A75B" w14:textId="676CA439" w:rsidR="00F15230" w:rsidRPr="00AF60E4" w:rsidRDefault="00F15230" w:rsidP="00F15230">
            <w:pPr>
              <w:keepNext/>
              <w:jc w:val="center"/>
              <w:rPr>
                <w:rFonts w:cs="Calibri"/>
                <w:color w:val="000000"/>
                <w:sz w:val="22"/>
                <w:szCs w:val="22"/>
              </w:rPr>
            </w:pPr>
            <w:r>
              <w:rPr>
                <w:color w:val="000000"/>
                <w:sz w:val="22"/>
                <w:szCs w:val="22"/>
              </w:rPr>
              <w:t>2.3%</w:t>
            </w:r>
          </w:p>
        </w:tc>
        <w:tc>
          <w:tcPr>
            <w:tcW w:w="1051" w:type="dxa"/>
            <w:tcBorders>
              <w:top w:val="nil"/>
              <w:left w:val="nil"/>
              <w:bottom w:val="single" w:sz="4" w:space="0" w:color="auto"/>
              <w:right w:val="single" w:sz="4" w:space="0" w:color="auto"/>
            </w:tcBorders>
            <w:shd w:val="clear" w:color="000000" w:fill="FFFFFF"/>
            <w:noWrap/>
            <w:vAlign w:val="center"/>
            <w:hideMark/>
          </w:tcPr>
          <w:p w14:paraId="3D9F4844" w14:textId="68EE2D2D"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5.1%</w:t>
            </w:r>
          </w:p>
        </w:tc>
        <w:tc>
          <w:tcPr>
            <w:tcW w:w="1189" w:type="dxa"/>
            <w:tcBorders>
              <w:top w:val="nil"/>
              <w:left w:val="nil"/>
              <w:bottom w:val="single" w:sz="4" w:space="0" w:color="auto"/>
              <w:right w:val="single" w:sz="4" w:space="0" w:color="auto"/>
            </w:tcBorders>
            <w:shd w:val="clear" w:color="000000" w:fill="FFFFFF"/>
            <w:noWrap/>
            <w:vAlign w:val="center"/>
            <w:hideMark/>
          </w:tcPr>
          <w:p w14:paraId="22A43C5C" w14:textId="2CCD8D1F" w:rsidR="00F15230" w:rsidRPr="00AF60E4" w:rsidRDefault="00F15230" w:rsidP="00F15230">
            <w:pPr>
              <w:keepNext/>
              <w:jc w:val="center"/>
              <w:rPr>
                <w:rFonts w:cs="Calibri"/>
                <w:color w:val="000000"/>
                <w:sz w:val="22"/>
                <w:szCs w:val="22"/>
              </w:rPr>
            </w:pPr>
            <w:r>
              <w:rPr>
                <w:color w:val="000000"/>
                <w:sz w:val="22"/>
                <w:szCs w:val="22"/>
              </w:rPr>
              <w:t>5</w:t>
            </w:r>
          </w:p>
        </w:tc>
      </w:tr>
      <w:tr w:rsidR="00F15230" w:rsidRPr="00AF60E4" w14:paraId="0F16D740"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1CCE0AB1"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277CDAE1" w14:textId="77777777" w:rsidR="00F15230" w:rsidRPr="00AF60E4" w:rsidRDefault="00F15230" w:rsidP="00F15230">
            <w:pPr>
              <w:keepNext/>
              <w:rPr>
                <w:rFonts w:cs="Calibri"/>
                <w:color w:val="000000"/>
                <w:sz w:val="22"/>
                <w:szCs w:val="22"/>
              </w:rPr>
            </w:pPr>
            <w:r w:rsidRPr="00AF60E4">
              <w:rPr>
                <w:rFonts w:cs="Calibri"/>
                <w:color w:val="000000"/>
                <w:sz w:val="22"/>
                <w:szCs w:val="22"/>
              </w:rPr>
              <w:t>8. Other</w:t>
            </w:r>
          </w:p>
        </w:tc>
        <w:tc>
          <w:tcPr>
            <w:tcW w:w="1386" w:type="dxa"/>
            <w:tcBorders>
              <w:top w:val="nil"/>
              <w:left w:val="nil"/>
              <w:bottom w:val="single" w:sz="4" w:space="0" w:color="auto"/>
              <w:right w:val="single" w:sz="4" w:space="0" w:color="auto"/>
            </w:tcBorders>
            <w:shd w:val="clear" w:color="000000" w:fill="FFFFFF"/>
            <w:noWrap/>
            <w:vAlign w:val="center"/>
            <w:hideMark/>
          </w:tcPr>
          <w:p w14:paraId="7BE5B483" w14:textId="26FCBA93" w:rsidR="00F15230" w:rsidRPr="00AF60E4" w:rsidRDefault="00F15230" w:rsidP="00F15230">
            <w:pPr>
              <w:keepNext/>
              <w:jc w:val="center"/>
              <w:rPr>
                <w:rFonts w:cs="Calibri"/>
                <w:color w:val="000000"/>
                <w:sz w:val="22"/>
                <w:szCs w:val="22"/>
              </w:rPr>
            </w:pPr>
            <w:r>
              <w:rPr>
                <w:color w:val="000000"/>
                <w:sz w:val="22"/>
                <w:szCs w:val="22"/>
              </w:rPr>
              <w:t>2</w:t>
            </w:r>
          </w:p>
        </w:tc>
        <w:tc>
          <w:tcPr>
            <w:tcW w:w="1053" w:type="dxa"/>
            <w:tcBorders>
              <w:top w:val="nil"/>
              <w:left w:val="nil"/>
              <w:bottom w:val="single" w:sz="4" w:space="0" w:color="auto"/>
              <w:right w:val="single" w:sz="4" w:space="0" w:color="auto"/>
            </w:tcBorders>
            <w:shd w:val="clear" w:color="000000" w:fill="FFFFFF"/>
            <w:noWrap/>
            <w:vAlign w:val="center"/>
            <w:hideMark/>
          </w:tcPr>
          <w:p w14:paraId="364B106F" w14:textId="16A0DFFB" w:rsidR="00F15230" w:rsidRPr="00AF60E4" w:rsidRDefault="00F15230" w:rsidP="00F15230">
            <w:pPr>
              <w:keepNext/>
              <w:jc w:val="center"/>
              <w:rPr>
                <w:rFonts w:cs="Calibri"/>
                <w:color w:val="000000"/>
                <w:sz w:val="22"/>
                <w:szCs w:val="22"/>
              </w:rPr>
            </w:pPr>
            <w:r>
              <w:rPr>
                <w:color w:val="000000"/>
                <w:sz w:val="22"/>
                <w:szCs w:val="22"/>
              </w:rPr>
              <w:t>3.2%</w:t>
            </w:r>
          </w:p>
        </w:tc>
        <w:tc>
          <w:tcPr>
            <w:tcW w:w="1051" w:type="dxa"/>
            <w:tcBorders>
              <w:top w:val="nil"/>
              <w:left w:val="nil"/>
              <w:bottom w:val="single" w:sz="4" w:space="0" w:color="auto"/>
              <w:right w:val="single" w:sz="4" w:space="0" w:color="auto"/>
            </w:tcBorders>
            <w:shd w:val="clear" w:color="000000" w:fill="FFFFFF"/>
            <w:noWrap/>
            <w:vAlign w:val="center"/>
            <w:hideMark/>
          </w:tcPr>
          <w:p w14:paraId="78C23C20" w14:textId="60FCAC82"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10.7%</w:t>
            </w:r>
          </w:p>
        </w:tc>
        <w:tc>
          <w:tcPr>
            <w:tcW w:w="1189" w:type="dxa"/>
            <w:tcBorders>
              <w:top w:val="nil"/>
              <w:left w:val="nil"/>
              <w:bottom w:val="single" w:sz="4" w:space="0" w:color="auto"/>
              <w:right w:val="single" w:sz="4" w:space="0" w:color="auto"/>
            </w:tcBorders>
            <w:shd w:val="clear" w:color="000000" w:fill="FFFFFF"/>
            <w:noWrap/>
            <w:vAlign w:val="center"/>
            <w:hideMark/>
          </w:tcPr>
          <w:p w14:paraId="4E89949B" w14:textId="4C435760" w:rsidR="00F15230" w:rsidRPr="00AF60E4" w:rsidRDefault="00F15230" w:rsidP="00F15230">
            <w:pPr>
              <w:keepNext/>
              <w:jc w:val="center"/>
              <w:rPr>
                <w:rFonts w:cs="Calibri"/>
                <w:color w:val="000000"/>
                <w:sz w:val="22"/>
                <w:szCs w:val="22"/>
              </w:rPr>
            </w:pPr>
            <w:r>
              <w:rPr>
                <w:color w:val="000000"/>
                <w:sz w:val="22"/>
                <w:szCs w:val="22"/>
              </w:rPr>
              <w:t>7</w:t>
            </w:r>
          </w:p>
        </w:tc>
      </w:tr>
    </w:tbl>
    <w:p w14:paraId="7A4C7D06" w14:textId="77777777" w:rsidR="00731D0B" w:rsidRDefault="00731D0B" w:rsidP="00731D0B"/>
    <w:p w14:paraId="63655A05" w14:textId="6796FD81" w:rsidR="00731D0B" w:rsidRPr="0088530C" w:rsidRDefault="00731D0B" w:rsidP="00731D0B">
      <w:pPr>
        <w:pStyle w:val="TableCaption"/>
        <w:keepNext/>
        <w:keepLines/>
      </w:pPr>
      <w:bookmarkStart w:id="285" w:name="_Toc508800257"/>
      <w:r w:rsidRPr="0088530C">
        <w:lastRenderedPageBreak/>
        <w:t xml:space="preserve">Table </w:t>
      </w:r>
      <w:r>
        <w:t>A</w:t>
      </w:r>
      <w:r w:rsidRPr="0088530C">
        <w:t>.</w:t>
      </w:r>
      <w:r>
        <w:t>11</w:t>
      </w:r>
      <w:r w:rsidRPr="0088530C">
        <w:t>: Specification Test Results</w:t>
      </w:r>
      <w:r w:rsidRPr="00C34420">
        <w:t xml:space="preserve"> </w:t>
      </w:r>
      <w:r>
        <w:t xml:space="preserve">for the </w:t>
      </w:r>
      <w:r>
        <w:rPr>
          <w:i/>
        </w:rPr>
        <w:t xml:space="preserve">Ex-Ante </w:t>
      </w:r>
      <w:r>
        <w:t>analysis, SCE</w:t>
      </w:r>
      <w:bookmarkEnd w:id="285"/>
    </w:p>
    <w:tbl>
      <w:tblPr>
        <w:tblW w:w="9486" w:type="dxa"/>
        <w:jc w:val="center"/>
        <w:tblLook w:val="04A0" w:firstRow="1" w:lastRow="0" w:firstColumn="1" w:lastColumn="0" w:noHBand="0" w:noVBand="1"/>
      </w:tblPr>
      <w:tblGrid>
        <w:gridCol w:w="1028"/>
        <w:gridCol w:w="3779"/>
        <w:gridCol w:w="1386"/>
        <w:gridCol w:w="1053"/>
        <w:gridCol w:w="1051"/>
        <w:gridCol w:w="1189"/>
      </w:tblGrid>
      <w:tr w:rsidR="00731D0B" w:rsidRPr="00AF60E4" w14:paraId="48D1E9E2" w14:textId="77777777" w:rsidTr="0086367A">
        <w:trPr>
          <w:trHeight w:val="600"/>
          <w:jc w:val="center"/>
        </w:trPr>
        <w:tc>
          <w:tcPr>
            <w:tcW w:w="1028" w:type="dxa"/>
            <w:tcBorders>
              <w:top w:val="single" w:sz="4" w:space="0" w:color="auto"/>
              <w:left w:val="single" w:sz="4" w:space="0" w:color="auto"/>
              <w:bottom w:val="single" w:sz="4" w:space="0" w:color="auto"/>
              <w:right w:val="single" w:sz="4" w:space="0" w:color="FFFFFF"/>
            </w:tcBorders>
            <w:shd w:val="clear" w:color="auto" w:fill="0C2577"/>
            <w:noWrap/>
            <w:vAlign w:val="center"/>
            <w:hideMark/>
          </w:tcPr>
          <w:p w14:paraId="423B61FC" w14:textId="77777777" w:rsidR="00731D0B" w:rsidRPr="00AF60E4" w:rsidRDefault="00731D0B" w:rsidP="00F15230">
            <w:pPr>
              <w:keepNext/>
              <w:jc w:val="center"/>
              <w:rPr>
                <w:rFonts w:cs="Calibri"/>
                <w:b/>
                <w:bCs/>
                <w:color w:val="FFFFFF"/>
                <w:sz w:val="22"/>
                <w:szCs w:val="22"/>
              </w:rPr>
            </w:pPr>
            <w:r w:rsidRPr="00AF60E4">
              <w:rPr>
                <w:rFonts w:cs="Calibri"/>
                <w:b/>
                <w:bCs/>
                <w:color w:val="FFFFFF"/>
                <w:sz w:val="22"/>
                <w:szCs w:val="22"/>
              </w:rPr>
              <w:t>Group</w:t>
            </w:r>
          </w:p>
        </w:tc>
        <w:tc>
          <w:tcPr>
            <w:tcW w:w="3779" w:type="dxa"/>
            <w:tcBorders>
              <w:top w:val="single" w:sz="4" w:space="0" w:color="auto"/>
              <w:left w:val="nil"/>
              <w:bottom w:val="single" w:sz="4" w:space="0" w:color="auto"/>
              <w:right w:val="single" w:sz="4" w:space="0" w:color="FFFFFF"/>
            </w:tcBorders>
            <w:shd w:val="clear" w:color="auto" w:fill="0C2577"/>
            <w:noWrap/>
            <w:vAlign w:val="center"/>
            <w:hideMark/>
          </w:tcPr>
          <w:p w14:paraId="7B2AD729" w14:textId="77777777" w:rsidR="00731D0B" w:rsidRPr="00AF60E4" w:rsidRDefault="00731D0B" w:rsidP="00F15230">
            <w:pPr>
              <w:keepNext/>
              <w:jc w:val="center"/>
              <w:rPr>
                <w:rFonts w:cs="Calibri"/>
                <w:b/>
                <w:bCs/>
                <w:color w:val="FFFFFF"/>
                <w:sz w:val="22"/>
                <w:szCs w:val="22"/>
              </w:rPr>
            </w:pPr>
            <w:r w:rsidRPr="00AF60E4">
              <w:rPr>
                <w:rFonts w:cs="Calibri"/>
                <w:b/>
                <w:bCs/>
                <w:color w:val="FFFFFF"/>
                <w:sz w:val="22"/>
                <w:szCs w:val="22"/>
              </w:rPr>
              <w:t>Industry Type</w:t>
            </w:r>
          </w:p>
        </w:tc>
        <w:tc>
          <w:tcPr>
            <w:tcW w:w="1386" w:type="dxa"/>
            <w:tcBorders>
              <w:top w:val="single" w:sz="4" w:space="0" w:color="auto"/>
              <w:left w:val="nil"/>
              <w:bottom w:val="single" w:sz="4" w:space="0" w:color="auto"/>
              <w:right w:val="single" w:sz="4" w:space="0" w:color="FFFFFF"/>
            </w:tcBorders>
            <w:shd w:val="clear" w:color="auto" w:fill="0C2577"/>
            <w:vAlign w:val="center"/>
            <w:hideMark/>
          </w:tcPr>
          <w:p w14:paraId="358D3F33" w14:textId="77777777" w:rsidR="00731D0B" w:rsidRPr="00AF60E4" w:rsidRDefault="00731D0B" w:rsidP="00F15230">
            <w:pPr>
              <w:keepNext/>
              <w:jc w:val="center"/>
              <w:rPr>
                <w:rFonts w:cs="Calibri"/>
                <w:b/>
                <w:bCs/>
                <w:color w:val="FFFFFF"/>
                <w:sz w:val="22"/>
                <w:szCs w:val="22"/>
              </w:rPr>
            </w:pPr>
            <w:r w:rsidRPr="00AF60E4">
              <w:rPr>
                <w:rFonts w:cs="Calibri"/>
                <w:b/>
                <w:bCs/>
                <w:color w:val="FFFFFF"/>
                <w:sz w:val="22"/>
                <w:szCs w:val="22"/>
              </w:rPr>
              <w:t>Selected Specification</w:t>
            </w:r>
          </w:p>
        </w:tc>
        <w:tc>
          <w:tcPr>
            <w:tcW w:w="1053" w:type="dxa"/>
            <w:tcBorders>
              <w:top w:val="single" w:sz="4" w:space="0" w:color="auto"/>
              <w:left w:val="nil"/>
              <w:bottom w:val="single" w:sz="4" w:space="0" w:color="auto"/>
              <w:right w:val="single" w:sz="4" w:space="0" w:color="FFFFFF"/>
            </w:tcBorders>
            <w:shd w:val="clear" w:color="auto" w:fill="0C2577"/>
            <w:noWrap/>
            <w:vAlign w:val="center"/>
            <w:hideMark/>
          </w:tcPr>
          <w:p w14:paraId="06BE5262" w14:textId="77777777" w:rsidR="00731D0B" w:rsidRPr="00AF60E4" w:rsidRDefault="00731D0B" w:rsidP="00F15230">
            <w:pPr>
              <w:keepNext/>
              <w:jc w:val="center"/>
              <w:rPr>
                <w:rFonts w:cs="Calibri"/>
                <w:b/>
                <w:bCs/>
                <w:color w:val="FFFFFF"/>
                <w:sz w:val="22"/>
                <w:szCs w:val="22"/>
              </w:rPr>
            </w:pPr>
            <w:r w:rsidRPr="00AF60E4">
              <w:rPr>
                <w:rFonts w:cs="Calibri"/>
                <w:b/>
                <w:bCs/>
                <w:color w:val="FFFFFF"/>
                <w:sz w:val="22"/>
                <w:szCs w:val="22"/>
              </w:rPr>
              <w:t>MPE</w:t>
            </w:r>
          </w:p>
        </w:tc>
        <w:tc>
          <w:tcPr>
            <w:tcW w:w="1051" w:type="dxa"/>
            <w:tcBorders>
              <w:top w:val="single" w:sz="4" w:space="0" w:color="auto"/>
              <w:left w:val="nil"/>
              <w:bottom w:val="single" w:sz="4" w:space="0" w:color="auto"/>
              <w:right w:val="single" w:sz="4" w:space="0" w:color="FFFFFF"/>
            </w:tcBorders>
            <w:shd w:val="clear" w:color="auto" w:fill="0C2577"/>
            <w:noWrap/>
            <w:vAlign w:val="center"/>
            <w:hideMark/>
          </w:tcPr>
          <w:p w14:paraId="4E6B3EAF" w14:textId="77777777" w:rsidR="00731D0B" w:rsidRPr="00AF60E4" w:rsidRDefault="00731D0B" w:rsidP="00F15230">
            <w:pPr>
              <w:keepNext/>
              <w:jc w:val="center"/>
              <w:rPr>
                <w:rFonts w:cs="Calibri"/>
                <w:b/>
                <w:bCs/>
                <w:color w:val="FFFFFF"/>
                <w:sz w:val="22"/>
                <w:szCs w:val="22"/>
              </w:rPr>
            </w:pPr>
            <w:r w:rsidRPr="00AF60E4">
              <w:rPr>
                <w:rFonts w:cs="Calibri"/>
                <w:b/>
                <w:bCs/>
                <w:color w:val="FFFFFF"/>
                <w:sz w:val="22"/>
                <w:szCs w:val="22"/>
              </w:rPr>
              <w:t>MAPE</w:t>
            </w:r>
          </w:p>
        </w:tc>
        <w:tc>
          <w:tcPr>
            <w:tcW w:w="1189" w:type="dxa"/>
            <w:tcBorders>
              <w:top w:val="single" w:sz="4" w:space="0" w:color="auto"/>
              <w:left w:val="nil"/>
              <w:bottom w:val="single" w:sz="4" w:space="0" w:color="auto"/>
              <w:right w:val="single" w:sz="4" w:space="0" w:color="auto"/>
            </w:tcBorders>
            <w:shd w:val="clear" w:color="auto" w:fill="0C2577"/>
            <w:vAlign w:val="center"/>
            <w:hideMark/>
          </w:tcPr>
          <w:p w14:paraId="0350AB8D" w14:textId="77777777" w:rsidR="00731D0B" w:rsidRPr="00AF60E4" w:rsidRDefault="00731D0B" w:rsidP="00F15230">
            <w:pPr>
              <w:keepNext/>
              <w:jc w:val="center"/>
              <w:rPr>
                <w:rFonts w:cs="Calibri"/>
                <w:b/>
                <w:bCs/>
                <w:color w:val="FFFFFF"/>
                <w:sz w:val="22"/>
                <w:szCs w:val="22"/>
              </w:rPr>
            </w:pPr>
            <w:r w:rsidRPr="00AF60E4">
              <w:rPr>
                <w:rFonts w:cs="Calibri"/>
                <w:b/>
                <w:bCs/>
                <w:color w:val="FFFFFF"/>
                <w:sz w:val="22"/>
                <w:szCs w:val="22"/>
              </w:rPr>
              <w:t>Number of Customers</w:t>
            </w:r>
          </w:p>
        </w:tc>
      </w:tr>
      <w:tr w:rsidR="00F15230" w:rsidRPr="00AF60E4" w14:paraId="0B7FE743" w14:textId="77777777" w:rsidTr="00F15230">
        <w:trPr>
          <w:trHeight w:val="322"/>
          <w:jc w:val="center"/>
        </w:trPr>
        <w:tc>
          <w:tcPr>
            <w:tcW w:w="102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8065CA5" w14:textId="77777777"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Weather Sensitive</w:t>
            </w:r>
          </w:p>
        </w:tc>
        <w:tc>
          <w:tcPr>
            <w:tcW w:w="3779" w:type="dxa"/>
            <w:tcBorders>
              <w:top w:val="nil"/>
              <w:left w:val="nil"/>
              <w:bottom w:val="single" w:sz="4" w:space="0" w:color="auto"/>
              <w:right w:val="single" w:sz="4" w:space="0" w:color="auto"/>
            </w:tcBorders>
            <w:shd w:val="clear" w:color="000000" w:fill="FFFFFF"/>
            <w:noWrap/>
            <w:vAlign w:val="center"/>
            <w:hideMark/>
          </w:tcPr>
          <w:p w14:paraId="671CF2BE" w14:textId="77777777" w:rsidR="00F15230" w:rsidRPr="00AF60E4" w:rsidRDefault="00F15230" w:rsidP="00F15230">
            <w:pPr>
              <w:keepNext/>
              <w:rPr>
                <w:rFonts w:cs="Calibri"/>
                <w:color w:val="000000"/>
                <w:sz w:val="22"/>
                <w:szCs w:val="22"/>
              </w:rPr>
            </w:pPr>
            <w:r>
              <w:rPr>
                <w:rFonts w:cs="Calibri"/>
                <w:color w:val="000000"/>
                <w:sz w:val="22"/>
                <w:szCs w:val="22"/>
              </w:rPr>
              <w:t>1. Agriculture, Mining, Construction</w:t>
            </w:r>
          </w:p>
        </w:tc>
        <w:tc>
          <w:tcPr>
            <w:tcW w:w="1386" w:type="dxa"/>
            <w:tcBorders>
              <w:top w:val="nil"/>
              <w:left w:val="nil"/>
              <w:bottom w:val="single" w:sz="4" w:space="0" w:color="auto"/>
              <w:right w:val="single" w:sz="4" w:space="0" w:color="auto"/>
            </w:tcBorders>
            <w:shd w:val="clear" w:color="000000" w:fill="FFFFFF"/>
            <w:noWrap/>
            <w:vAlign w:val="center"/>
            <w:hideMark/>
          </w:tcPr>
          <w:p w14:paraId="5C9943D4" w14:textId="4D7BE367" w:rsidR="00F15230" w:rsidRPr="00AF60E4" w:rsidRDefault="00F15230" w:rsidP="00F15230">
            <w:pPr>
              <w:keepNext/>
              <w:jc w:val="center"/>
              <w:rPr>
                <w:rFonts w:cs="Calibri"/>
                <w:color w:val="000000"/>
                <w:sz w:val="22"/>
                <w:szCs w:val="22"/>
              </w:rPr>
            </w:pPr>
            <w:r>
              <w:rPr>
                <w:color w:val="000000"/>
                <w:sz w:val="22"/>
                <w:szCs w:val="22"/>
              </w:rPr>
              <w:t>2</w:t>
            </w:r>
          </w:p>
        </w:tc>
        <w:tc>
          <w:tcPr>
            <w:tcW w:w="1053" w:type="dxa"/>
            <w:tcBorders>
              <w:top w:val="nil"/>
              <w:left w:val="nil"/>
              <w:bottom w:val="single" w:sz="4" w:space="0" w:color="auto"/>
              <w:right w:val="single" w:sz="4" w:space="0" w:color="auto"/>
            </w:tcBorders>
            <w:shd w:val="clear" w:color="000000" w:fill="FFFFFF"/>
            <w:noWrap/>
            <w:vAlign w:val="center"/>
            <w:hideMark/>
          </w:tcPr>
          <w:p w14:paraId="7ECC0FED" w14:textId="50463EB3" w:rsidR="00F15230" w:rsidRPr="00AF60E4" w:rsidRDefault="00F15230" w:rsidP="00F15230">
            <w:pPr>
              <w:keepNext/>
              <w:jc w:val="center"/>
              <w:rPr>
                <w:rFonts w:cs="Calibri"/>
                <w:color w:val="000000"/>
                <w:sz w:val="22"/>
                <w:szCs w:val="22"/>
              </w:rPr>
            </w:pPr>
            <w:r>
              <w:rPr>
                <w:color w:val="000000"/>
                <w:sz w:val="22"/>
                <w:szCs w:val="22"/>
              </w:rPr>
              <w:t>0.4%</w:t>
            </w:r>
          </w:p>
        </w:tc>
        <w:tc>
          <w:tcPr>
            <w:tcW w:w="1051" w:type="dxa"/>
            <w:tcBorders>
              <w:top w:val="nil"/>
              <w:left w:val="nil"/>
              <w:bottom w:val="single" w:sz="4" w:space="0" w:color="auto"/>
              <w:right w:val="single" w:sz="4" w:space="0" w:color="auto"/>
            </w:tcBorders>
            <w:shd w:val="clear" w:color="000000" w:fill="FFFFFF"/>
            <w:noWrap/>
            <w:vAlign w:val="center"/>
            <w:hideMark/>
          </w:tcPr>
          <w:p w14:paraId="758BF739" w14:textId="03F79EB3"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2.8%</w:t>
            </w:r>
          </w:p>
        </w:tc>
        <w:tc>
          <w:tcPr>
            <w:tcW w:w="1189" w:type="dxa"/>
            <w:tcBorders>
              <w:top w:val="nil"/>
              <w:left w:val="nil"/>
              <w:bottom w:val="single" w:sz="4" w:space="0" w:color="auto"/>
              <w:right w:val="single" w:sz="4" w:space="0" w:color="auto"/>
            </w:tcBorders>
            <w:shd w:val="clear" w:color="000000" w:fill="FFFFFF"/>
            <w:noWrap/>
            <w:vAlign w:val="center"/>
            <w:hideMark/>
          </w:tcPr>
          <w:p w14:paraId="159836ED" w14:textId="25C71EA8" w:rsidR="00F15230" w:rsidRPr="00AF60E4" w:rsidRDefault="00F15230" w:rsidP="00F15230">
            <w:pPr>
              <w:keepNext/>
              <w:jc w:val="center"/>
              <w:rPr>
                <w:rFonts w:cs="Calibri"/>
                <w:color w:val="000000"/>
                <w:sz w:val="22"/>
                <w:szCs w:val="22"/>
              </w:rPr>
            </w:pPr>
            <w:r>
              <w:rPr>
                <w:color w:val="000000"/>
                <w:sz w:val="22"/>
                <w:szCs w:val="22"/>
              </w:rPr>
              <w:t>11</w:t>
            </w:r>
          </w:p>
        </w:tc>
      </w:tr>
      <w:tr w:rsidR="00F15230" w:rsidRPr="00AF60E4" w14:paraId="45487951"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44D79B8E"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1E77627E" w14:textId="77777777" w:rsidR="00F15230" w:rsidRPr="00AF60E4" w:rsidRDefault="00F15230" w:rsidP="00F15230">
            <w:pPr>
              <w:keepNext/>
              <w:rPr>
                <w:rFonts w:cs="Calibri"/>
                <w:color w:val="000000"/>
                <w:sz w:val="22"/>
                <w:szCs w:val="22"/>
              </w:rPr>
            </w:pPr>
            <w:r>
              <w:rPr>
                <w:rFonts w:cs="Calibri"/>
                <w:color w:val="000000"/>
                <w:sz w:val="22"/>
                <w:szCs w:val="22"/>
              </w:rPr>
              <w:t>2. Manufacturing</w:t>
            </w:r>
          </w:p>
        </w:tc>
        <w:tc>
          <w:tcPr>
            <w:tcW w:w="1386" w:type="dxa"/>
            <w:tcBorders>
              <w:top w:val="nil"/>
              <w:left w:val="nil"/>
              <w:bottom w:val="single" w:sz="4" w:space="0" w:color="auto"/>
              <w:right w:val="single" w:sz="4" w:space="0" w:color="auto"/>
            </w:tcBorders>
            <w:shd w:val="clear" w:color="000000" w:fill="FFFFFF"/>
            <w:noWrap/>
            <w:vAlign w:val="center"/>
            <w:hideMark/>
          </w:tcPr>
          <w:p w14:paraId="650A2F52" w14:textId="28060834" w:rsidR="00F15230" w:rsidRPr="00AF60E4" w:rsidRDefault="00F15230" w:rsidP="00F15230">
            <w:pPr>
              <w:keepNext/>
              <w:jc w:val="center"/>
              <w:rPr>
                <w:rFonts w:cs="Calibri"/>
                <w:color w:val="000000"/>
                <w:sz w:val="22"/>
                <w:szCs w:val="22"/>
              </w:rPr>
            </w:pPr>
            <w:r>
              <w:rPr>
                <w:color w:val="000000"/>
                <w:sz w:val="22"/>
                <w:szCs w:val="22"/>
              </w:rPr>
              <w:t>4</w:t>
            </w:r>
          </w:p>
        </w:tc>
        <w:tc>
          <w:tcPr>
            <w:tcW w:w="1053" w:type="dxa"/>
            <w:tcBorders>
              <w:top w:val="nil"/>
              <w:left w:val="nil"/>
              <w:bottom w:val="single" w:sz="4" w:space="0" w:color="auto"/>
              <w:right w:val="single" w:sz="4" w:space="0" w:color="auto"/>
            </w:tcBorders>
            <w:shd w:val="clear" w:color="000000" w:fill="FFFFFF"/>
            <w:noWrap/>
            <w:vAlign w:val="center"/>
            <w:hideMark/>
          </w:tcPr>
          <w:p w14:paraId="52C65BCB" w14:textId="59F27B9F" w:rsidR="00F15230" w:rsidRPr="00AF60E4" w:rsidRDefault="00F15230" w:rsidP="00F15230">
            <w:pPr>
              <w:keepNext/>
              <w:jc w:val="center"/>
              <w:rPr>
                <w:rFonts w:cs="Calibri"/>
                <w:color w:val="000000"/>
                <w:sz w:val="22"/>
                <w:szCs w:val="22"/>
              </w:rPr>
            </w:pPr>
            <w:r>
              <w:rPr>
                <w:color w:val="000000"/>
                <w:sz w:val="22"/>
                <w:szCs w:val="22"/>
              </w:rPr>
              <w:t>3.6%</w:t>
            </w:r>
          </w:p>
        </w:tc>
        <w:tc>
          <w:tcPr>
            <w:tcW w:w="1051" w:type="dxa"/>
            <w:tcBorders>
              <w:top w:val="nil"/>
              <w:left w:val="nil"/>
              <w:bottom w:val="single" w:sz="4" w:space="0" w:color="auto"/>
              <w:right w:val="single" w:sz="4" w:space="0" w:color="auto"/>
            </w:tcBorders>
            <w:shd w:val="clear" w:color="000000" w:fill="FFFFFF"/>
            <w:noWrap/>
            <w:vAlign w:val="center"/>
            <w:hideMark/>
          </w:tcPr>
          <w:p w14:paraId="1EBC5004" w14:textId="5610A6AE"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6.7%</w:t>
            </w:r>
          </w:p>
        </w:tc>
        <w:tc>
          <w:tcPr>
            <w:tcW w:w="1189" w:type="dxa"/>
            <w:tcBorders>
              <w:top w:val="nil"/>
              <w:left w:val="nil"/>
              <w:bottom w:val="single" w:sz="4" w:space="0" w:color="auto"/>
              <w:right w:val="single" w:sz="4" w:space="0" w:color="auto"/>
            </w:tcBorders>
            <w:shd w:val="clear" w:color="000000" w:fill="FFFFFF"/>
            <w:noWrap/>
            <w:vAlign w:val="center"/>
            <w:hideMark/>
          </w:tcPr>
          <w:p w14:paraId="3956780E" w14:textId="78DE5DEC" w:rsidR="00F15230" w:rsidRPr="00AF60E4" w:rsidRDefault="00F15230" w:rsidP="00F15230">
            <w:pPr>
              <w:keepNext/>
              <w:jc w:val="center"/>
              <w:rPr>
                <w:rFonts w:cs="Calibri"/>
                <w:color w:val="000000"/>
                <w:sz w:val="22"/>
                <w:szCs w:val="22"/>
              </w:rPr>
            </w:pPr>
            <w:r>
              <w:rPr>
                <w:color w:val="000000"/>
                <w:sz w:val="22"/>
                <w:szCs w:val="22"/>
              </w:rPr>
              <w:t>103</w:t>
            </w:r>
          </w:p>
        </w:tc>
      </w:tr>
      <w:tr w:rsidR="00F15230" w:rsidRPr="00AF60E4" w14:paraId="6FDEF911" w14:textId="77777777" w:rsidTr="00F15230">
        <w:trPr>
          <w:trHeight w:val="307"/>
          <w:jc w:val="center"/>
        </w:trPr>
        <w:tc>
          <w:tcPr>
            <w:tcW w:w="1028" w:type="dxa"/>
            <w:vMerge/>
            <w:tcBorders>
              <w:top w:val="nil"/>
              <w:left w:val="single" w:sz="4" w:space="0" w:color="auto"/>
              <w:bottom w:val="single" w:sz="4" w:space="0" w:color="000000"/>
              <w:right w:val="single" w:sz="4" w:space="0" w:color="auto"/>
            </w:tcBorders>
            <w:vAlign w:val="center"/>
            <w:hideMark/>
          </w:tcPr>
          <w:p w14:paraId="0862F62A"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578A65A6" w14:textId="77777777" w:rsidR="00F15230" w:rsidRPr="00AF60E4" w:rsidRDefault="00F15230" w:rsidP="00F15230">
            <w:pPr>
              <w:keepNext/>
              <w:rPr>
                <w:rFonts w:cs="Calibri"/>
                <w:color w:val="000000"/>
                <w:sz w:val="22"/>
                <w:szCs w:val="22"/>
              </w:rPr>
            </w:pPr>
            <w:r>
              <w:rPr>
                <w:rFonts w:cs="Calibri"/>
                <w:color w:val="000000"/>
                <w:sz w:val="22"/>
                <w:szCs w:val="22"/>
              </w:rPr>
              <w:t>3. Wholesale, Transportation, Utilities</w:t>
            </w:r>
          </w:p>
        </w:tc>
        <w:tc>
          <w:tcPr>
            <w:tcW w:w="1386" w:type="dxa"/>
            <w:tcBorders>
              <w:top w:val="nil"/>
              <w:left w:val="nil"/>
              <w:bottom w:val="single" w:sz="4" w:space="0" w:color="auto"/>
              <w:right w:val="single" w:sz="4" w:space="0" w:color="auto"/>
            </w:tcBorders>
            <w:shd w:val="clear" w:color="000000" w:fill="FFFFFF"/>
            <w:noWrap/>
            <w:vAlign w:val="center"/>
            <w:hideMark/>
          </w:tcPr>
          <w:p w14:paraId="736A7A93" w14:textId="1EB68C97" w:rsidR="00F15230" w:rsidRPr="00AF60E4" w:rsidRDefault="00F15230" w:rsidP="00F15230">
            <w:pPr>
              <w:keepNext/>
              <w:jc w:val="center"/>
              <w:rPr>
                <w:rFonts w:cs="Calibri"/>
                <w:color w:val="000000"/>
                <w:sz w:val="22"/>
                <w:szCs w:val="22"/>
              </w:rPr>
            </w:pPr>
            <w:r>
              <w:rPr>
                <w:color w:val="000000"/>
                <w:sz w:val="22"/>
                <w:szCs w:val="22"/>
              </w:rPr>
              <w:t>4</w:t>
            </w:r>
          </w:p>
        </w:tc>
        <w:tc>
          <w:tcPr>
            <w:tcW w:w="1053" w:type="dxa"/>
            <w:tcBorders>
              <w:top w:val="nil"/>
              <w:left w:val="nil"/>
              <w:bottom w:val="single" w:sz="4" w:space="0" w:color="auto"/>
              <w:right w:val="single" w:sz="4" w:space="0" w:color="auto"/>
            </w:tcBorders>
            <w:shd w:val="clear" w:color="000000" w:fill="FFFFFF"/>
            <w:noWrap/>
            <w:vAlign w:val="center"/>
            <w:hideMark/>
          </w:tcPr>
          <w:p w14:paraId="56ED6179" w14:textId="0F66F867" w:rsidR="00F15230" w:rsidRPr="00AF60E4" w:rsidRDefault="00F15230" w:rsidP="00F15230">
            <w:pPr>
              <w:keepNext/>
              <w:jc w:val="center"/>
              <w:rPr>
                <w:rFonts w:cs="Calibri"/>
                <w:color w:val="000000"/>
                <w:sz w:val="22"/>
                <w:szCs w:val="22"/>
              </w:rPr>
            </w:pPr>
            <w:r>
              <w:rPr>
                <w:color w:val="000000"/>
                <w:sz w:val="22"/>
                <w:szCs w:val="22"/>
              </w:rPr>
              <w:t>1.4%</w:t>
            </w:r>
          </w:p>
        </w:tc>
        <w:tc>
          <w:tcPr>
            <w:tcW w:w="1051" w:type="dxa"/>
            <w:tcBorders>
              <w:top w:val="nil"/>
              <w:left w:val="nil"/>
              <w:bottom w:val="single" w:sz="4" w:space="0" w:color="auto"/>
              <w:right w:val="single" w:sz="4" w:space="0" w:color="auto"/>
            </w:tcBorders>
            <w:shd w:val="clear" w:color="000000" w:fill="FFFFFF"/>
            <w:noWrap/>
            <w:vAlign w:val="center"/>
            <w:hideMark/>
          </w:tcPr>
          <w:p w14:paraId="6BC13366" w14:textId="481C0114"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3.0%</w:t>
            </w:r>
          </w:p>
        </w:tc>
        <w:tc>
          <w:tcPr>
            <w:tcW w:w="1189" w:type="dxa"/>
            <w:tcBorders>
              <w:top w:val="nil"/>
              <w:left w:val="nil"/>
              <w:bottom w:val="single" w:sz="4" w:space="0" w:color="auto"/>
              <w:right w:val="single" w:sz="4" w:space="0" w:color="auto"/>
            </w:tcBorders>
            <w:shd w:val="clear" w:color="000000" w:fill="FFFFFF"/>
            <w:noWrap/>
            <w:vAlign w:val="center"/>
            <w:hideMark/>
          </w:tcPr>
          <w:p w14:paraId="6DDDC517" w14:textId="513318F7" w:rsidR="00F15230" w:rsidRPr="00AF60E4" w:rsidRDefault="00F15230" w:rsidP="00F15230">
            <w:pPr>
              <w:keepNext/>
              <w:jc w:val="center"/>
              <w:rPr>
                <w:rFonts w:cs="Calibri"/>
                <w:color w:val="000000"/>
                <w:sz w:val="22"/>
                <w:szCs w:val="22"/>
              </w:rPr>
            </w:pPr>
            <w:r>
              <w:rPr>
                <w:color w:val="000000"/>
                <w:sz w:val="22"/>
                <w:szCs w:val="22"/>
              </w:rPr>
              <w:t>35</w:t>
            </w:r>
          </w:p>
        </w:tc>
      </w:tr>
      <w:tr w:rsidR="00F15230" w:rsidRPr="00AF60E4" w14:paraId="4555AB5E"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5805E8CD"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75C0E267" w14:textId="77777777" w:rsidR="00F15230" w:rsidRPr="00AF60E4" w:rsidRDefault="00F15230" w:rsidP="00F15230">
            <w:pPr>
              <w:keepNext/>
              <w:rPr>
                <w:rFonts w:cs="Calibri"/>
                <w:color w:val="000000"/>
                <w:sz w:val="22"/>
                <w:szCs w:val="22"/>
              </w:rPr>
            </w:pPr>
            <w:r>
              <w:rPr>
                <w:rFonts w:cs="Calibri"/>
                <w:color w:val="000000"/>
                <w:sz w:val="22"/>
                <w:szCs w:val="22"/>
              </w:rPr>
              <w:t>4. Retail</w:t>
            </w:r>
          </w:p>
        </w:tc>
        <w:tc>
          <w:tcPr>
            <w:tcW w:w="1386" w:type="dxa"/>
            <w:tcBorders>
              <w:top w:val="nil"/>
              <w:left w:val="nil"/>
              <w:bottom w:val="single" w:sz="4" w:space="0" w:color="auto"/>
              <w:right w:val="single" w:sz="4" w:space="0" w:color="auto"/>
            </w:tcBorders>
            <w:shd w:val="clear" w:color="000000" w:fill="FFFFFF"/>
            <w:noWrap/>
            <w:vAlign w:val="center"/>
            <w:hideMark/>
          </w:tcPr>
          <w:p w14:paraId="03BA72C5" w14:textId="47ACB3A3" w:rsidR="00F15230" w:rsidRPr="00AF60E4" w:rsidRDefault="00F15230" w:rsidP="00F15230">
            <w:pPr>
              <w:keepNext/>
              <w:jc w:val="center"/>
              <w:rPr>
                <w:rFonts w:cs="Calibri"/>
                <w:color w:val="000000"/>
                <w:sz w:val="22"/>
                <w:szCs w:val="22"/>
              </w:rPr>
            </w:pPr>
            <w:r>
              <w:rPr>
                <w:color w:val="000000"/>
                <w:sz w:val="22"/>
                <w:szCs w:val="22"/>
              </w:rPr>
              <w:t>7</w:t>
            </w:r>
          </w:p>
        </w:tc>
        <w:tc>
          <w:tcPr>
            <w:tcW w:w="1053" w:type="dxa"/>
            <w:tcBorders>
              <w:top w:val="nil"/>
              <w:left w:val="nil"/>
              <w:bottom w:val="single" w:sz="4" w:space="0" w:color="auto"/>
              <w:right w:val="single" w:sz="4" w:space="0" w:color="auto"/>
            </w:tcBorders>
            <w:shd w:val="clear" w:color="000000" w:fill="FFFFFF"/>
            <w:noWrap/>
            <w:vAlign w:val="center"/>
            <w:hideMark/>
          </w:tcPr>
          <w:p w14:paraId="22D1B208" w14:textId="55E2E9BD" w:rsidR="00F15230" w:rsidRPr="00AF60E4" w:rsidRDefault="00F15230" w:rsidP="00F15230">
            <w:pPr>
              <w:keepNext/>
              <w:jc w:val="center"/>
              <w:rPr>
                <w:rFonts w:cs="Calibri"/>
                <w:color w:val="000000"/>
                <w:sz w:val="22"/>
                <w:szCs w:val="22"/>
              </w:rPr>
            </w:pPr>
            <w:r>
              <w:rPr>
                <w:color w:val="000000"/>
                <w:sz w:val="22"/>
                <w:szCs w:val="22"/>
              </w:rPr>
              <w:t>-0.1%</w:t>
            </w:r>
          </w:p>
        </w:tc>
        <w:tc>
          <w:tcPr>
            <w:tcW w:w="1051" w:type="dxa"/>
            <w:tcBorders>
              <w:top w:val="nil"/>
              <w:left w:val="nil"/>
              <w:bottom w:val="single" w:sz="4" w:space="0" w:color="auto"/>
              <w:right w:val="single" w:sz="4" w:space="0" w:color="auto"/>
            </w:tcBorders>
            <w:shd w:val="clear" w:color="000000" w:fill="FFFFFF"/>
            <w:noWrap/>
            <w:vAlign w:val="center"/>
            <w:hideMark/>
          </w:tcPr>
          <w:p w14:paraId="61A794CD" w14:textId="610775F7"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1.6%</w:t>
            </w:r>
          </w:p>
        </w:tc>
        <w:tc>
          <w:tcPr>
            <w:tcW w:w="1189" w:type="dxa"/>
            <w:tcBorders>
              <w:top w:val="nil"/>
              <w:left w:val="nil"/>
              <w:bottom w:val="single" w:sz="4" w:space="0" w:color="auto"/>
              <w:right w:val="single" w:sz="4" w:space="0" w:color="auto"/>
            </w:tcBorders>
            <w:shd w:val="clear" w:color="000000" w:fill="FFFFFF"/>
            <w:noWrap/>
            <w:vAlign w:val="center"/>
            <w:hideMark/>
          </w:tcPr>
          <w:p w14:paraId="750469A4" w14:textId="5FFEC50D" w:rsidR="00F15230" w:rsidRPr="00AF60E4" w:rsidRDefault="00F15230" w:rsidP="00F15230">
            <w:pPr>
              <w:keepNext/>
              <w:jc w:val="center"/>
              <w:rPr>
                <w:rFonts w:cs="Calibri"/>
                <w:color w:val="000000"/>
                <w:sz w:val="22"/>
                <w:szCs w:val="22"/>
              </w:rPr>
            </w:pPr>
            <w:r>
              <w:rPr>
                <w:color w:val="000000"/>
                <w:sz w:val="22"/>
                <w:szCs w:val="22"/>
              </w:rPr>
              <w:t>58</w:t>
            </w:r>
          </w:p>
        </w:tc>
      </w:tr>
      <w:tr w:rsidR="00F15230" w:rsidRPr="00AF60E4" w14:paraId="628C52D3"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029C197B"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398A3F7A" w14:textId="77777777" w:rsidR="00F15230" w:rsidRPr="00AF60E4" w:rsidRDefault="00F15230" w:rsidP="00F15230">
            <w:pPr>
              <w:keepNext/>
              <w:rPr>
                <w:rFonts w:cs="Calibri"/>
                <w:color w:val="000000"/>
                <w:sz w:val="22"/>
                <w:szCs w:val="22"/>
              </w:rPr>
            </w:pPr>
            <w:r>
              <w:rPr>
                <w:rFonts w:cs="Calibri"/>
                <w:color w:val="000000"/>
                <w:sz w:val="22"/>
                <w:szCs w:val="22"/>
              </w:rPr>
              <w:t>5. Offices, Hotels, Health, Services</w:t>
            </w:r>
          </w:p>
        </w:tc>
        <w:tc>
          <w:tcPr>
            <w:tcW w:w="1386" w:type="dxa"/>
            <w:tcBorders>
              <w:top w:val="nil"/>
              <w:left w:val="nil"/>
              <w:bottom w:val="single" w:sz="4" w:space="0" w:color="auto"/>
              <w:right w:val="single" w:sz="4" w:space="0" w:color="auto"/>
            </w:tcBorders>
            <w:shd w:val="clear" w:color="000000" w:fill="FFFFFF"/>
            <w:noWrap/>
            <w:vAlign w:val="center"/>
            <w:hideMark/>
          </w:tcPr>
          <w:p w14:paraId="07B20338" w14:textId="17158304" w:rsidR="00F15230" w:rsidRPr="00AF60E4" w:rsidRDefault="00F15230" w:rsidP="00F15230">
            <w:pPr>
              <w:keepNext/>
              <w:jc w:val="center"/>
              <w:rPr>
                <w:rFonts w:cs="Calibri"/>
                <w:color w:val="000000"/>
                <w:sz w:val="22"/>
                <w:szCs w:val="22"/>
              </w:rPr>
            </w:pPr>
            <w:r>
              <w:rPr>
                <w:color w:val="000000"/>
                <w:sz w:val="22"/>
                <w:szCs w:val="22"/>
              </w:rPr>
              <w:t>7</w:t>
            </w:r>
          </w:p>
        </w:tc>
        <w:tc>
          <w:tcPr>
            <w:tcW w:w="1053" w:type="dxa"/>
            <w:tcBorders>
              <w:top w:val="nil"/>
              <w:left w:val="nil"/>
              <w:bottom w:val="single" w:sz="4" w:space="0" w:color="auto"/>
              <w:right w:val="single" w:sz="4" w:space="0" w:color="auto"/>
            </w:tcBorders>
            <w:shd w:val="clear" w:color="000000" w:fill="FFFFFF"/>
            <w:noWrap/>
            <w:vAlign w:val="center"/>
            <w:hideMark/>
          </w:tcPr>
          <w:p w14:paraId="533221EE" w14:textId="2994145B" w:rsidR="00F15230" w:rsidRPr="00AF60E4" w:rsidRDefault="00F15230" w:rsidP="00F15230">
            <w:pPr>
              <w:keepNext/>
              <w:jc w:val="center"/>
              <w:rPr>
                <w:rFonts w:cs="Calibri"/>
                <w:color w:val="000000"/>
                <w:sz w:val="22"/>
                <w:szCs w:val="22"/>
              </w:rPr>
            </w:pPr>
            <w:r>
              <w:rPr>
                <w:color w:val="000000"/>
                <w:sz w:val="22"/>
                <w:szCs w:val="22"/>
              </w:rPr>
              <w:t>0.8%</w:t>
            </w:r>
          </w:p>
        </w:tc>
        <w:tc>
          <w:tcPr>
            <w:tcW w:w="1051" w:type="dxa"/>
            <w:tcBorders>
              <w:top w:val="nil"/>
              <w:left w:val="nil"/>
              <w:bottom w:val="single" w:sz="4" w:space="0" w:color="auto"/>
              <w:right w:val="single" w:sz="4" w:space="0" w:color="auto"/>
            </w:tcBorders>
            <w:shd w:val="clear" w:color="000000" w:fill="FFFFFF"/>
            <w:noWrap/>
            <w:vAlign w:val="center"/>
            <w:hideMark/>
          </w:tcPr>
          <w:p w14:paraId="454C9634" w14:textId="42EB2F82"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1.5%</w:t>
            </w:r>
          </w:p>
        </w:tc>
        <w:tc>
          <w:tcPr>
            <w:tcW w:w="1189" w:type="dxa"/>
            <w:tcBorders>
              <w:top w:val="nil"/>
              <w:left w:val="nil"/>
              <w:bottom w:val="single" w:sz="4" w:space="0" w:color="auto"/>
              <w:right w:val="single" w:sz="4" w:space="0" w:color="auto"/>
            </w:tcBorders>
            <w:shd w:val="clear" w:color="000000" w:fill="FFFFFF"/>
            <w:noWrap/>
            <w:vAlign w:val="center"/>
            <w:hideMark/>
          </w:tcPr>
          <w:p w14:paraId="262B3491" w14:textId="7E8AF412" w:rsidR="00F15230" w:rsidRPr="00AF60E4" w:rsidRDefault="00F15230" w:rsidP="00F15230">
            <w:pPr>
              <w:keepNext/>
              <w:jc w:val="center"/>
              <w:rPr>
                <w:rFonts w:cs="Calibri"/>
                <w:color w:val="000000"/>
                <w:sz w:val="22"/>
                <w:szCs w:val="22"/>
              </w:rPr>
            </w:pPr>
            <w:r>
              <w:rPr>
                <w:color w:val="000000"/>
                <w:sz w:val="22"/>
                <w:szCs w:val="22"/>
              </w:rPr>
              <w:t>28</w:t>
            </w:r>
          </w:p>
        </w:tc>
      </w:tr>
      <w:tr w:rsidR="00F15230" w:rsidRPr="00AF60E4" w14:paraId="32DA0810"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3C5252AD"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3D3A9183" w14:textId="77777777" w:rsidR="00F15230" w:rsidRPr="00AF60E4" w:rsidRDefault="00F15230" w:rsidP="00F15230">
            <w:pPr>
              <w:keepNext/>
              <w:rPr>
                <w:rFonts w:cs="Calibri"/>
                <w:color w:val="000000"/>
                <w:sz w:val="22"/>
                <w:szCs w:val="22"/>
              </w:rPr>
            </w:pPr>
            <w:r>
              <w:rPr>
                <w:rFonts w:cs="Calibri"/>
                <w:color w:val="000000"/>
                <w:sz w:val="22"/>
                <w:szCs w:val="22"/>
              </w:rPr>
              <w:t>6. Schools</w:t>
            </w:r>
          </w:p>
        </w:tc>
        <w:tc>
          <w:tcPr>
            <w:tcW w:w="1386" w:type="dxa"/>
            <w:tcBorders>
              <w:top w:val="nil"/>
              <w:left w:val="nil"/>
              <w:bottom w:val="single" w:sz="4" w:space="0" w:color="auto"/>
              <w:right w:val="single" w:sz="4" w:space="0" w:color="auto"/>
            </w:tcBorders>
            <w:shd w:val="clear" w:color="000000" w:fill="FFFFFF"/>
            <w:noWrap/>
            <w:vAlign w:val="center"/>
            <w:hideMark/>
          </w:tcPr>
          <w:p w14:paraId="0AED2031" w14:textId="406715B4" w:rsidR="00F15230" w:rsidRPr="00AF60E4" w:rsidRDefault="00F15230" w:rsidP="00F15230">
            <w:pPr>
              <w:keepNext/>
              <w:jc w:val="center"/>
              <w:rPr>
                <w:rFonts w:cs="Calibri"/>
                <w:color w:val="000000"/>
                <w:sz w:val="22"/>
                <w:szCs w:val="22"/>
              </w:rPr>
            </w:pPr>
            <w:r>
              <w:rPr>
                <w:color w:val="000000"/>
                <w:sz w:val="22"/>
                <w:szCs w:val="22"/>
              </w:rPr>
              <w:t>7</w:t>
            </w:r>
          </w:p>
        </w:tc>
        <w:tc>
          <w:tcPr>
            <w:tcW w:w="1053" w:type="dxa"/>
            <w:tcBorders>
              <w:top w:val="nil"/>
              <w:left w:val="nil"/>
              <w:bottom w:val="single" w:sz="4" w:space="0" w:color="auto"/>
              <w:right w:val="single" w:sz="4" w:space="0" w:color="auto"/>
            </w:tcBorders>
            <w:shd w:val="clear" w:color="000000" w:fill="FFFFFF"/>
            <w:noWrap/>
            <w:vAlign w:val="center"/>
            <w:hideMark/>
          </w:tcPr>
          <w:p w14:paraId="45F8A3DC" w14:textId="37CE72ED" w:rsidR="00F15230" w:rsidRPr="00AF60E4" w:rsidRDefault="00F15230" w:rsidP="00F15230">
            <w:pPr>
              <w:keepNext/>
              <w:jc w:val="center"/>
              <w:rPr>
                <w:rFonts w:cs="Calibri"/>
                <w:color w:val="000000"/>
                <w:sz w:val="22"/>
                <w:szCs w:val="22"/>
              </w:rPr>
            </w:pPr>
            <w:r>
              <w:rPr>
                <w:color w:val="000000"/>
                <w:sz w:val="22"/>
                <w:szCs w:val="22"/>
              </w:rPr>
              <w:t>4.0%</w:t>
            </w:r>
          </w:p>
        </w:tc>
        <w:tc>
          <w:tcPr>
            <w:tcW w:w="1051" w:type="dxa"/>
            <w:tcBorders>
              <w:top w:val="nil"/>
              <w:left w:val="nil"/>
              <w:bottom w:val="single" w:sz="4" w:space="0" w:color="auto"/>
              <w:right w:val="single" w:sz="4" w:space="0" w:color="auto"/>
            </w:tcBorders>
            <w:shd w:val="clear" w:color="000000" w:fill="FFFFFF"/>
            <w:noWrap/>
            <w:vAlign w:val="center"/>
            <w:hideMark/>
          </w:tcPr>
          <w:p w14:paraId="6EB30144" w14:textId="71CC7FA0"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7.8%</w:t>
            </w:r>
          </w:p>
        </w:tc>
        <w:tc>
          <w:tcPr>
            <w:tcW w:w="1189" w:type="dxa"/>
            <w:tcBorders>
              <w:top w:val="nil"/>
              <w:left w:val="nil"/>
              <w:bottom w:val="single" w:sz="4" w:space="0" w:color="auto"/>
              <w:right w:val="single" w:sz="4" w:space="0" w:color="auto"/>
            </w:tcBorders>
            <w:shd w:val="clear" w:color="000000" w:fill="FFFFFF"/>
            <w:noWrap/>
            <w:vAlign w:val="center"/>
            <w:hideMark/>
          </w:tcPr>
          <w:p w14:paraId="64447F71" w14:textId="079B20FD" w:rsidR="00F15230" w:rsidRPr="00AF60E4" w:rsidRDefault="00F15230" w:rsidP="00F15230">
            <w:pPr>
              <w:keepNext/>
              <w:jc w:val="center"/>
              <w:rPr>
                <w:rFonts w:cs="Calibri"/>
                <w:color w:val="000000"/>
                <w:sz w:val="22"/>
                <w:szCs w:val="22"/>
              </w:rPr>
            </w:pPr>
            <w:r>
              <w:rPr>
                <w:color w:val="000000"/>
                <w:sz w:val="22"/>
                <w:szCs w:val="22"/>
              </w:rPr>
              <w:t>4</w:t>
            </w:r>
          </w:p>
        </w:tc>
      </w:tr>
      <w:tr w:rsidR="00F15230" w:rsidRPr="00AF60E4" w14:paraId="0142B5B8"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71742ADF"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109D9DC8" w14:textId="77777777" w:rsidR="00F15230" w:rsidRPr="00AF60E4" w:rsidRDefault="00F15230" w:rsidP="00F15230">
            <w:pPr>
              <w:keepNext/>
              <w:rPr>
                <w:rFonts w:cs="Calibri"/>
                <w:color w:val="000000"/>
                <w:sz w:val="22"/>
                <w:szCs w:val="22"/>
              </w:rPr>
            </w:pPr>
            <w:r>
              <w:rPr>
                <w:rFonts w:cs="Calibri"/>
                <w:color w:val="000000"/>
                <w:sz w:val="22"/>
                <w:szCs w:val="22"/>
              </w:rPr>
              <w:t>7. Institutional/Government</w:t>
            </w:r>
          </w:p>
        </w:tc>
        <w:tc>
          <w:tcPr>
            <w:tcW w:w="1386" w:type="dxa"/>
            <w:tcBorders>
              <w:top w:val="nil"/>
              <w:left w:val="nil"/>
              <w:bottom w:val="single" w:sz="4" w:space="0" w:color="auto"/>
              <w:right w:val="single" w:sz="4" w:space="0" w:color="auto"/>
            </w:tcBorders>
            <w:shd w:val="clear" w:color="000000" w:fill="FFFFFF"/>
            <w:noWrap/>
            <w:vAlign w:val="center"/>
            <w:hideMark/>
          </w:tcPr>
          <w:p w14:paraId="09BAC35F" w14:textId="613B597C" w:rsidR="00F15230" w:rsidRPr="00AF60E4" w:rsidRDefault="00F15230" w:rsidP="00F15230">
            <w:pPr>
              <w:keepNext/>
              <w:jc w:val="center"/>
              <w:rPr>
                <w:rFonts w:cs="Calibri"/>
                <w:color w:val="000000"/>
                <w:sz w:val="22"/>
                <w:szCs w:val="22"/>
              </w:rPr>
            </w:pPr>
            <w:r>
              <w:rPr>
                <w:color w:val="000000"/>
                <w:sz w:val="22"/>
                <w:szCs w:val="22"/>
              </w:rPr>
              <w:t>7</w:t>
            </w:r>
          </w:p>
        </w:tc>
        <w:tc>
          <w:tcPr>
            <w:tcW w:w="1053" w:type="dxa"/>
            <w:tcBorders>
              <w:top w:val="nil"/>
              <w:left w:val="nil"/>
              <w:bottom w:val="single" w:sz="4" w:space="0" w:color="auto"/>
              <w:right w:val="single" w:sz="4" w:space="0" w:color="auto"/>
            </w:tcBorders>
            <w:shd w:val="clear" w:color="000000" w:fill="FFFFFF"/>
            <w:noWrap/>
            <w:vAlign w:val="center"/>
            <w:hideMark/>
          </w:tcPr>
          <w:p w14:paraId="5CE5D273" w14:textId="3399DAD4" w:rsidR="00F15230" w:rsidRPr="00AF60E4" w:rsidRDefault="00F15230" w:rsidP="00F15230">
            <w:pPr>
              <w:keepNext/>
              <w:jc w:val="center"/>
              <w:rPr>
                <w:rFonts w:cs="Calibri"/>
                <w:color w:val="000000"/>
                <w:sz w:val="22"/>
                <w:szCs w:val="22"/>
              </w:rPr>
            </w:pPr>
            <w:r>
              <w:rPr>
                <w:color w:val="000000"/>
                <w:sz w:val="22"/>
                <w:szCs w:val="22"/>
              </w:rPr>
              <w:t>6.6%</w:t>
            </w:r>
          </w:p>
        </w:tc>
        <w:tc>
          <w:tcPr>
            <w:tcW w:w="1051" w:type="dxa"/>
            <w:tcBorders>
              <w:top w:val="nil"/>
              <w:left w:val="nil"/>
              <w:bottom w:val="single" w:sz="4" w:space="0" w:color="auto"/>
              <w:right w:val="single" w:sz="4" w:space="0" w:color="auto"/>
            </w:tcBorders>
            <w:shd w:val="clear" w:color="000000" w:fill="FFFFFF"/>
            <w:noWrap/>
            <w:vAlign w:val="center"/>
            <w:hideMark/>
          </w:tcPr>
          <w:p w14:paraId="77C775CB" w14:textId="5ABD45E9"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12.7%</w:t>
            </w:r>
          </w:p>
        </w:tc>
        <w:tc>
          <w:tcPr>
            <w:tcW w:w="1189" w:type="dxa"/>
            <w:tcBorders>
              <w:top w:val="nil"/>
              <w:left w:val="nil"/>
              <w:bottom w:val="single" w:sz="4" w:space="0" w:color="auto"/>
              <w:right w:val="single" w:sz="4" w:space="0" w:color="auto"/>
            </w:tcBorders>
            <w:shd w:val="clear" w:color="000000" w:fill="FFFFFF"/>
            <w:noWrap/>
            <w:vAlign w:val="center"/>
            <w:hideMark/>
          </w:tcPr>
          <w:p w14:paraId="39FEDBCA" w14:textId="07ADACC4" w:rsidR="00F15230" w:rsidRPr="00AF60E4" w:rsidRDefault="00F15230" w:rsidP="00F15230">
            <w:pPr>
              <w:keepNext/>
              <w:jc w:val="center"/>
              <w:rPr>
                <w:rFonts w:cs="Calibri"/>
                <w:color w:val="000000"/>
                <w:sz w:val="22"/>
                <w:szCs w:val="22"/>
              </w:rPr>
            </w:pPr>
            <w:r>
              <w:rPr>
                <w:color w:val="000000"/>
                <w:sz w:val="22"/>
                <w:szCs w:val="22"/>
              </w:rPr>
              <w:t>7</w:t>
            </w:r>
          </w:p>
        </w:tc>
      </w:tr>
      <w:tr w:rsidR="00F15230" w:rsidRPr="00AF60E4" w14:paraId="1B2E0197" w14:textId="77777777" w:rsidTr="00F15230">
        <w:trPr>
          <w:trHeight w:val="263"/>
          <w:jc w:val="center"/>
        </w:trPr>
        <w:tc>
          <w:tcPr>
            <w:tcW w:w="102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7420571" w14:textId="77777777"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Non-Weather Sensitive</w:t>
            </w:r>
          </w:p>
        </w:tc>
        <w:tc>
          <w:tcPr>
            <w:tcW w:w="3779" w:type="dxa"/>
            <w:tcBorders>
              <w:top w:val="nil"/>
              <w:left w:val="nil"/>
              <w:bottom w:val="single" w:sz="4" w:space="0" w:color="auto"/>
              <w:right w:val="single" w:sz="4" w:space="0" w:color="auto"/>
            </w:tcBorders>
            <w:shd w:val="clear" w:color="000000" w:fill="FFFFFF"/>
            <w:noWrap/>
            <w:vAlign w:val="center"/>
            <w:hideMark/>
          </w:tcPr>
          <w:p w14:paraId="3AD7C9B2" w14:textId="77777777" w:rsidR="00F15230" w:rsidRPr="00AF60E4" w:rsidRDefault="00F15230" w:rsidP="00F15230">
            <w:pPr>
              <w:keepNext/>
              <w:rPr>
                <w:rFonts w:cs="Calibri"/>
                <w:color w:val="000000"/>
                <w:sz w:val="22"/>
                <w:szCs w:val="22"/>
              </w:rPr>
            </w:pPr>
            <w:r>
              <w:rPr>
                <w:rFonts w:cs="Calibri"/>
                <w:color w:val="000000"/>
                <w:sz w:val="22"/>
                <w:szCs w:val="22"/>
              </w:rPr>
              <w:t>1. Agriculture, Mining, Construction</w:t>
            </w:r>
          </w:p>
        </w:tc>
        <w:tc>
          <w:tcPr>
            <w:tcW w:w="1386" w:type="dxa"/>
            <w:tcBorders>
              <w:top w:val="nil"/>
              <w:left w:val="nil"/>
              <w:bottom w:val="single" w:sz="4" w:space="0" w:color="auto"/>
              <w:right w:val="single" w:sz="4" w:space="0" w:color="auto"/>
            </w:tcBorders>
            <w:shd w:val="clear" w:color="000000" w:fill="FFFFFF"/>
            <w:noWrap/>
            <w:vAlign w:val="center"/>
            <w:hideMark/>
          </w:tcPr>
          <w:p w14:paraId="03618A9C" w14:textId="4C790F1D" w:rsidR="00F15230" w:rsidRPr="00AF60E4" w:rsidRDefault="00F15230" w:rsidP="00F15230">
            <w:pPr>
              <w:keepNext/>
              <w:jc w:val="center"/>
              <w:rPr>
                <w:rFonts w:cs="Calibri"/>
                <w:color w:val="000000"/>
                <w:sz w:val="22"/>
                <w:szCs w:val="22"/>
              </w:rPr>
            </w:pPr>
            <w:r>
              <w:rPr>
                <w:color w:val="000000"/>
                <w:sz w:val="22"/>
                <w:szCs w:val="22"/>
              </w:rPr>
              <w:t>1</w:t>
            </w:r>
          </w:p>
        </w:tc>
        <w:tc>
          <w:tcPr>
            <w:tcW w:w="1053" w:type="dxa"/>
            <w:tcBorders>
              <w:top w:val="nil"/>
              <w:left w:val="nil"/>
              <w:bottom w:val="single" w:sz="4" w:space="0" w:color="auto"/>
              <w:right w:val="single" w:sz="4" w:space="0" w:color="auto"/>
            </w:tcBorders>
            <w:shd w:val="clear" w:color="000000" w:fill="FFFFFF"/>
            <w:noWrap/>
            <w:vAlign w:val="center"/>
            <w:hideMark/>
          </w:tcPr>
          <w:p w14:paraId="500F2716" w14:textId="1B1F7774" w:rsidR="00F15230" w:rsidRPr="00AF60E4" w:rsidRDefault="00F15230" w:rsidP="00F15230">
            <w:pPr>
              <w:keepNext/>
              <w:jc w:val="center"/>
              <w:rPr>
                <w:rFonts w:cs="Calibri"/>
                <w:color w:val="000000"/>
                <w:sz w:val="22"/>
                <w:szCs w:val="22"/>
              </w:rPr>
            </w:pPr>
            <w:r>
              <w:rPr>
                <w:color w:val="000000"/>
                <w:sz w:val="22"/>
                <w:szCs w:val="22"/>
              </w:rPr>
              <w:t>0.5%</w:t>
            </w:r>
          </w:p>
        </w:tc>
        <w:tc>
          <w:tcPr>
            <w:tcW w:w="1051" w:type="dxa"/>
            <w:tcBorders>
              <w:top w:val="nil"/>
              <w:left w:val="nil"/>
              <w:bottom w:val="single" w:sz="4" w:space="0" w:color="auto"/>
              <w:right w:val="single" w:sz="4" w:space="0" w:color="auto"/>
            </w:tcBorders>
            <w:shd w:val="clear" w:color="000000" w:fill="FFFFFF"/>
            <w:noWrap/>
            <w:vAlign w:val="center"/>
            <w:hideMark/>
          </w:tcPr>
          <w:p w14:paraId="705B5B78" w14:textId="3D5A9C94"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1.5%</w:t>
            </w:r>
          </w:p>
        </w:tc>
        <w:tc>
          <w:tcPr>
            <w:tcW w:w="1189" w:type="dxa"/>
            <w:tcBorders>
              <w:top w:val="nil"/>
              <w:left w:val="nil"/>
              <w:bottom w:val="single" w:sz="4" w:space="0" w:color="auto"/>
              <w:right w:val="single" w:sz="4" w:space="0" w:color="auto"/>
            </w:tcBorders>
            <w:shd w:val="clear" w:color="000000" w:fill="FFFFFF"/>
            <w:noWrap/>
            <w:vAlign w:val="center"/>
            <w:hideMark/>
          </w:tcPr>
          <w:p w14:paraId="7BD0FAAF" w14:textId="1D130BAF" w:rsidR="00F15230" w:rsidRPr="00AF60E4" w:rsidRDefault="00F15230" w:rsidP="00F15230">
            <w:pPr>
              <w:keepNext/>
              <w:jc w:val="center"/>
              <w:rPr>
                <w:rFonts w:cs="Calibri"/>
                <w:color w:val="000000"/>
                <w:sz w:val="22"/>
                <w:szCs w:val="22"/>
              </w:rPr>
            </w:pPr>
            <w:r>
              <w:rPr>
                <w:color w:val="000000"/>
                <w:sz w:val="22"/>
                <w:szCs w:val="22"/>
              </w:rPr>
              <w:t>43</w:t>
            </w:r>
          </w:p>
        </w:tc>
      </w:tr>
      <w:tr w:rsidR="00F15230" w:rsidRPr="00AF60E4" w14:paraId="279A707E"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4EFFB4A1"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42C155DC" w14:textId="77777777" w:rsidR="00F15230" w:rsidRPr="00AF60E4" w:rsidRDefault="00F15230" w:rsidP="00F15230">
            <w:pPr>
              <w:keepNext/>
              <w:rPr>
                <w:rFonts w:cs="Calibri"/>
                <w:color w:val="000000"/>
                <w:sz w:val="22"/>
                <w:szCs w:val="22"/>
              </w:rPr>
            </w:pPr>
            <w:r>
              <w:rPr>
                <w:rFonts w:cs="Calibri"/>
                <w:color w:val="000000"/>
                <w:sz w:val="22"/>
                <w:szCs w:val="22"/>
              </w:rPr>
              <w:t>2. Manufacturing</w:t>
            </w:r>
          </w:p>
        </w:tc>
        <w:tc>
          <w:tcPr>
            <w:tcW w:w="1386" w:type="dxa"/>
            <w:tcBorders>
              <w:top w:val="nil"/>
              <w:left w:val="nil"/>
              <w:bottom w:val="single" w:sz="4" w:space="0" w:color="auto"/>
              <w:right w:val="single" w:sz="4" w:space="0" w:color="auto"/>
            </w:tcBorders>
            <w:shd w:val="clear" w:color="000000" w:fill="FFFFFF"/>
            <w:noWrap/>
            <w:vAlign w:val="center"/>
            <w:hideMark/>
          </w:tcPr>
          <w:p w14:paraId="0E07BCCE" w14:textId="5A5BFEE6" w:rsidR="00F15230" w:rsidRPr="00AF60E4" w:rsidRDefault="00F15230" w:rsidP="00F15230">
            <w:pPr>
              <w:keepNext/>
              <w:jc w:val="center"/>
              <w:rPr>
                <w:rFonts w:cs="Calibri"/>
                <w:color w:val="000000"/>
                <w:sz w:val="22"/>
                <w:szCs w:val="22"/>
              </w:rPr>
            </w:pPr>
            <w:r>
              <w:rPr>
                <w:color w:val="000000"/>
                <w:sz w:val="22"/>
                <w:szCs w:val="22"/>
              </w:rPr>
              <w:t>1</w:t>
            </w:r>
          </w:p>
        </w:tc>
        <w:tc>
          <w:tcPr>
            <w:tcW w:w="1053" w:type="dxa"/>
            <w:tcBorders>
              <w:top w:val="nil"/>
              <w:left w:val="nil"/>
              <w:bottom w:val="single" w:sz="4" w:space="0" w:color="auto"/>
              <w:right w:val="single" w:sz="4" w:space="0" w:color="auto"/>
            </w:tcBorders>
            <w:shd w:val="clear" w:color="000000" w:fill="FFFFFF"/>
            <w:noWrap/>
            <w:vAlign w:val="center"/>
            <w:hideMark/>
          </w:tcPr>
          <w:p w14:paraId="59E2E32E" w14:textId="610A043D" w:rsidR="00F15230" w:rsidRPr="00AF60E4" w:rsidRDefault="00F15230" w:rsidP="00F15230">
            <w:pPr>
              <w:keepNext/>
              <w:jc w:val="center"/>
              <w:rPr>
                <w:rFonts w:cs="Calibri"/>
                <w:color w:val="000000"/>
                <w:sz w:val="22"/>
                <w:szCs w:val="22"/>
              </w:rPr>
            </w:pPr>
            <w:r>
              <w:rPr>
                <w:color w:val="000000"/>
                <w:sz w:val="22"/>
                <w:szCs w:val="22"/>
              </w:rPr>
              <w:t>2.7%</w:t>
            </w:r>
          </w:p>
        </w:tc>
        <w:tc>
          <w:tcPr>
            <w:tcW w:w="1051" w:type="dxa"/>
            <w:tcBorders>
              <w:top w:val="nil"/>
              <w:left w:val="nil"/>
              <w:bottom w:val="single" w:sz="4" w:space="0" w:color="auto"/>
              <w:right w:val="single" w:sz="4" w:space="0" w:color="auto"/>
            </w:tcBorders>
            <w:shd w:val="clear" w:color="000000" w:fill="FFFFFF"/>
            <w:noWrap/>
            <w:vAlign w:val="center"/>
            <w:hideMark/>
          </w:tcPr>
          <w:p w14:paraId="70324C53" w14:textId="4BDF0A03"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8.8%</w:t>
            </w:r>
          </w:p>
        </w:tc>
        <w:tc>
          <w:tcPr>
            <w:tcW w:w="1189" w:type="dxa"/>
            <w:tcBorders>
              <w:top w:val="nil"/>
              <w:left w:val="nil"/>
              <w:bottom w:val="single" w:sz="4" w:space="0" w:color="auto"/>
              <w:right w:val="single" w:sz="4" w:space="0" w:color="auto"/>
            </w:tcBorders>
            <w:shd w:val="clear" w:color="000000" w:fill="FFFFFF"/>
            <w:noWrap/>
            <w:vAlign w:val="center"/>
            <w:hideMark/>
          </w:tcPr>
          <w:p w14:paraId="54A70C94" w14:textId="194CC377" w:rsidR="00F15230" w:rsidRPr="00AF60E4" w:rsidRDefault="00F15230" w:rsidP="00F15230">
            <w:pPr>
              <w:keepNext/>
              <w:jc w:val="center"/>
              <w:rPr>
                <w:rFonts w:cs="Calibri"/>
                <w:color w:val="000000"/>
                <w:sz w:val="22"/>
                <w:szCs w:val="22"/>
              </w:rPr>
            </w:pPr>
            <w:r>
              <w:rPr>
                <w:color w:val="000000"/>
                <w:sz w:val="22"/>
                <w:szCs w:val="22"/>
              </w:rPr>
              <w:t>241</w:t>
            </w:r>
          </w:p>
        </w:tc>
      </w:tr>
      <w:tr w:rsidR="00F15230" w:rsidRPr="00AF60E4" w14:paraId="54003443" w14:textId="77777777" w:rsidTr="00F15230">
        <w:trPr>
          <w:trHeight w:val="307"/>
          <w:jc w:val="center"/>
        </w:trPr>
        <w:tc>
          <w:tcPr>
            <w:tcW w:w="1028" w:type="dxa"/>
            <w:vMerge/>
            <w:tcBorders>
              <w:top w:val="nil"/>
              <w:left w:val="single" w:sz="4" w:space="0" w:color="auto"/>
              <w:bottom w:val="single" w:sz="4" w:space="0" w:color="000000"/>
              <w:right w:val="single" w:sz="4" w:space="0" w:color="auto"/>
            </w:tcBorders>
            <w:vAlign w:val="center"/>
            <w:hideMark/>
          </w:tcPr>
          <w:p w14:paraId="6ADA6CBC"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588A55C4" w14:textId="77777777" w:rsidR="00F15230" w:rsidRPr="00AF60E4" w:rsidRDefault="00F15230" w:rsidP="00F15230">
            <w:pPr>
              <w:keepNext/>
              <w:rPr>
                <w:rFonts w:cs="Calibri"/>
                <w:color w:val="000000"/>
                <w:sz w:val="22"/>
                <w:szCs w:val="22"/>
              </w:rPr>
            </w:pPr>
            <w:r>
              <w:rPr>
                <w:rFonts w:cs="Calibri"/>
                <w:color w:val="000000"/>
                <w:sz w:val="22"/>
                <w:szCs w:val="22"/>
              </w:rPr>
              <w:t>3. Wholesale, Transportation, Utilities</w:t>
            </w:r>
          </w:p>
        </w:tc>
        <w:tc>
          <w:tcPr>
            <w:tcW w:w="1386" w:type="dxa"/>
            <w:tcBorders>
              <w:top w:val="nil"/>
              <w:left w:val="nil"/>
              <w:bottom w:val="single" w:sz="4" w:space="0" w:color="auto"/>
              <w:right w:val="single" w:sz="4" w:space="0" w:color="auto"/>
            </w:tcBorders>
            <w:shd w:val="clear" w:color="000000" w:fill="FFFFFF"/>
            <w:noWrap/>
            <w:vAlign w:val="center"/>
            <w:hideMark/>
          </w:tcPr>
          <w:p w14:paraId="4E092894" w14:textId="05DEDB15" w:rsidR="00F15230" w:rsidRPr="00AF60E4" w:rsidRDefault="00F15230" w:rsidP="00F15230">
            <w:pPr>
              <w:keepNext/>
              <w:jc w:val="center"/>
              <w:rPr>
                <w:rFonts w:cs="Calibri"/>
                <w:color w:val="000000"/>
                <w:sz w:val="22"/>
                <w:szCs w:val="22"/>
              </w:rPr>
            </w:pPr>
            <w:r>
              <w:rPr>
                <w:color w:val="000000"/>
                <w:sz w:val="22"/>
                <w:szCs w:val="22"/>
              </w:rPr>
              <w:t>2</w:t>
            </w:r>
          </w:p>
        </w:tc>
        <w:tc>
          <w:tcPr>
            <w:tcW w:w="1053" w:type="dxa"/>
            <w:tcBorders>
              <w:top w:val="nil"/>
              <w:left w:val="nil"/>
              <w:bottom w:val="single" w:sz="4" w:space="0" w:color="auto"/>
              <w:right w:val="single" w:sz="4" w:space="0" w:color="auto"/>
            </w:tcBorders>
            <w:shd w:val="clear" w:color="000000" w:fill="FFFFFF"/>
            <w:noWrap/>
            <w:vAlign w:val="center"/>
            <w:hideMark/>
          </w:tcPr>
          <w:p w14:paraId="50669094" w14:textId="524FE9E0" w:rsidR="00F15230" w:rsidRPr="00AF60E4" w:rsidRDefault="00F15230" w:rsidP="00F15230">
            <w:pPr>
              <w:keepNext/>
              <w:jc w:val="center"/>
              <w:rPr>
                <w:rFonts w:cs="Calibri"/>
                <w:color w:val="000000"/>
                <w:sz w:val="22"/>
                <w:szCs w:val="22"/>
              </w:rPr>
            </w:pPr>
            <w:r>
              <w:rPr>
                <w:color w:val="000000"/>
                <w:sz w:val="22"/>
                <w:szCs w:val="22"/>
              </w:rPr>
              <w:t>1.7%</w:t>
            </w:r>
          </w:p>
        </w:tc>
        <w:tc>
          <w:tcPr>
            <w:tcW w:w="1051" w:type="dxa"/>
            <w:tcBorders>
              <w:top w:val="nil"/>
              <w:left w:val="nil"/>
              <w:bottom w:val="single" w:sz="4" w:space="0" w:color="auto"/>
              <w:right w:val="single" w:sz="4" w:space="0" w:color="auto"/>
            </w:tcBorders>
            <w:shd w:val="clear" w:color="000000" w:fill="FFFFFF"/>
            <w:noWrap/>
            <w:vAlign w:val="center"/>
            <w:hideMark/>
          </w:tcPr>
          <w:p w14:paraId="09C55D4E" w14:textId="5945B53B"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9.2%</w:t>
            </w:r>
          </w:p>
        </w:tc>
        <w:tc>
          <w:tcPr>
            <w:tcW w:w="1189" w:type="dxa"/>
            <w:tcBorders>
              <w:top w:val="nil"/>
              <w:left w:val="nil"/>
              <w:bottom w:val="single" w:sz="4" w:space="0" w:color="auto"/>
              <w:right w:val="single" w:sz="4" w:space="0" w:color="auto"/>
            </w:tcBorders>
            <w:shd w:val="clear" w:color="000000" w:fill="FFFFFF"/>
            <w:noWrap/>
            <w:vAlign w:val="center"/>
            <w:hideMark/>
          </w:tcPr>
          <w:p w14:paraId="73991D26" w14:textId="47F0472E" w:rsidR="00F15230" w:rsidRPr="00AF60E4" w:rsidRDefault="00F15230" w:rsidP="00F15230">
            <w:pPr>
              <w:keepNext/>
              <w:jc w:val="center"/>
              <w:rPr>
                <w:rFonts w:cs="Calibri"/>
                <w:color w:val="000000"/>
                <w:sz w:val="22"/>
                <w:szCs w:val="22"/>
              </w:rPr>
            </w:pPr>
            <w:r>
              <w:rPr>
                <w:color w:val="000000"/>
                <w:sz w:val="22"/>
                <w:szCs w:val="22"/>
              </w:rPr>
              <w:t>34</w:t>
            </w:r>
          </w:p>
        </w:tc>
      </w:tr>
      <w:tr w:rsidR="00F15230" w:rsidRPr="00AF60E4" w14:paraId="3ABC97A5"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26E1D91D"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41530128" w14:textId="77777777" w:rsidR="00F15230" w:rsidRPr="00AF60E4" w:rsidRDefault="00F15230" w:rsidP="00F15230">
            <w:pPr>
              <w:keepNext/>
              <w:rPr>
                <w:rFonts w:cs="Calibri"/>
                <w:color w:val="000000"/>
                <w:sz w:val="22"/>
                <w:szCs w:val="22"/>
              </w:rPr>
            </w:pPr>
            <w:r>
              <w:rPr>
                <w:rFonts w:cs="Calibri"/>
                <w:color w:val="000000"/>
                <w:sz w:val="22"/>
                <w:szCs w:val="22"/>
              </w:rPr>
              <w:t>4. Retail</w:t>
            </w:r>
          </w:p>
        </w:tc>
        <w:tc>
          <w:tcPr>
            <w:tcW w:w="1386" w:type="dxa"/>
            <w:tcBorders>
              <w:top w:val="nil"/>
              <w:left w:val="nil"/>
              <w:bottom w:val="single" w:sz="4" w:space="0" w:color="auto"/>
              <w:right w:val="single" w:sz="4" w:space="0" w:color="auto"/>
            </w:tcBorders>
            <w:shd w:val="clear" w:color="000000" w:fill="FFFFFF"/>
            <w:noWrap/>
            <w:vAlign w:val="center"/>
            <w:hideMark/>
          </w:tcPr>
          <w:p w14:paraId="28602A48" w14:textId="3B97153C" w:rsidR="00F15230" w:rsidRPr="00AF60E4" w:rsidRDefault="00F15230" w:rsidP="00F15230">
            <w:pPr>
              <w:keepNext/>
              <w:jc w:val="center"/>
              <w:rPr>
                <w:rFonts w:cs="Calibri"/>
                <w:color w:val="000000"/>
                <w:sz w:val="22"/>
                <w:szCs w:val="22"/>
              </w:rPr>
            </w:pPr>
            <w:r>
              <w:rPr>
                <w:color w:val="000000"/>
                <w:sz w:val="22"/>
                <w:szCs w:val="22"/>
              </w:rPr>
              <w:t>2</w:t>
            </w:r>
          </w:p>
        </w:tc>
        <w:tc>
          <w:tcPr>
            <w:tcW w:w="1053" w:type="dxa"/>
            <w:tcBorders>
              <w:top w:val="nil"/>
              <w:left w:val="nil"/>
              <w:bottom w:val="single" w:sz="4" w:space="0" w:color="auto"/>
              <w:right w:val="single" w:sz="4" w:space="0" w:color="auto"/>
            </w:tcBorders>
            <w:shd w:val="clear" w:color="000000" w:fill="FFFFFF"/>
            <w:noWrap/>
            <w:vAlign w:val="center"/>
            <w:hideMark/>
          </w:tcPr>
          <w:p w14:paraId="0C42E254" w14:textId="304409B2" w:rsidR="00F15230" w:rsidRPr="00AF60E4" w:rsidRDefault="00F15230" w:rsidP="00F15230">
            <w:pPr>
              <w:keepNext/>
              <w:jc w:val="center"/>
              <w:rPr>
                <w:rFonts w:cs="Calibri"/>
                <w:color w:val="000000"/>
                <w:sz w:val="22"/>
                <w:szCs w:val="22"/>
              </w:rPr>
            </w:pPr>
            <w:r>
              <w:rPr>
                <w:color w:val="000000"/>
                <w:sz w:val="22"/>
                <w:szCs w:val="22"/>
              </w:rPr>
              <w:t>2.4%</w:t>
            </w:r>
          </w:p>
        </w:tc>
        <w:tc>
          <w:tcPr>
            <w:tcW w:w="1051" w:type="dxa"/>
            <w:tcBorders>
              <w:top w:val="nil"/>
              <w:left w:val="nil"/>
              <w:bottom w:val="single" w:sz="4" w:space="0" w:color="auto"/>
              <w:right w:val="single" w:sz="4" w:space="0" w:color="auto"/>
            </w:tcBorders>
            <w:shd w:val="clear" w:color="000000" w:fill="FFFFFF"/>
            <w:noWrap/>
            <w:vAlign w:val="center"/>
            <w:hideMark/>
          </w:tcPr>
          <w:p w14:paraId="7CF15FA4" w14:textId="2D9DE378"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19.2%</w:t>
            </w:r>
          </w:p>
        </w:tc>
        <w:tc>
          <w:tcPr>
            <w:tcW w:w="1189" w:type="dxa"/>
            <w:tcBorders>
              <w:top w:val="nil"/>
              <w:left w:val="nil"/>
              <w:bottom w:val="single" w:sz="4" w:space="0" w:color="auto"/>
              <w:right w:val="single" w:sz="4" w:space="0" w:color="auto"/>
            </w:tcBorders>
            <w:shd w:val="clear" w:color="000000" w:fill="FFFFFF"/>
            <w:noWrap/>
            <w:vAlign w:val="center"/>
            <w:hideMark/>
          </w:tcPr>
          <w:p w14:paraId="52EF2072" w14:textId="434A005D" w:rsidR="00F15230" w:rsidRPr="00AF60E4" w:rsidRDefault="00F15230" w:rsidP="00F15230">
            <w:pPr>
              <w:keepNext/>
              <w:jc w:val="center"/>
              <w:rPr>
                <w:rFonts w:cs="Calibri"/>
                <w:color w:val="000000"/>
                <w:sz w:val="22"/>
                <w:szCs w:val="22"/>
              </w:rPr>
            </w:pPr>
            <w:r>
              <w:rPr>
                <w:color w:val="000000"/>
                <w:sz w:val="22"/>
                <w:szCs w:val="22"/>
              </w:rPr>
              <w:t>1</w:t>
            </w:r>
          </w:p>
        </w:tc>
      </w:tr>
      <w:tr w:rsidR="00F15230" w:rsidRPr="00AF60E4" w14:paraId="429C5B5E"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701273CC"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0EF157AB" w14:textId="77777777" w:rsidR="00F15230" w:rsidRPr="00AF60E4" w:rsidRDefault="00F15230" w:rsidP="00F15230">
            <w:pPr>
              <w:keepNext/>
              <w:rPr>
                <w:rFonts w:cs="Calibri"/>
                <w:color w:val="000000"/>
                <w:sz w:val="22"/>
                <w:szCs w:val="22"/>
              </w:rPr>
            </w:pPr>
            <w:r>
              <w:rPr>
                <w:rFonts w:cs="Calibri"/>
                <w:color w:val="000000"/>
                <w:sz w:val="22"/>
                <w:szCs w:val="22"/>
              </w:rPr>
              <w:t>5. Offices, Hotels, Health, Services</w:t>
            </w:r>
          </w:p>
        </w:tc>
        <w:tc>
          <w:tcPr>
            <w:tcW w:w="1386" w:type="dxa"/>
            <w:tcBorders>
              <w:top w:val="nil"/>
              <w:left w:val="nil"/>
              <w:bottom w:val="single" w:sz="4" w:space="0" w:color="auto"/>
              <w:right w:val="single" w:sz="4" w:space="0" w:color="auto"/>
            </w:tcBorders>
            <w:shd w:val="clear" w:color="000000" w:fill="FFFFFF"/>
            <w:noWrap/>
            <w:vAlign w:val="center"/>
            <w:hideMark/>
          </w:tcPr>
          <w:p w14:paraId="5BBCE6A7" w14:textId="65C145EE" w:rsidR="00F15230" w:rsidRPr="00AF60E4" w:rsidRDefault="00F15230" w:rsidP="00F15230">
            <w:pPr>
              <w:keepNext/>
              <w:jc w:val="center"/>
              <w:rPr>
                <w:rFonts w:cs="Calibri"/>
                <w:color w:val="000000"/>
                <w:sz w:val="22"/>
                <w:szCs w:val="22"/>
              </w:rPr>
            </w:pPr>
            <w:r>
              <w:rPr>
                <w:color w:val="000000"/>
                <w:sz w:val="22"/>
                <w:szCs w:val="22"/>
              </w:rPr>
              <w:t>2</w:t>
            </w:r>
          </w:p>
        </w:tc>
        <w:tc>
          <w:tcPr>
            <w:tcW w:w="1053" w:type="dxa"/>
            <w:tcBorders>
              <w:top w:val="nil"/>
              <w:left w:val="nil"/>
              <w:bottom w:val="single" w:sz="4" w:space="0" w:color="auto"/>
              <w:right w:val="single" w:sz="4" w:space="0" w:color="auto"/>
            </w:tcBorders>
            <w:shd w:val="clear" w:color="000000" w:fill="FFFFFF"/>
            <w:noWrap/>
            <w:vAlign w:val="center"/>
            <w:hideMark/>
          </w:tcPr>
          <w:p w14:paraId="78E982F6" w14:textId="448C7CC2" w:rsidR="00F15230" w:rsidRPr="00AF60E4" w:rsidRDefault="00F15230" w:rsidP="00F15230">
            <w:pPr>
              <w:keepNext/>
              <w:jc w:val="center"/>
              <w:rPr>
                <w:rFonts w:cs="Calibri"/>
                <w:color w:val="000000"/>
                <w:sz w:val="22"/>
                <w:szCs w:val="22"/>
              </w:rPr>
            </w:pPr>
            <w:r>
              <w:rPr>
                <w:color w:val="000000"/>
                <w:sz w:val="22"/>
                <w:szCs w:val="22"/>
              </w:rPr>
              <w:t>13.1%</w:t>
            </w:r>
          </w:p>
        </w:tc>
        <w:tc>
          <w:tcPr>
            <w:tcW w:w="1051" w:type="dxa"/>
            <w:tcBorders>
              <w:top w:val="nil"/>
              <w:left w:val="nil"/>
              <w:bottom w:val="single" w:sz="4" w:space="0" w:color="auto"/>
              <w:right w:val="single" w:sz="4" w:space="0" w:color="auto"/>
            </w:tcBorders>
            <w:shd w:val="clear" w:color="000000" w:fill="FFFFFF"/>
            <w:noWrap/>
            <w:vAlign w:val="center"/>
            <w:hideMark/>
          </w:tcPr>
          <w:p w14:paraId="3151FF98" w14:textId="3FC21245"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22.4%</w:t>
            </w:r>
          </w:p>
        </w:tc>
        <w:tc>
          <w:tcPr>
            <w:tcW w:w="1189" w:type="dxa"/>
            <w:tcBorders>
              <w:top w:val="nil"/>
              <w:left w:val="nil"/>
              <w:bottom w:val="single" w:sz="4" w:space="0" w:color="auto"/>
              <w:right w:val="single" w:sz="4" w:space="0" w:color="auto"/>
            </w:tcBorders>
            <w:shd w:val="clear" w:color="000000" w:fill="FFFFFF"/>
            <w:noWrap/>
            <w:vAlign w:val="center"/>
            <w:hideMark/>
          </w:tcPr>
          <w:p w14:paraId="31C7372C" w14:textId="2A09D513" w:rsidR="00F15230" w:rsidRPr="00AF60E4" w:rsidRDefault="00F15230" w:rsidP="00F15230">
            <w:pPr>
              <w:keepNext/>
              <w:jc w:val="center"/>
              <w:rPr>
                <w:rFonts w:cs="Calibri"/>
                <w:color w:val="000000"/>
                <w:sz w:val="22"/>
                <w:szCs w:val="22"/>
              </w:rPr>
            </w:pPr>
            <w:r>
              <w:rPr>
                <w:color w:val="000000"/>
                <w:sz w:val="22"/>
                <w:szCs w:val="22"/>
              </w:rPr>
              <w:t>4</w:t>
            </w:r>
          </w:p>
        </w:tc>
      </w:tr>
      <w:tr w:rsidR="00F15230" w:rsidRPr="00AF60E4" w14:paraId="5622A869" w14:textId="77777777" w:rsidTr="00F15230">
        <w:trPr>
          <w:trHeight w:val="293"/>
          <w:jc w:val="center"/>
        </w:trPr>
        <w:tc>
          <w:tcPr>
            <w:tcW w:w="1028" w:type="dxa"/>
            <w:vMerge/>
            <w:tcBorders>
              <w:top w:val="nil"/>
              <w:left w:val="single" w:sz="4" w:space="0" w:color="auto"/>
              <w:bottom w:val="single" w:sz="4" w:space="0" w:color="000000"/>
              <w:right w:val="single" w:sz="4" w:space="0" w:color="auto"/>
            </w:tcBorders>
            <w:vAlign w:val="center"/>
            <w:hideMark/>
          </w:tcPr>
          <w:p w14:paraId="0369EA76" w14:textId="77777777" w:rsidR="00F15230" w:rsidRPr="00AF60E4" w:rsidRDefault="00F15230" w:rsidP="00F15230">
            <w:pPr>
              <w:keepNext/>
              <w:rPr>
                <w:rFonts w:ascii="Arial" w:hAnsi="Arial" w:cs="Arial"/>
                <w:color w:val="000000"/>
                <w:sz w:val="20"/>
                <w:szCs w:val="20"/>
              </w:rPr>
            </w:pPr>
          </w:p>
        </w:tc>
        <w:tc>
          <w:tcPr>
            <w:tcW w:w="3779" w:type="dxa"/>
            <w:tcBorders>
              <w:top w:val="nil"/>
              <w:left w:val="nil"/>
              <w:bottom w:val="single" w:sz="4" w:space="0" w:color="auto"/>
              <w:right w:val="single" w:sz="4" w:space="0" w:color="auto"/>
            </w:tcBorders>
            <w:shd w:val="clear" w:color="000000" w:fill="FFFFFF"/>
            <w:noWrap/>
            <w:vAlign w:val="center"/>
            <w:hideMark/>
          </w:tcPr>
          <w:p w14:paraId="11546505" w14:textId="77777777" w:rsidR="00F15230" w:rsidRPr="00AF60E4" w:rsidRDefault="00F15230" w:rsidP="00F15230">
            <w:pPr>
              <w:keepNext/>
              <w:rPr>
                <w:rFonts w:cs="Calibri"/>
                <w:color w:val="000000"/>
                <w:sz w:val="22"/>
                <w:szCs w:val="22"/>
              </w:rPr>
            </w:pPr>
            <w:r>
              <w:rPr>
                <w:rFonts w:cs="Calibri"/>
                <w:color w:val="000000"/>
                <w:sz w:val="22"/>
                <w:szCs w:val="22"/>
              </w:rPr>
              <w:t>6. Schools</w:t>
            </w:r>
          </w:p>
        </w:tc>
        <w:tc>
          <w:tcPr>
            <w:tcW w:w="1386" w:type="dxa"/>
            <w:tcBorders>
              <w:top w:val="nil"/>
              <w:left w:val="nil"/>
              <w:bottom w:val="single" w:sz="4" w:space="0" w:color="auto"/>
              <w:right w:val="single" w:sz="4" w:space="0" w:color="auto"/>
            </w:tcBorders>
            <w:shd w:val="clear" w:color="000000" w:fill="FFFFFF"/>
            <w:noWrap/>
            <w:vAlign w:val="center"/>
            <w:hideMark/>
          </w:tcPr>
          <w:p w14:paraId="6DB43479" w14:textId="6F42DFBC" w:rsidR="00F15230" w:rsidRPr="00AF60E4" w:rsidRDefault="00F15230" w:rsidP="00F15230">
            <w:pPr>
              <w:keepNext/>
              <w:jc w:val="center"/>
              <w:rPr>
                <w:rFonts w:cs="Calibri"/>
                <w:color w:val="000000"/>
                <w:sz w:val="22"/>
                <w:szCs w:val="22"/>
              </w:rPr>
            </w:pPr>
            <w:r>
              <w:rPr>
                <w:color w:val="000000"/>
                <w:sz w:val="22"/>
                <w:szCs w:val="22"/>
              </w:rPr>
              <w:t>1</w:t>
            </w:r>
          </w:p>
        </w:tc>
        <w:tc>
          <w:tcPr>
            <w:tcW w:w="1053" w:type="dxa"/>
            <w:tcBorders>
              <w:top w:val="nil"/>
              <w:left w:val="nil"/>
              <w:bottom w:val="single" w:sz="4" w:space="0" w:color="auto"/>
              <w:right w:val="single" w:sz="4" w:space="0" w:color="auto"/>
            </w:tcBorders>
            <w:shd w:val="clear" w:color="000000" w:fill="FFFFFF"/>
            <w:noWrap/>
            <w:vAlign w:val="center"/>
            <w:hideMark/>
          </w:tcPr>
          <w:p w14:paraId="354E06FC" w14:textId="2C548634" w:rsidR="00F15230" w:rsidRPr="00AF60E4" w:rsidRDefault="00F15230" w:rsidP="00F15230">
            <w:pPr>
              <w:keepNext/>
              <w:jc w:val="center"/>
              <w:rPr>
                <w:rFonts w:cs="Calibri"/>
                <w:color w:val="000000"/>
                <w:sz w:val="22"/>
                <w:szCs w:val="22"/>
              </w:rPr>
            </w:pPr>
            <w:r>
              <w:rPr>
                <w:color w:val="000000"/>
                <w:sz w:val="22"/>
                <w:szCs w:val="22"/>
              </w:rPr>
              <w:t>-4.5%</w:t>
            </w:r>
          </w:p>
        </w:tc>
        <w:tc>
          <w:tcPr>
            <w:tcW w:w="1051" w:type="dxa"/>
            <w:tcBorders>
              <w:top w:val="nil"/>
              <w:left w:val="nil"/>
              <w:bottom w:val="single" w:sz="4" w:space="0" w:color="auto"/>
              <w:right w:val="single" w:sz="4" w:space="0" w:color="auto"/>
            </w:tcBorders>
            <w:shd w:val="clear" w:color="000000" w:fill="FFFFFF"/>
            <w:noWrap/>
            <w:vAlign w:val="center"/>
            <w:hideMark/>
          </w:tcPr>
          <w:p w14:paraId="0D6EC34C" w14:textId="2E6602F9" w:rsidR="00F15230" w:rsidRPr="00AF60E4" w:rsidRDefault="00F15230" w:rsidP="00F15230">
            <w:pPr>
              <w:keepNext/>
              <w:jc w:val="center"/>
              <w:rPr>
                <w:rFonts w:ascii="Arial" w:hAnsi="Arial" w:cs="Arial"/>
                <w:color w:val="000000"/>
                <w:sz w:val="20"/>
                <w:szCs w:val="20"/>
              </w:rPr>
            </w:pPr>
            <w:r>
              <w:rPr>
                <w:rFonts w:ascii="Arial" w:hAnsi="Arial" w:cs="Arial"/>
                <w:color w:val="000000"/>
                <w:sz w:val="20"/>
                <w:szCs w:val="20"/>
              </w:rPr>
              <w:t>18.0%</w:t>
            </w:r>
          </w:p>
        </w:tc>
        <w:tc>
          <w:tcPr>
            <w:tcW w:w="1189" w:type="dxa"/>
            <w:tcBorders>
              <w:top w:val="nil"/>
              <w:left w:val="nil"/>
              <w:bottom w:val="single" w:sz="4" w:space="0" w:color="auto"/>
              <w:right w:val="single" w:sz="4" w:space="0" w:color="auto"/>
            </w:tcBorders>
            <w:shd w:val="clear" w:color="000000" w:fill="FFFFFF"/>
            <w:noWrap/>
            <w:vAlign w:val="center"/>
            <w:hideMark/>
          </w:tcPr>
          <w:p w14:paraId="6D46F49A" w14:textId="286A1CF1" w:rsidR="00F15230" w:rsidRPr="00AF60E4" w:rsidRDefault="00F15230" w:rsidP="00F15230">
            <w:pPr>
              <w:keepNext/>
              <w:jc w:val="center"/>
              <w:rPr>
                <w:rFonts w:cs="Calibri"/>
                <w:color w:val="000000"/>
                <w:sz w:val="22"/>
                <w:szCs w:val="22"/>
              </w:rPr>
            </w:pPr>
            <w:r>
              <w:rPr>
                <w:color w:val="000000"/>
                <w:sz w:val="22"/>
                <w:szCs w:val="22"/>
              </w:rPr>
              <w:t>1</w:t>
            </w:r>
          </w:p>
        </w:tc>
      </w:tr>
    </w:tbl>
    <w:p w14:paraId="0AA3B6B7" w14:textId="77777777" w:rsidR="00731D0B" w:rsidRDefault="00731D0B" w:rsidP="00731D0B"/>
    <w:p w14:paraId="45A5338B" w14:textId="1EBA8FF1" w:rsidR="00731D0B" w:rsidRDefault="00731D0B" w:rsidP="00731D0B">
      <w:pPr>
        <w:pStyle w:val="TableCaption"/>
        <w:keepNext/>
        <w:keepLines/>
      </w:pPr>
      <w:bookmarkStart w:id="286" w:name="_Toc508800258"/>
      <w:r w:rsidRPr="0088530C">
        <w:t xml:space="preserve">Table </w:t>
      </w:r>
      <w:r>
        <w:t>A</w:t>
      </w:r>
      <w:r w:rsidRPr="0088530C">
        <w:t>.</w:t>
      </w:r>
      <w:r>
        <w:t>12</w:t>
      </w:r>
      <w:r w:rsidRPr="0088530C">
        <w:t>: Specification Test Results</w:t>
      </w:r>
      <w:r w:rsidRPr="00C34420">
        <w:t xml:space="preserve"> </w:t>
      </w:r>
      <w:r>
        <w:t xml:space="preserve">for the </w:t>
      </w:r>
      <w:r>
        <w:rPr>
          <w:i/>
        </w:rPr>
        <w:t xml:space="preserve">Ex-Ante </w:t>
      </w:r>
      <w:r>
        <w:t>analysis, SDG&amp;E</w:t>
      </w:r>
      <w:bookmarkEnd w:id="286"/>
    </w:p>
    <w:tbl>
      <w:tblPr>
        <w:tblW w:w="9354" w:type="dxa"/>
        <w:jc w:val="center"/>
        <w:tblLook w:val="04A0" w:firstRow="1" w:lastRow="0" w:firstColumn="1" w:lastColumn="0" w:noHBand="0" w:noVBand="1"/>
      </w:tblPr>
      <w:tblGrid>
        <w:gridCol w:w="1028"/>
        <w:gridCol w:w="3700"/>
        <w:gridCol w:w="1386"/>
        <w:gridCol w:w="960"/>
        <w:gridCol w:w="960"/>
        <w:gridCol w:w="1320"/>
      </w:tblGrid>
      <w:tr w:rsidR="00731D0B" w:rsidRPr="00E043E2" w14:paraId="11DBA7EF" w14:textId="77777777" w:rsidTr="0086367A">
        <w:trPr>
          <w:trHeight w:val="600"/>
          <w:jc w:val="center"/>
        </w:trPr>
        <w:tc>
          <w:tcPr>
            <w:tcW w:w="1028" w:type="dxa"/>
            <w:tcBorders>
              <w:top w:val="single" w:sz="4" w:space="0" w:color="auto"/>
              <w:left w:val="single" w:sz="4" w:space="0" w:color="auto"/>
              <w:bottom w:val="single" w:sz="4" w:space="0" w:color="auto"/>
              <w:right w:val="single" w:sz="4" w:space="0" w:color="FFFFFF"/>
            </w:tcBorders>
            <w:shd w:val="clear" w:color="auto" w:fill="0C2577"/>
            <w:noWrap/>
            <w:vAlign w:val="center"/>
            <w:hideMark/>
          </w:tcPr>
          <w:p w14:paraId="6DB723A6" w14:textId="77777777" w:rsidR="00731D0B" w:rsidRPr="00E043E2" w:rsidRDefault="00731D0B" w:rsidP="00F15230">
            <w:pPr>
              <w:keepNext/>
              <w:jc w:val="center"/>
              <w:rPr>
                <w:rFonts w:cs="Calibri"/>
                <w:b/>
                <w:bCs/>
                <w:color w:val="FFFFFF"/>
                <w:sz w:val="22"/>
                <w:szCs w:val="22"/>
              </w:rPr>
            </w:pPr>
            <w:r w:rsidRPr="00E043E2">
              <w:rPr>
                <w:rFonts w:cs="Calibri"/>
                <w:b/>
                <w:bCs/>
                <w:color w:val="FFFFFF"/>
                <w:sz w:val="22"/>
                <w:szCs w:val="22"/>
              </w:rPr>
              <w:t>Group</w:t>
            </w:r>
          </w:p>
        </w:tc>
        <w:tc>
          <w:tcPr>
            <w:tcW w:w="3700" w:type="dxa"/>
            <w:tcBorders>
              <w:top w:val="single" w:sz="4" w:space="0" w:color="auto"/>
              <w:left w:val="nil"/>
              <w:bottom w:val="single" w:sz="4" w:space="0" w:color="auto"/>
              <w:right w:val="single" w:sz="4" w:space="0" w:color="FFFFFF"/>
            </w:tcBorders>
            <w:shd w:val="clear" w:color="auto" w:fill="0C2577"/>
            <w:noWrap/>
            <w:vAlign w:val="center"/>
            <w:hideMark/>
          </w:tcPr>
          <w:p w14:paraId="25DF9470" w14:textId="77777777" w:rsidR="00731D0B" w:rsidRPr="00E043E2" w:rsidRDefault="00731D0B" w:rsidP="00F15230">
            <w:pPr>
              <w:keepNext/>
              <w:jc w:val="center"/>
              <w:rPr>
                <w:rFonts w:cs="Calibri"/>
                <w:b/>
                <w:bCs/>
                <w:color w:val="FFFFFF"/>
                <w:sz w:val="22"/>
                <w:szCs w:val="22"/>
              </w:rPr>
            </w:pPr>
            <w:r w:rsidRPr="00E043E2">
              <w:rPr>
                <w:rFonts w:cs="Calibri"/>
                <w:b/>
                <w:bCs/>
                <w:color w:val="FFFFFF"/>
                <w:sz w:val="22"/>
                <w:szCs w:val="22"/>
              </w:rPr>
              <w:t>Industry Type</w:t>
            </w:r>
          </w:p>
        </w:tc>
        <w:tc>
          <w:tcPr>
            <w:tcW w:w="1386" w:type="dxa"/>
            <w:tcBorders>
              <w:top w:val="single" w:sz="4" w:space="0" w:color="auto"/>
              <w:left w:val="nil"/>
              <w:bottom w:val="single" w:sz="4" w:space="0" w:color="auto"/>
              <w:right w:val="single" w:sz="4" w:space="0" w:color="FFFFFF"/>
            </w:tcBorders>
            <w:shd w:val="clear" w:color="auto" w:fill="0C2577"/>
            <w:vAlign w:val="center"/>
            <w:hideMark/>
          </w:tcPr>
          <w:p w14:paraId="0D4E4D5B" w14:textId="77777777" w:rsidR="00731D0B" w:rsidRPr="00E043E2" w:rsidRDefault="00731D0B" w:rsidP="00F15230">
            <w:pPr>
              <w:keepNext/>
              <w:jc w:val="center"/>
              <w:rPr>
                <w:rFonts w:cs="Calibri"/>
                <w:b/>
                <w:bCs/>
                <w:color w:val="FFFFFF"/>
                <w:sz w:val="22"/>
                <w:szCs w:val="22"/>
              </w:rPr>
            </w:pPr>
            <w:r w:rsidRPr="00E043E2">
              <w:rPr>
                <w:rFonts w:cs="Calibri"/>
                <w:b/>
                <w:bCs/>
                <w:color w:val="FFFFFF"/>
                <w:sz w:val="22"/>
                <w:szCs w:val="22"/>
              </w:rPr>
              <w:t>Selected Specification</w:t>
            </w:r>
          </w:p>
        </w:tc>
        <w:tc>
          <w:tcPr>
            <w:tcW w:w="960" w:type="dxa"/>
            <w:tcBorders>
              <w:top w:val="single" w:sz="4" w:space="0" w:color="auto"/>
              <w:left w:val="nil"/>
              <w:bottom w:val="single" w:sz="4" w:space="0" w:color="auto"/>
              <w:right w:val="single" w:sz="4" w:space="0" w:color="FFFFFF"/>
            </w:tcBorders>
            <w:shd w:val="clear" w:color="auto" w:fill="0C2577"/>
            <w:noWrap/>
            <w:vAlign w:val="center"/>
            <w:hideMark/>
          </w:tcPr>
          <w:p w14:paraId="0FFA462C" w14:textId="77777777" w:rsidR="00731D0B" w:rsidRPr="00E043E2" w:rsidRDefault="00731D0B" w:rsidP="00F15230">
            <w:pPr>
              <w:keepNext/>
              <w:jc w:val="center"/>
              <w:rPr>
                <w:rFonts w:cs="Calibri"/>
                <w:b/>
                <w:bCs/>
                <w:color w:val="FFFFFF"/>
                <w:sz w:val="22"/>
                <w:szCs w:val="22"/>
              </w:rPr>
            </w:pPr>
            <w:r w:rsidRPr="00E043E2">
              <w:rPr>
                <w:rFonts w:cs="Calibri"/>
                <w:b/>
                <w:bCs/>
                <w:color w:val="FFFFFF"/>
                <w:sz w:val="22"/>
                <w:szCs w:val="22"/>
              </w:rPr>
              <w:t>MPE</w:t>
            </w:r>
          </w:p>
        </w:tc>
        <w:tc>
          <w:tcPr>
            <w:tcW w:w="960" w:type="dxa"/>
            <w:tcBorders>
              <w:top w:val="single" w:sz="4" w:space="0" w:color="auto"/>
              <w:left w:val="nil"/>
              <w:bottom w:val="single" w:sz="4" w:space="0" w:color="auto"/>
              <w:right w:val="single" w:sz="4" w:space="0" w:color="FFFFFF"/>
            </w:tcBorders>
            <w:shd w:val="clear" w:color="auto" w:fill="0C2577"/>
            <w:noWrap/>
            <w:vAlign w:val="center"/>
            <w:hideMark/>
          </w:tcPr>
          <w:p w14:paraId="0F62BC9C" w14:textId="77777777" w:rsidR="00731D0B" w:rsidRPr="00E043E2" w:rsidRDefault="00731D0B" w:rsidP="00F15230">
            <w:pPr>
              <w:keepNext/>
              <w:jc w:val="center"/>
              <w:rPr>
                <w:rFonts w:cs="Calibri"/>
                <w:b/>
                <w:bCs/>
                <w:color w:val="FFFFFF"/>
                <w:sz w:val="22"/>
                <w:szCs w:val="22"/>
              </w:rPr>
            </w:pPr>
            <w:r w:rsidRPr="00E043E2">
              <w:rPr>
                <w:rFonts w:cs="Calibri"/>
                <w:b/>
                <w:bCs/>
                <w:color w:val="FFFFFF"/>
                <w:sz w:val="22"/>
                <w:szCs w:val="22"/>
              </w:rPr>
              <w:t>MAPE</w:t>
            </w:r>
          </w:p>
        </w:tc>
        <w:tc>
          <w:tcPr>
            <w:tcW w:w="1320" w:type="dxa"/>
            <w:tcBorders>
              <w:top w:val="single" w:sz="4" w:space="0" w:color="auto"/>
              <w:left w:val="nil"/>
              <w:bottom w:val="single" w:sz="4" w:space="0" w:color="auto"/>
              <w:right w:val="single" w:sz="4" w:space="0" w:color="auto"/>
            </w:tcBorders>
            <w:shd w:val="clear" w:color="auto" w:fill="0C2577"/>
            <w:vAlign w:val="center"/>
            <w:hideMark/>
          </w:tcPr>
          <w:p w14:paraId="59EA701B" w14:textId="77777777" w:rsidR="00731D0B" w:rsidRPr="00E043E2" w:rsidRDefault="00731D0B" w:rsidP="00F15230">
            <w:pPr>
              <w:keepNext/>
              <w:jc w:val="center"/>
              <w:rPr>
                <w:rFonts w:cs="Calibri"/>
                <w:b/>
                <w:bCs/>
                <w:color w:val="FFFFFF"/>
                <w:sz w:val="22"/>
                <w:szCs w:val="22"/>
              </w:rPr>
            </w:pPr>
            <w:r w:rsidRPr="00E043E2">
              <w:rPr>
                <w:rFonts w:cs="Calibri"/>
                <w:b/>
                <w:bCs/>
                <w:color w:val="FFFFFF"/>
                <w:sz w:val="22"/>
                <w:szCs w:val="22"/>
              </w:rPr>
              <w:t>Number of Customers</w:t>
            </w:r>
          </w:p>
        </w:tc>
      </w:tr>
      <w:tr w:rsidR="00F15230" w:rsidRPr="00E043E2" w14:paraId="09CD2B59" w14:textId="77777777" w:rsidTr="00F15230">
        <w:trPr>
          <w:trHeight w:val="300"/>
          <w:jc w:val="center"/>
        </w:trPr>
        <w:tc>
          <w:tcPr>
            <w:tcW w:w="102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2C6336C" w14:textId="77777777" w:rsidR="00F15230" w:rsidRPr="00E043E2" w:rsidRDefault="00F15230" w:rsidP="00F15230">
            <w:pPr>
              <w:keepNext/>
              <w:jc w:val="center"/>
              <w:rPr>
                <w:rFonts w:ascii="Arial" w:hAnsi="Arial" w:cs="Arial"/>
                <w:color w:val="000000"/>
                <w:sz w:val="20"/>
                <w:szCs w:val="20"/>
              </w:rPr>
            </w:pPr>
            <w:r w:rsidRPr="00E043E2">
              <w:rPr>
                <w:rFonts w:ascii="Arial" w:hAnsi="Arial" w:cs="Arial"/>
                <w:color w:val="000000"/>
                <w:sz w:val="20"/>
                <w:szCs w:val="20"/>
              </w:rPr>
              <w:t>Weather Sensitive</w:t>
            </w:r>
          </w:p>
        </w:tc>
        <w:tc>
          <w:tcPr>
            <w:tcW w:w="3700" w:type="dxa"/>
            <w:tcBorders>
              <w:top w:val="nil"/>
              <w:left w:val="nil"/>
              <w:bottom w:val="single" w:sz="4" w:space="0" w:color="auto"/>
              <w:right w:val="single" w:sz="4" w:space="0" w:color="auto"/>
            </w:tcBorders>
            <w:shd w:val="clear" w:color="000000" w:fill="FFFFFF"/>
            <w:noWrap/>
            <w:vAlign w:val="center"/>
            <w:hideMark/>
          </w:tcPr>
          <w:p w14:paraId="78AF8787" w14:textId="77777777" w:rsidR="00F15230" w:rsidRPr="00E043E2" w:rsidRDefault="00F15230" w:rsidP="00F15230">
            <w:pPr>
              <w:keepNext/>
              <w:rPr>
                <w:rFonts w:cs="Calibri"/>
                <w:color w:val="000000"/>
                <w:sz w:val="22"/>
                <w:szCs w:val="22"/>
              </w:rPr>
            </w:pPr>
            <w:r w:rsidRPr="00E043E2">
              <w:rPr>
                <w:rFonts w:cs="Calibri"/>
                <w:color w:val="000000"/>
                <w:sz w:val="22"/>
                <w:szCs w:val="22"/>
              </w:rPr>
              <w:t>1. Agriculture, Mining, Construction</w:t>
            </w:r>
          </w:p>
        </w:tc>
        <w:tc>
          <w:tcPr>
            <w:tcW w:w="1386" w:type="dxa"/>
            <w:tcBorders>
              <w:top w:val="nil"/>
              <w:left w:val="nil"/>
              <w:bottom w:val="single" w:sz="4" w:space="0" w:color="auto"/>
              <w:right w:val="single" w:sz="4" w:space="0" w:color="auto"/>
            </w:tcBorders>
            <w:shd w:val="clear" w:color="000000" w:fill="FFFFFF"/>
            <w:noWrap/>
            <w:vAlign w:val="center"/>
            <w:hideMark/>
          </w:tcPr>
          <w:p w14:paraId="00EF4952" w14:textId="3655A812" w:rsidR="00F15230" w:rsidRPr="00E043E2" w:rsidRDefault="00F15230" w:rsidP="00F15230">
            <w:pPr>
              <w:keepNext/>
              <w:jc w:val="center"/>
              <w:rPr>
                <w:rFonts w:cs="Calibri"/>
                <w:color w:val="000000"/>
                <w:sz w:val="22"/>
                <w:szCs w:val="22"/>
              </w:rPr>
            </w:pPr>
            <w:r>
              <w:rPr>
                <w:color w:val="000000"/>
                <w:sz w:val="22"/>
                <w:szCs w:val="22"/>
              </w:rPr>
              <w:t>3</w:t>
            </w:r>
          </w:p>
        </w:tc>
        <w:tc>
          <w:tcPr>
            <w:tcW w:w="960" w:type="dxa"/>
            <w:tcBorders>
              <w:top w:val="nil"/>
              <w:left w:val="nil"/>
              <w:bottom w:val="single" w:sz="4" w:space="0" w:color="auto"/>
              <w:right w:val="single" w:sz="4" w:space="0" w:color="auto"/>
            </w:tcBorders>
            <w:shd w:val="clear" w:color="000000" w:fill="FFFFFF"/>
            <w:noWrap/>
            <w:vAlign w:val="center"/>
            <w:hideMark/>
          </w:tcPr>
          <w:p w14:paraId="76DC8B41" w14:textId="7B3151A9" w:rsidR="00F15230" w:rsidRPr="00E043E2" w:rsidRDefault="00F15230" w:rsidP="00F15230">
            <w:pPr>
              <w:keepNext/>
              <w:jc w:val="center"/>
              <w:rPr>
                <w:rFonts w:cs="Calibri"/>
                <w:color w:val="000000"/>
                <w:sz w:val="22"/>
                <w:szCs w:val="22"/>
              </w:rPr>
            </w:pPr>
            <w:r>
              <w:rPr>
                <w:color w:val="000000"/>
                <w:sz w:val="22"/>
                <w:szCs w:val="22"/>
              </w:rPr>
              <w:t>92.7%</w:t>
            </w:r>
          </w:p>
        </w:tc>
        <w:tc>
          <w:tcPr>
            <w:tcW w:w="960" w:type="dxa"/>
            <w:tcBorders>
              <w:top w:val="nil"/>
              <w:left w:val="nil"/>
              <w:bottom w:val="single" w:sz="4" w:space="0" w:color="auto"/>
              <w:right w:val="single" w:sz="4" w:space="0" w:color="auto"/>
            </w:tcBorders>
            <w:shd w:val="clear" w:color="000000" w:fill="FFFFFF"/>
            <w:noWrap/>
            <w:vAlign w:val="center"/>
            <w:hideMark/>
          </w:tcPr>
          <w:p w14:paraId="05D72CDC" w14:textId="37667C18" w:rsidR="00F15230" w:rsidRPr="00E043E2" w:rsidRDefault="00F15230" w:rsidP="00F15230">
            <w:pPr>
              <w:keepNext/>
              <w:jc w:val="right"/>
              <w:rPr>
                <w:rFonts w:ascii="Arial" w:hAnsi="Arial" w:cs="Arial"/>
                <w:color w:val="000000"/>
                <w:sz w:val="20"/>
                <w:szCs w:val="20"/>
              </w:rPr>
            </w:pPr>
            <w:r>
              <w:rPr>
                <w:rFonts w:ascii="Arial" w:hAnsi="Arial" w:cs="Arial"/>
                <w:color w:val="000000"/>
                <w:sz w:val="20"/>
                <w:szCs w:val="20"/>
              </w:rPr>
              <w:t>115.3%</w:t>
            </w:r>
          </w:p>
        </w:tc>
        <w:tc>
          <w:tcPr>
            <w:tcW w:w="1320" w:type="dxa"/>
            <w:tcBorders>
              <w:top w:val="nil"/>
              <w:left w:val="nil"/>
              <w:bottom w:val="single" w:sz="4" w:space="0" w:color="auto"/>
              <w:right w:val="single" w:sz="4" w:space="0" w:color="auto"/>
            </w:tcBorders>
            <w:shd w:val="clear" w:color="000000" w:fill="FFFFFF"/>
            <w:noWrap/>
            <w:vAlign w:val="center"/>
            <w:hideMark/>
          </w:tcPr>
          <w:p w14:paraId="2AE0B6AF" w14:textId="0DB7A960" w:rsidR="00F15230" w:rsidRPr="00E043E2" w:rsidRDefault="00F15230" w:rsidP="00F15230">
            <w:pPr>
              <w:keepNext/>
              <w:jc w:val="center"/>
              <w:rPr>
                <w:rFonts w:cs="Calibri"/>
                <w:color w:val="000000"/>
                <w:sz w:val="22"/>
                <w:szCs w:val="22"/>
              </w:rPr>
            </w:pPr>
            <w:r>
              <w:rPr>
                <w:color w:val="000000"/>
                <w:sz w:val="22"/>
                <w:szCs w:val="22"/>
              </w:rPr>
              <w:t>1</w:t>
            </w:r>
          </w:p>
        </w:tc>
      </w:tr>
      <w:tr w:rsidR="00F15230" w:rsidRPr="00E043E2" w14:paraId="459C0E1C" w14:textId="77777777" w:rsidTr="00F15230">
        <w:trPr>
          <w:trHeight w:val="300"/>
          <w:jc w:val="center"/>
        </w:trPr>
        <w:tc>
          <w:tcPr>
            <w:tcW w:w="1028" w:type="dxa"/>
            <w:vMerge/>
            <w:tcBorders>
              <w:top w:val="nil"/>
              <w:left w:val="single" w:sz="4" w:space="0" w:color="auto"/>
              <w:bottom w:val="single" w:sz="4" w:space="0" w:color="000000"/>
              <w:right w:val="single" w:sz="4" w:space="0" w:color="auto"/>
            </w:tcBorders>
            <w:vAlign w:val="center"/>
            <w:hideMark/>
          </w:tcPr>
          <w:p w14:paraId="1F04ABA8" w14:textId="77777777" w:rsidR="00F15230" w:rsidRPr="00E043E2" w:rsidRDefault="00F15230" w:rsidP="00F15230">
            <w:pPr>
              <w:keepNext/>
              <w:rPr>
                <w:rFonts w:ascii="Arial" w:hAnsi="Arial" w:cs="Arial"/>
                <w:color w:val="000000"/>
                <w:sz w:val="20"/>
                <w:szCs w:val="20"/>
              </w:rPr>
            </w:pPr>
          </w:p>
        </w:tc>
        <w:tc>
          <w:tcPr>
            <w:tcW w:w="3700" w:type="dxa"/>
            <w:tcBorders>
              <w:top w:val="nil"/>
              <w:left w:val="nil"/>
              <w:bottom w:val="single" w:sz="4" w:space="0" w:color="auto"/>
              <w:right w:val="single" w:sz="4" w:space="0" w:color="auto"/>
            </w:tcBorders>
            <w:shd w:val="clear" w:color="000000" w:fill="FFFFFF"/>
            <w:noWrap/>
            <w:vAlign w:val="center"/>
            <w:hideMark/>
          </w:tcPr>
          <w:p w14:paraId="113A19F6" w14:textId="77777777" w:rsidR="00F15230" w:rsidRPr="00E043E2" w:rsidRDefault="00F15230" w:rsidP="00F15230">
            <w:pPr>
              <w:keepNext/>
              <w:rPr>
                <w:rFonts w:cs="Calibri"/>
                <w:color w:val="000000"/>
                <w:sz w:val="22"/>
                <w:szCs w:val="22"/>
              </w:rPr>
            </w:pPr>
            <w:r w:rsidRPr="00E043E2">
              <w:rPr>
                <w:rFonts w:cs="Calibri"/>
                <w:color w:val="000000"/>
                <w:sz w:val="22"/>
                <w:szCs w:val="22"/>
              </w:rPr>
              <w:t>2. Manufacturing</w:t>
            </w:r>
          </w:p>
        </w:tc>
        <w:tc>
          <w:tcPr>
            <w:tcW w:w="1386" w:type="dxa"/>
            <w:tcBorders>
              <w:top w:val="nil"/>
              <w:left w:val="nil"/>
              <w:bottom w:val="single" w:sz="4" w:space="0" w:color="auto"/>
              <w:right w:val="single" w:sz="4" w:space="0" w:color="auto"/>
            </w:tcBorders>
            <w:shd w:val="clear" w:color="000000" w:fill="FFFFFF"/>
            <w:noWrap/>
            <w:vAlign w:val="center"/>
            <w:hideMark/>
          </w:tcPr>
          <w:p w14:paraId="7D02A23E" w14:textId="6DC93662" w:rsidR="00F15230" w:rsidRPr="00E043E2" w:rsidRDefault="00F15230" w:rsidP="00F15230">
            <w:pPr>
              <w:keepNext/>
              <w:jc w:val="center"/>
              <w:rPr>
                <w:rFonts w:cs="Calibri"/>
                <w:color w:val="000000"/>
                <w:sz w:val="22"/>
                <w:szCs w:val="22"/>
              </w:rPr>
            </w:pPr>
            <w:r>
              <w:rPr>
                <w:color w:val="000000"/>
                <w:sz w:val="22"/>
                <w:szCs w:val="22"/>
              </w:rPr>
              <w:t>2</w:t>
            </w:r>
          </w:p>
        </w:tc>
        <w:tc>
          <w:tcPr>
            <w:tcW w:w="960" w:type="dxa"/>
            <w:tcBorders>
              <w:top w:val="nil"/>
              <w:left w:val="nil"/>
              <w:bottom w:val="single" w:sz="4" w:space="0" w:color="auto"/>
              <w:right w:val="single" w:sz="4" w:space="0" w:color="auto"/>
            </w:tcBorders>
            <w:shd w:val="clear" w:color="000000" w:fill="FFFFFF"/>
            <w:noWrap/>
            <w:vAlign w:val="center"/>
            <w:hideMark/>
          </w:tcPr>
          <w:p w14:paraId="69172759" w14:textId="1561DF63" w:rsidR="00F15230" w:rsidRPr="00E043E2" w:rsidRDefault="00F15230" w:rsidP="00F15230">
            <w:pPr>
              <w:keepNext/>
              <w:jc w:val="center"/>
              <w:rPr>
                <w:rFonts w:cs="Calibri"/>
                <w:color w:val="000000"/>
                <w:sz w:val="22"/>
                <w:szCs w:val="22"/>
              </w:rPr>
            </w:pPr>
            <w:r>
              <w:rPr>
                <w:color w:val="000000"/>
                <w:sz w:val="22"/>
                <w:szCs w:val="22"/>
              </w:rPr>
              <w:t>2.1%</w:t>
            </w:r>
          </w:p>
        </w:tc>
        <w:tc>
          <w:tcPr>
            <w:tcW w:w="960" w:type="dxa"/>
            <w:tcBorders>
              <w:top w:val="nil"/>
              <w:left w:val="nil"/>
              <w:bottom w:val="single" w:sz="4" w:space="0" w:color="auto"/>
              <w:right w:val="single" w:sz="4" w:space="0" w:color="auto"/>
            </w:tcBorders>
            <w:shd w:val="clear" w:color="000000" w:fill="FFFFFF"/>
            <w:noWrap/>
            <w:vAlign w:val="center"/>
            <w:hideMark/>
          </w:tcPr>
          <w:p w14:paraId="384D60DE" w14:textId="761DC629" w:rsidR="00F15230" w:rsidRPr="00E043E2" w:rsidRDefault="00F15230" w:rsidP="00F15230">
            <w:pPr>
              <w:keepNext/>
              <w:jc w:val="right"/>
              <w:rPr>
                <w:rFonts w:ascii="Arial" w:hAnsi="Arial" w:cs="Arial"/>
                <w:color w:val="000000"/>
                <w:sz w:val="20"/>
                <w:szCs w:val="20"/>
              </w:rPr>
            </w:pPr>
            <w:r>
              <w:rPr>
                <w:rFonts w:ascii="Arial" w:hAnsi="Arial" w:cs="Arial"/>
                <w:color w:val="000000"/>
                <w:sz w:val="20"/>
                <w:szCs w:val="20"/>
              </w:rPr>
              <w:t>9.3%</w:t>
            </w:r>
          </w:p>
        </w:tc>
        <w:tc>
          <w:tcPr>
            <w:tcW w:w="1320" w:type="dxa"/>
            <w:tcBorders>
              <w:top w:val="nil"/>
              <w:left w:val="nil"/>
              <w:bottom w:val="single" w:sz="4" w:space="0" w:color="auto"/>
              <w:right w:val="single" w:sz="4" w:space="0" w:color="auto"/>
            </w:tcBorders>
            <w:shd w:val="clear" w:color="000000" w:fill="FFFFFF"/>
            <w:noWrap/>
            <w:vAlign w:val="center"/>
            <w:hideMark/>
          </w:tcPr>
          <w:p w14:paraId="0B89EED5" w14:textId="3A176302" w:rsidR="00F15230" w:rsidRPr="00E043E2" w:rsidRDefault="00F15230" w:rsidP="00F15230">
            <w:pPr>
              <w:keepNext/>
              <w:jc w:val="center"/>
              <w:rPr>
                <w:rFonts w:cs="Calibri"/>
                <w:color w:val="000000"/>
                <w:sz w:val="22"/>
                <w:szCs w:val="22"/>
              </w:rPr>
            </w:pPr>
            <w:r>
              <w:rPr>
                <w:color w:val="000000"/>
                <w:sz w:val="22"/>
                <w:szCs w:val="22"/>
              </w:rPr>
              <w:t>1</w:t>
            </w:r>
          </w:p>
        </w:tc>
      </w:tr>
      <w:tr w:rsidR="00F15230" w:rsidRPr="00E043E2" w14:paraId="4573F70D" w14:textId="77777777" w:rsidTr="00F15230">
        <w:trPr>
          <w:trHeight w:val="300"/>
          <w:jc w:val="center"/>
        </w:trPr>
        <w:tc>
          <w:tcPr>
            <w:tcW w:w="1028" w:type="dxa"/>
            <w:vMerge/>
            <w:tcBorders>
              <w:top w:val="nil"/>
              <w:left w:val="single" w:sz="4" w:space="0" w:color="auto"/>
              <w:bottom w:val="single" w:sz="4" w:space="0" w:color="000000"/>
              <w:right w:val="single" w:sz="4" w:space="0" w:color="auto"/>
            </w:tcBorders>
            <w:vAlign w:val="center"/>
            <w:hideMark/>
          </w:tcPr>
          <w:p w14:paraId="0ED632E0" w14:textId="77777777" w:rsidR="00F15230" w:rsidRPr="00E043E2" w:rsidRDefault="00F15230" w:rsidP="00F15230">
            <w:pPr>
              <w:keepNext/>
              <w:rPr>
                <w:rFonts w:ascii="Arial" w:hAnsi="Arial" w:cs="Arial"/>
                <w:color w:val="000000"/>
                <w:sz w:val="20"/>
                <w:szCs w:val="20"/>
              </w:rPr>
            </w:pPr>
          </w:p>
        </w:tc>
        <w:tc>
          <w:tcPr>
            <w:tcW w:w="3700" w:type="dxa"/>
            <w:tcBorders>
              <w:top w:val="nil"/>
              <w:left w:val="nil"/>
              <w:bottom w:val="single" w:sz="4" w:space="0" w:color="auto"/>
              <w:right w:val="single" w:sz="4" w:space="0" w:color="auto"/>
            </w:tcBorders>
            <w:shd w:val="clear" w:color="000000" w:fill="FFFFFF"/>
            <w:noWrap/>
            <w:vAlign w:val="center"/>
            <w:hideMark/>
          </w:tcPr>
          <w:p w14:paraId="4A6A61AA" w14:textId="77777777" w:rsidR="00F15230" w:rsidRPr="00E043E2" w:rsidRDefault="00F15230" w:rsidP="00F15230">
            <w:pPr>
              <w:keepNext/>
              <w:rPr>
                <w:rFonts w:cs="Calibri"/>
                <w:color w:val="000000"/>
                <w:sz w:val="22"/>
                <w:szCs w:val="22"/>
              </w:rPr>
            </w:pPr>
            <w:r w:rsidRPr="00E043E2">
              <w:rPr>
                <w:rFonts w:cs="Calibri"/>
                <w:color w:val="000000"/>
                <w:sz w:val="22"/>
                <w:szCs w:val="22"/>
              </w:rPr>
              <w:t>4. Retail</w:t>
            </w:r>
          </w:p>
        </w:tc>
        <w:tc>
          <w:tcPr>
            <w:tcW w:w="1386" w:type="dxa"/>
            <w:tcBorders>
              <w:top w:val="nil"/>
              <w:left w:val="nil"/>
              <w:bottom w:val="single" w:sz="4" w:space="0" w:color="auto"/>
              <w:right w:val="single" w:sz="4" w:space="0" w:color="auto"/>
            </w:tcBorders>
            <w:shd w:val="clear" w:color="000000" w:fill="FFFFFF"/>
            <w:noWrap/>
            <w:vAlign w:val="center"/>
            <w:hideMark/>
          </w:tcPr>
          <w:p w14:paraId="6E3189A0" w14:textId="1C2FC152" w:rsidR="00F15230" w:rsidRPr="00E043E2" w:rsidRDefault="00F15230" w:rsidP="00F15230">
            <w:pPr>
              <w:keepNext/>
              <w:jc w:val="center"/>
              <w:rPr>
                <w:rFonts w:cs="Calibri"/>
                <w:color w:val="000000"/>
                <w:sz w:val="22"/>
                <w:szCs w:val="22"/>
              </w:rPr>
            </w:pPr>
            <w:r>
              <w:rPr>
                <w:color w:val="000000"/>
                <w:sz w:val="22"/>
                <w:szCs w:val="22"/>
              </w:rPr>
              <w:t>1</w:t>
            </w:r>
          </w:p>
        </w:tc>
        <w:tc>
          <w:tcPr>
            <w:tcW w:w="960" w:type="dxa"/>
            <w:tcBorders>
              <w:top w:val="nil"/>
              <w:left w:val="nil"/>
              <w:bottom w:val="single" w:sz="4" w:space="0" w:color="auto"/>
              <w:right w:val="single" w:sz="4" w:space="0" w:color="auto"/>
            </w:tcBorders>
            <w:shd w:val="clear" w:color="000000" w:fill="FFFFFF"/>
            <w:noWrap/>
            <w:vAlign w:val="center"/>
            <w:hideMark/>
          </w:tcPr>
          <w:p w14:paraId="7D79BB47" w14:textId="0DA5927F" w:rsidR="00F15230" w:rsidRPr="00E043E2" w:rsidRDefault="00F15230" w:rsidP="00F15230">
            <w:pPr>
              <w:keepNext/>
              <w:jc w:val="center"/>
              <w:rPr>
                <w:rFonts w:cs="Calibri"/>
                <w:color w:val="000000"/>
                <w:sz w:val="22"/>
                <w:szCs w:val="22"/>
              </w:rPr>
            </w:pPr>
            <w:r>
              <w:rPr>
                <w:color w:val="000000"/>
                <w:sz w:val="22"/>
                <w:szCs w:val="22"/>
              </w:rPr>
              <w:t>0.9%</w:t>
            </w:r>
          </w:p>
        </w:tc>
        <w:tc>
          <w:tcPr>
            <w:tcW w:w="960" w:type="dxa"/>
            <w:tcBorders>
              <w:top w:val="nil"/>
              <w:left w:val="nil"/>
              <w:bottom w:val="single" w:sz="4" w:space="0" w:color="auto"/>
              <w:right w:val="single" w:sz="4" w:space="0" w:color="auto"/>
            </w:tcBorders>
            <w:shd w:val="clear" w:color="000000" w:fill="FFFFFF"/>
            <w:noWrap/>
            <w:vAlign w:val="center"/>
            <w:hideMark/>
          </w:tcPr>
          <w:p w14:paraId="4212923F" w14:textId="0C50F40E" w:rsidR="00F15230" w:rsidRPr="00E043E2" w:rsidRDefault="00F15230" w:rsidP="00F15230">
            <w:pPr>
              <w:keepNext/>
              <w:jc w:val="right"/>
              <w:rPr>
                <w:rFonts w:ascii="Arial" w:hAnsi="Arial" w:cs="Arial"/>
                <w:color w:val="000000"/>
                <w:sz w:val="20"/>
                <w:szCs w:val="20"/>
              </w:rPr>
            </w:pPr>
            <w:r>
              <w:rPr>
                <w:rFonts w:ascii="Arial" w:hAnsi="Arial" w:cs="Arial"/>
                <w:color w:val="000000"/>
                <w:sz w:val="20"/>
                <w:szCs w:val="20"/>
              </w:rPr>
              <w:t>1.8%</w:t>
            </w:r>
          </w:p>
        </w:tc>
        <w:tc>
          <w:tcPr>
            <w:tcW w:w="1320" w:type="dxa"/>
            <w:tcBorders>
              <w:top w:val="nil"/>
              <w:left w:val="nil"/>
              <w:bottom w:val="single" w:sz="4" w:space="0" w:color="auto"/>
              <w:right w:val="single" w:sz="4" w:space="0" w:color="auto"/>
            </w:tcBorders>
            <w:shd w:val="clear" w:color="000000" w:fill="FFFFFF"/>
            <w:noWrap/>
            <w:vAlign w:val="center"/>
            <w:hideMark/>
          </w:tcPr>
          <w:p w14:paraId="5D8153AD" w14:textId="20D6AF73" w:rsidR="00F15230" w:rsidRPr="00E043E2" w:rsidRDefault="00F15230" w:rsidP="00F15230">
            <w:pPr>
              <w:keepNext/>
              <w:jc w:val="center"/>
              <w:rPr>
                <w:rFonts w:cs="Calibri"/>
                <w:color w:val="000000"/>
                <w:sz w:val="22"/>
                <w:szCs w:val="22"/>
              </w:rPr>
            </w:pPr>
            <w:r>
              <w:rPr>
                <w:color w:val="000000"/>
                <w:sz w:val="22"/>
                <w:szCs w:val="22"/>
              </w:rPr>
              <w:t>2</w:t>
            </w:r>
          </w:p>
        </w:tc>
      </w:tr>
      <w:tr w:rsidR="00F15230" w:rsidRPr="00E043E2" w14:paraId="01736C3C" w14:textId="77777777" w:rsidTr="00F15230">
        <w:trPr>
          <w:trHeight w:val="960"/>
          <w:jc w:val="center"/>
        </w:trPr>
        <w:tc>
          <w:tcPr>
            <w:tcW w:w="1028" w:type="dxa"/>
            <w:tcBorders>
              <w:top w:val="nil"/>
              <w:left w:val="single" w:sz="4" w:space="0" w:color="auto"/>
              <w:bottom w:val="single" w:sz="4" w:space="0" w:color="auto"/>
              <w:right w:val="single" w:sz="4" w:space="0" w:color="auto"/>
            </w:tcBorders>
            <w:shd w:val="clear" w:color="000000" w:fill="FFFFFF"/>
            <w:vAlign w:val="center"/>
            <w:hideMark/>
          </w:tcPr>
          <w:p w14:paraId="0CD99A72" w14:textId="77777777" w:rsidR="00F15230" w:rsidRPr="00E043E2" w:rsidRDefault="00F15230" w:rsidP="00F15230">
            <w:pPr>
              <w:keepNext/>
              <w:jc w:val="center"/>
              <w:rPr>
                <w:rFonts w:ascii="Arial" w:hAnsi="Arial" w:cs="Arial"/>
                <w:color w:val="000000"/>
                <w:sz w:val="20"/>
                <w:szCs w:val="20"/>
              </w:rPr>
            </w:pPr>
            <w:r w:rsidRPr="00E043E2">
              <w:rPr>
                <w:rFonts w:ascii="Arial" w:hAnsi="Arial" w:cs="Arial"/>
                <w:color w:val="000000"/>
                <w:sz w:val="20"/>
                <w:szCs w:val="20"/>
              </w:rPr>
              <w:t>Non-Weather Sensitive</w:t>
            </w:r>
          </w:p>
        </w:tc>
        <w:tc>
          <w:tcPr>
            <w:tcW w:w="3700" w:type="dxa"/>
            <w:tcBorders>
              <w:top w:val="nil"/>
              <w:left w:val="nil"/>
              <w:bottom w:val="single" w:sz="4" w:space="0" w:color="auto"/>
              <w:right w:val="single" w:sz="4" w:space="0" w:color="auto"/>
            </w:tcBorders>
            <w:shd w:val="clear" w:color="000000" w:fill="FFFFFF"/>
            <w:noWrap/>
            <w:vAlign w:val="center"/>
            <w:hideMark/>
          </w:tcPr>
          <w:p w14:paraId="1306D066" w14:textId="77777777" w:rsidR="00F15230" w:rsidRPr="00E043E2" w:rsidRDefault="00F15230" w:rsidP="00F15230">
            <w:pPr>
              <w:keepNext/>
              <w:rPr>
                <w:rFonts w:cs="Calibri"/>
                <w:color w:val="000000"/>
                <w:sz w:val="22"/>
                <w:szCs w:val="22"/>
              </w:rPr>
            </w:pPr>
            <w:r w:rsidRPr="00E043E2">
              <w:rPr>
                <w:rFonts w:cs="Calibri"/>
                <w:color w:val="000000"/>
                <w:sz w:val="22"/>
                <w:szCs w:val="22"/>
              </w:rPr>
              <w:t>1. Agriculture, Mining, Construction</w:t>
            </w:r>
          </w:p>
        </w:tc>
        <w:tc>
          <w:tcPr>
            <w:tcW w:w="1386" w:type="dxa"/>
            <w:tcBorders>
              <w:top w:val="nil"/>
              <w:left w:val="nil"/>
              <w:bottom w:val="single" w:sz="4" w:space="0" w:color="auto"/>
              <w:right w:val="single" w:sz="4" w:space="0" w:color="auto"/>
            </w:tcBorders>
            <w:shd w:val="clear" w:color="000000" w:fill="FFFFFF"/>
            <w:noWrap/>
            <w:vAlign w:val="center"/>
            <w:hideMark/>
          </w:tcPr>
          <w:p w14:paraId="07758963" w14:textId="3F104AD6" w:rsidR="00F15230" w:rsidRPr="00E043E2" w:rsidRDefault="00F15230" w:rsidP="00F15230">
            <w:pPr>
              <w:keepNext/>
              <w:jc w:val="center"/>
              <w:rPr>
                <w:rFonts w:cs="Calibri"/>
                <w:color w:val="000000"/>
                <w:sz w:val="22"/>
                <w:szCs w:val="22"/>
              </w:rPr>
            </w:pPr>
            <w:r>
              <w:rPr>
                <w:color w:val="000000"/>
                <w:sz w:val="22"/>
                <w:szCs w:val="22"/>
              </w:rPr>
              <w:t>1</w:t>
            </w:r>
          </w:p>
        </w:tc>
        <w:tc>
          <w:tcPr>
            <w:tcW w:w="960" w:type="dxa"/>
            <w:tcBorders>
              <w:top w:val="nil"/>
              <w:left w:val="nil"/>
              <w:bottom w:val="single" w:sz="4" w:space="0" w:color="auto"/>
              <w:right w:val="single" w:sz="4" w:space="0" w:color="auto"/>
            </w:tcBorders>
            <w:shd w:val="clear" w:color="000000" w:fill="FFFFFF"/>
            <w:noWrap/>
            <w:vAlign w:val="center"/>
            <w:hideMark/>
          </w:tcPr>
          <w:p w14:paraId="43245483" w14:textId="675ACC6F" w:rsidR="00F15230" w:rsidRPr="00E043E2" w:rsidRDefault="00F15230" w:rsidP="00F15230">
            <w:pPr>
              <w:keepNext/>
              <w:jc w:val="center"/>
              <w:rPr>
                <w:rFonts w:cs="Calibri"/>
                <w:color w:val="000000"/>
                <w:sz w:val="22"/>
                <w:szCs w:val="22"/>
              </w:rPr>
            </w:pPr>
            <w:r>
              <w:rPr>
                <w:color w:val="000000"/>
                <w:sz w:val="22"/>
                <w:szCs w:val="22"/>
              </w:rPr>
              <w:t>11.4%</w:t>
            </w:r>
          </w:p>
        </w:tc>
        <w:tc>
          <w:tcPr>
            <w:tcW w:w="960" w:type="dxa"/>
            <w:tcBorders>
              <w:top w:val="nil"/>
              <w:left w:val="nil"/>
              <w:bottom w:val="single" w:sz="4" w:space="0" w:color="auto"/>
              <w:right w:val="single" w:sz="4" w:space="0" w:color="auto"/>
            </w:tcBorders>
            <w:shd w:val="clear" w:color="000000" w:fill="FFFFFF"/>
            <w:noWrap/>
            <w:vAlign w:val="center"/>
            <w:hideMark/>
          </w:tcPr>
          <w:p w14:paraId="63CAEC3F" w14:textId="3C50244E" w:rsidR="00F15230" w:rsidRPr="00E043E2" w:rsidRDefault="00F15230" w:rsidP="00F15230">
            <w:pPr>
              <w:keepNext/>
              <w:jc w:val="right"/>
              <w:rPr>
                <w:rFonts w:ascii="Arial" w:hAnsi="Arial" w:cs="Arial"/>
                <w:color w:val="000000"/>
                <w:sz w:val="20"/>
                <w:szCs w:val="20"/>
              </w:rPr>
            </w:pPr>
            <w:r>
              <w:rPr>
                <w:rFonts w:ascii="Arial" w:hAnsi="Arial" w:cs="Arial"/>
                <w:color w:val="000000"/>
                <w:sz w:val="20"/>
                <w:szCs w:val="20"/>
              </w:rPr>
              <w:t>29.2%</w:t>
            </w:r>
          </w:p>
        </w:tc>
        <w:tc>
          <w:tcPr>
            <w:tcW w:w="1320" w:type="dxa"/>
            <w:tcBorders>
              <w:top w:val="nil"/>
              <w:left w:val="nil"/>
              <w:bottom w:val="single" w:sz="4" w:space="0" w:color="auto"/>
              <w:right w:val="single" w:sz="4" w:space="0" w:color="auto"/>
            </w:tcBorders>
            <w:shd w:val="clear" w:color="000000" w:fill="FFFFFF"/>
            <w:noWrap/>
            <w:vAlign w:val="center"/>
            <w:hideMark/>
          </w:tcPr>
          <w:p w14:paraId="7AD611BD" w14:textId="76A9D0A8" w:rsidR="00F15230" w:rsidRPr="00E043E2" w:rsidRDefault="00F15230" w:rsidP="00F15230">
            <w:pPr>
              <w:keepNext/>
              <w:jc w:val="center"/>
              <w:rPr>
                <w:rFonts w:cs="Calibri"/>
                <w:color w:val="000000"/>
                <w:sz w:val="22"/>
                <w:szCs w:val="22"/>
              </w:rPr>
            </w:pPr>
            <w:r>
              <w:rPr>
                <w:color w:val="000000"/>
                <w:sz w:val="22"/>
                <w:szCs w:val="22"/>
              </w:rPr>
              <w:t>2</w:t>
            </w:r>
          </w:p>
        </w:tc>
      </w:tr>
    </w:tbl>
    <w:p w14:paraId="786D16A7" w14:textId="77777777" w:rsidR="00731D0B" w:rsidRDefault="00731D0B" w:rsidP="00E043E2">
      <w:pPr>
        <w:pStyle w:val="TableCaption"/>
        <w:keepNext/>
        <w:keepLines/>
      </w:pPr>
    </w:p>
    <w:p w14:paraId="4980DA9A" w14:textId="77777777" w:rsidR="00614D97" w:rsidRDefault="00614D97" w:rsidP="00614D97">
      <w:pPr>
        <w:pStyle w:val="Heading3"/>
      </w:pPr>
      <w:bookmarkStart w:id="287" w:name="_Toc504832912"/>
      <w:bookmarkStart w:id="288" w:name="_Toc510091152"/>
      <w:r>
        <w:t>A.2.3 Synthetic Event Day Tests</w:t>
      </w:r>
      <w:bookmarkEnd w:id="287"/>
      <w:bookmarkEnd w:id="288"/>
    </w:p>
    <w:p w14:paraId="6F4F197D" w14:textId="370186D0" w:rsidR="00614D97" w:rsidRDefault="00614D97" w:rsidP="00614D97">
      <w:r>
        <w:t xml:space="preserve">For the specification selected </w:t>
      </w:r>
      <w:r w:rsidR="00A46010">
        <w:t>using t</w:t>
      </w:r>
      <w:r>
        <w:t xml:space="preserve">he testing described in Section A.2.2, we conducted an additional test. The selected specification was estimated on the aggregate customer data by industry and weather sensitivity (averaged across all </w:t>
      </w:r>
      <w:r w:rsidR="00A46010">
        <w:t xml:space="preserve">applicable </w:t>
      </w:r>
      <w:r>
        <w:t>customers), including a set of 24 hourly “synthetic” event-day variables. These variables equaled one on the days listed in Table A.</w:t>
      </w:r>
      <w:r w:rsidR="001A1817">
        <w:t>6</w:t>
      </w:r>
      <w:r>
        <w:t>, with a separate estimate for each hour of the day.</w:t>
      </w:r>
    </w:p>
    <w:p w14:paraId="4891BE8E" w14:textId="77777777" w:rsidR="00614D97" w:rsidRDefault="00614D97" w:rsidP="00614D97"/>
    <w:p w14:paraId="1A482807" w14:textId="77777777" w:rsidR="00614D97" w:rsidRDefault="00614D97" w:rsidP="00614D97">
      <w:r>
        <w:t>If the model produces synthetic event-day coefficients that are not statistically significantly different from zero, the test provides some added confidence that our actual event-day coefficients are not biased. That is, the absence of statistically significant results for the synthetic event days indicates that the remainder of the model is capable of explaining the loads on those days.</w:t>
      </w:r>
    </w:p>
    <w:p w14:paraId="5D34513C" w14:textId="77777777" w:rsidR="00614D97" w:rsidRDefault="00614D97" w:rsidP="00614D97"/>
    <w:p w14:paraId="3B1D4995" w14:textId="1957813A" w:rsidR="00614D97" w:rsidRDefault="001A1817" w:rsidP="00614D97">
      <w:r>
        <w:lastRenderedPageBreak/>
        <w:t>Table A.1</w:t>
      </w:r>
      <w:r w:rsidR="00A46010">
        <w:t>3</w:t>
      </w:r>
      <w:r w:rsidR="00614D97">
        <w:t xml:space="preserve"> presents the results of this test, showing the percentage of statistically significant synthetic event-day coefficients for eac</w:t>
      </w:r>
      <w:r w:rsidR="004342DF">
        <w:t>h hour during the event window</w:t>
      </w:r>
      <w:r w:rsidR="00B51AB0">
        <w:t xml:space="preserve"> (hours not in the event are represented with a “n/a”)</w:t>
      </w:r>
      <w:r w:rsidR="00614D97">
        <w:t>. The synthetic event-day load impacts are estimated using the chosen model specification shown in Table</w:t>
      </w:r>
      <w:r w:rsidR="004342DF">
        <w:t>s</w:t>
      </w:r>
      <w:r w:rsidR="00614D97">
        <w:t xml:space="preserve"> A.</w:t>
      </w:r>
      <w:r w:rsidR="004342DF">
        <w:t>7</w:t>
      </w:r>
      <w:r w:rsidR="00A46010">
        <w:t xml:space="preserve"> through </w:t>
      </w:r>
      <w:r w:rsidR="004342DF">
        <w:t>A.9</w:t>
      </w:r>
      <w:r w:rsidR="00614D97">
        <w:t>. The “Ave</w:t>
      </w:r>
      <w:r w:rsidR="00A46010">
        <w:t>rage</w:t>
      </w:r>
      <w:r w:rsidR="00614D97">
        <w:t xml:space="preserve"> Event Hour” row at the bottom of the table shows the percentage of statistically significant estimates across all event hours. As the table shows, the models perform quite well on this test.</w:t>
      </w:r>
    </w:p>
    <w:p w14:paraId="6D9CAA59" w14:textId="77777777" w:rsidR="00614D97" w:rsidRDefault="00614D97" w:rsidP="00614D97"/>
    <w:p w14:paraId="54D420EF" w14:textId="241EB11B" w:rsidR="00210528" w:rsidRDefault="00614D97" w:rsidP="00210528">
      <w:pPr>
        <w:pStyle w:val="TableCaption"/>
        <w:keepNext/>
        <w:keepLines/>
      </w:pPr>
      <w:bookmarkStart w:id="289" w:name="_Toc508800259"/>
      <w:bookmarkStart w:id="290" w:name="_Toc504832933"/>
      <w:r w:rsidRPr="004646A9">
        <w:t>Table</w:t>
      </w:r>
      <w:r w:rsidRPr="0088530C">
        <w:t xml:space="preserve"> </w:t>
      </w:r>
      <w:r>
        <w:t>A</w:t>
      </w:r>
      <w:r w:rsidRPr="0088530C">
        <w:t>.</w:t>
      </w:r>
      <w:r w:rsidR="001A1817">
        <w:t>1</w:t>
      </w:r>
      <w:r w:rsidR="00731D0B">
        <w:t>3</w:t>
      </w:r>
      <w:r w:rsidRPr="0088530C">
        <w:t xml:space="preserve">: </w:t>
      </w:r>
      <w:r>
        <w:t xml:space="preserve">Percentage of Statistically Significant </w:t>
      </w:r>
      <w:r w:rsidRPr="0088530C">
        <w:t xml:space="preserve">Synthetic Event-Day </w:t>
      </w:r>
      <w:r>
        <w:br/>
        <w:t>Estimated Load Impacts</w:t>
      </w:r>
      <w:bookmarkEnd w:id="289"/>
      <w:r>
        <w:t xml:space="preserve"> </w:t>
      </w:r>
      <w:bookmarkStart w:id="291" w:name="_Toc504832913"/>
      <w:bookmarkStart w:id="292" w:name="_Toc314830419"/>
      <w:bookmarkEnd w:id="290"/>
    </w:p>
    <w:tbl>
      <w:tblPr>
        <w:tblW w:w="5400" w:type="dxa"/>
        <w:jc w:val="center"/>
        <w:tblLook w:val="04A0" w:firstRow="1" w:lastRow="0" w:firstColumn="1" w:lastColumn="0" w:noHBand="0" w:noVBand="1"/>
      </w:tblPr>
      <w:tblGrid>
        <w:gridCol w:w="2223"/>
        <w:gridCol w:w="1107"/>
        <w:gridCol w:w="990"/>
        <w:gridCol w:w="1080"/>
      </w:tblGrid>
      <w:tr w:rsidR="00210528" w:rsidRPr="00210528" w14:paraId="37F0BB01" w14:textId="77777777" w:rsidTr="0086367A">
        <w:trPr>
          <w:trHeight w:val="211"/>
          <w:jc w:val="center"/>
        </w:trPr>
        <w:tc>
          <w:tcPr>
            <w:tcW w:w="2223" w:type="dxa"/>
            <w:vMerge w:val="restart"/>
            <w:tcBorders>
              <w:top w:val="single" w:sz="4" w:space="0" w:color="auto"/>
              <w:left w:val="single" w:sz="4" w:space="0" w:color="auto"/>
              <w:bottom w:val="nil"/>
              <w:right w:val="nil"/>
            </w:tcBorders>
            <w:shd w:val="clear" w:color="auto" w:fill="0C2577"/>
            <w:noWrap/>
            <w:vAlign w:val="bottom"/>
            <w:hideMark/>
          </w:tcPr>
          <w:p w14:paraId="6BB0FAE4" w14:textId="77777777" w:rsidR="00210528" w:rsidRPr="00210528" w:rsidRDefault="00210528" w:rsidP="00111550">
            <w:pPr>
              <w:keepNext/>
              <w:jc w:val="center"/>
              <w:rPr>
                <w:rFonts w:cs="Calibri"/>
                <w:b/>
                <w:bCs/>
                <w:color w:val="FFFFFF"/>
                <w:sz w:val="22"/>
                <w:szCs w:val="22"/>
              </w:rPr>
            </w:pPr>
            <w:r w:rsidRPr="00210528">
              <w:rPr>
                <w:rFonts w:cs="Calibri"/>
                <w:b/>
                <w:bCs/>
                <w:color w:val="FFFFFF"/>
                <w:sz w:val="22"/>
                <w:szCs w:val="22"/>
              </w:rPr>
              <w:t>Hour</w:t>
            </w:r>
          </w:p>
        </w:tc>
        <w:tc>
          <w:tcPr>
            <w:tcW w:w="3177" w:type="dxa"/>
            <w:gridSpan w:val="3"/>
            <w:tcBorders>
              <w:top w:val="single" w:sz="4" w:space="0" w:color="auto"/>
              <w:left w:val="single" w:sz="4" w:space="0" w:color="FFFFFF"/>
              <w:bottom w:val="single" w:sz="4" w:space="0" w:color="FFFFFF"/>
              <w:right w:val="single" w:sz="4" w:space="0" w:color="auto"/>
            </w:tcBorders>
            <w:shd w:val="clear" w:color="auto" w:fill="0C2577"/>
            <w:noWrap/>
            <w:vAlign w:val="center"/>
            <w:hideMark/>
          </w:tcPr>
          <w:p w14:paraId="7F95FBFB" w14:textId="77777777" w:rsidR="00210528" w:rsidRPr="00210528" w:rsidRDefault="00210528" w:rsidP="00111550">
            <w:pPr>
              <w:keepNext/>
              <w:jc w:val="center"/>
              <w:rPr>
                <w:rFonts w:cs="Calibri"/>
                <w:b/>
                <w:bCs/>
                <w:color w:val="FFFFFF"/>
                <w:sz w:val="22"/>
                <w:szCs w:val="22"/>
              </w:rPr>
            </w:pPr>
            <w:r w:rsidRPr="00210528">
              <w:rPr>
                <w:rFonts w:cs="Calibri"/>
                <w:b/>
                <w:bCs/>
                <w:color w:val="FFFFFF"/>
                <w:sz w:val="22"/>
                <w:szCs w:val="22"/>
              </w:rPr>
              <w:t>Percent Statistically Significant</w:t>
            </w:r>
          </w:p>
        </w:tc>
      </w:tr>
      <w:tr w:rsidR="00210528" w:rsidRPr="00210528" w14:paraId="75A015BB" w14:textId="77777777" w:rsidTr="0086367A">
        <w:trPr>
          <w:trHeight w:val="211"/>
          <w:jc w:val="center"/>
        </w:trPr>
        <w:tc>
          <w:tcPr>
            <w:tcW w:w="2223" w:type="dxa"/>
            <w:vMerge/>
            <w:tcBorders>
              <w:top w:val="nil"/>
              <w:left w:val="single" w:sz="4" w:space="0" w:color="auto"/>
              <w:bottom w:val="single" w:sz="4" w:space="0" w:color="auto"/>
              <w:right w:val="nil"/>
            </w:tcBorders>
            <w:shd w:val="clear" w:color="auto" w:fill="0C2577"/>
            <w:vAlign w:val="center"/>
            <w:hideMark/>
          </w:tcPr>
          <w:p w14:paraId="2942E1B8" w14:textId="77777777" w:rsidR="00210528" w:rsidRPr="00210528" w:rsidRDefault="00210528" w:rsidP="00111550">
            <w:pPr>
              <w:keepNext/>
              <w:jc w:val="center"/>
              <w:rPr>
                <w:rFonts w:cs="Calibri"/>
                <w:b/>
                <w:bCs/>
                <w:color w:val="FFFFFF"/>
                <w:sz w:val="22"/>
                <w:szCs w:val="22"/>
              </w:rPr>
            </w:pPr>
          </w:p>
        </w:tc>
        <w:tc>
          <w:tcPr>
            <w:tcW w:w="1107" w:type="dxa"/>
            <w:tcBorders>
              <w:top w:val="nil"/>
              <w:left w:val="single" w:sz="4" w:space="0" w:color="FFFFFF"/>
              <w:bottom w:val="single" w:sz="4" w:space="0" w:color="auto"/>
              <w:right w:val="single" w:sz="4" w:space="0" w:color="FFFFFF"/>
            </w:tcBorders>
            <w:shd w:val="clear" w:color="auto" w:fill="0C2577"/>
            <w:noWrap/>
            <w:vAlign w:val="center"/>
            <w:hideMark/>
          </w:tcPr>
          <w:p w14:paraId="05DA06D8" w14:textId="77777777" w:rsidR="00210528" w:rsidRPr="00210528" w:rsidRDefault="00210528" w:rsidP="00111550">
            <w:pPr>
              <w:keepNext/>
              <w:jc w:val="center"/>
              <w:rPr>
                <w:rFonts w:cs="Calibri"/>
                <w:b/>
                <w:bCs/>
                <w:color w:val="FFFFFF"/>
                <w:sz w:val="22"/>
                <w:szCs w:val="22"/>
              </w:rPr>
            </w:pPr>
            <w:r w:rsidRPr="00210528">
              <w:rPr>
                <w:rFonts w:cs="Calibri"/>
                <w:b/>
                <w:bCs/>
                <w:color w:val="FFFFFF"/>
                <w:sz w:val="22"/>
                <w:szCs w:val="22"/>
              </w:rPr>
              <w:t>PG&amp;E</w:t>
            </w:r>
          </w:p>
        </w:tc>
        <w:tc>
          <w:tcPr>
            <w:tcW w:w="990" w:type="dxa"/>
            <w:tcBorders>
              <w:top w:val="nil"/>
              <w:left w:val="nil"/>
              <w:bottom w:val="single" w:sz="4" w:space="0" w:color="auto"/>
              <w:right w:val="single" w:sz="4" w:space="0" w:color="FFFFFF"/>
            </w:tcBorders>
            <w:shd w:val="clear" w:color="auto" w:fill="0C2577"/>
            <w:noWrap/>
            <w:vAlign w:val="center"/>
            <w:hideMark/>
          </w:tcPr>
          <w:p w14:paraId="18454C63" w14:textId="31FB95D0" w:rsidR="00210528" w:rsidRPr="00210528" w:rsidRDefault="00210528" w:rsidP="00111550">
            <w:pPr>
              <w:keepNext/>
              <w:jc w:val="center"/>
              <w:rPr>
                <w:rFonts w:cs="Calibri"/>
                <w:b/>
                <w:bCs/>
                <w:color w:val="FFFFFF"/>
                <w:sz w:val="22"/>
                <w:szCs w:val="22"/>
              </w:rPr>
            </w:pPr>
            <w:r w:rsidRPr="00210528">
              <w:rPr>
                <w:rFonts w:cs="Calibri"/>
                <w:b/>
                <w:bCs/>
                <w:color w:val="FFFFFF"/>
                <w:sz w:val="22"/>
                <w:szCs w:val="22"/>
              </w:rPr>
              <w:t>SCE</w:t>
            </w:r>
          </w:p>
        </w:tc>
        <w:tc>
          <w:tcPr>
            <w:tcW w:w="1080" w:type="dxa"/>
            <w:tcBorders>
              <w:top w:val="nil"/>
              <w:left w:val="nil"/>
              <w:bottom w:val="single" w:sz="4" w:space="0" w:color="auto"/>
              <w:right w:val="single" w:sz="4" w:space="0" w:color="auto"/>
            </w:tcBorders>
            <w:shd w:val="clear" w:color="auto" w:fill="0C2577"/>
            <w:noWrap/>
            <w:vAlign w:val="center"/>
            <w:hideMark/>
          </w:tcPr>
          <w:p w14:paraId="3590231E" w14:textId="77777777" w:rsidR="00210528" w:rsidRPr="00210528" w:rsidRDefault="00210528" w:rsidP="00111550">
            <w:pPr>
              <w:keepNext/>
              <w:jc w:val="center"/>
              <w:rPr>
                <w:rFonts w:cs="Calibri"/>
                <w:b/>
                <w:bCs/>
                <w:color w:val="FFFFFF"/>
                <w:sz w:val="22"/>
                <w:szCs w:val="22"/>
              </w:rPr>
            </w:pPr>
            <w:r w:rsidRPr="00210528">
              <w:rPr>
                <w:rFonts w:cs="Calibri"/>
                <w:b/>
                <w:bCs/>
                <w:color w:val="FFFFFF"/>
                <w:sz w:val="22"/>
                <w:szCs w:val="22"/>
              </w:rPr>
              <w:t>SDG&amp;E</w:t>
            </w:r>
          </w:p>
        </w:tc>
      </w:tr>
      <w:tr w:rsidR="00B51AB0" w:rsidRPr="00210528" w14:paraId="241CDBE6" w14:textId="77777777" w:rsidTr="00A46010">
        <w:trPr>
          <w:trHeight w:val="211"/>
          <w:jc w:val="center"/>
        </w:trPr>
        <w:tc>
          <w:tcPr>
            <w:tcW w:w="22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6E8CFD" w14:textId="77777777" w:rsidR="00B51AB0" w:rsidRPr="00210528" w:rsidRDefault="00B51AB0" w:rsidP="00B51AB0">
            <w:pPr>
              <w:keepNext/>
              <w:jc w:val="center"/>
              <w:rPr>
                <w:rFonts w:cs="Calibri"/>
                <w:sz w:val="22"/>
                <w:szCs w:val="22"/>
              </w:rPr>
            </w:pPr>
            <w:r w:rsidRPr="00210528">
              <w:rPr>
                <w:rFonts w:cs="Calibri"/>
                <w:sz w:val="22"/>
                <w:szCs w:val="22"/>
              </w:rPr>
              <w:t>12</w:t>
            </w:r>
          </w:p>
        </w:tc>
        <w:tc>
          <w:tcPr>
            <w:tcW w:w="1107" w:type="dxa"/>
            <w:tcBorders>
              <w:top w:val="single" w:sz="4" w:space="0" w:color="auto"/>
              <w:left w:val="nil"/>
              <w:bottom w:val="single" w:sz="4" w:space="0" w:color="auto"/>
              <w:right w:val="single" w:sz="4" w:space="0" w:color="auto"/>
            </w:tcBorders>
            <w:shd w:val="clear" w:color="000000" w:fill="FFFFFF"/>
            <w:noWrap/>
            <w:vAlign w:val="center"/>
            <w:hideMark/>
          </w:tcPr>
          <w:p w14:paraId="412388AC" w14:textId="59276544" w:rsidR="00B51AB0" w:rsidRPr="00210528" w:rsidRDefault="00B51AB0" w:rsidP="00B51AB0">
            <w:pPr>
              <w:keepNext/>
              <w:jc w:val="center"/>
              <w:rPr>
                <w:rFonts w:cs="Calibri"/>
                <w:sz w:val="22"/>
                <w:szCs w:val="22"/>
              </w:rPr>
            </w:pPr>
            <w:r>
              <w:rPr>
                <w:rFonts w:cs="Calibri"/>
                <w:sz w:val="22"/>
                <w:szCs w:val="22"/>
              </w:rPr>
              <w:t>n/a</w:t>
            </w:r>
          </w:p>
        </w:tc>
        <w:tc>
          <w:tcPr>
            <w:tcW w:w="990" w:type="dxa"/>
            <w:tcBorders>
              <w:top w:val="single" w:sz="4" w:space="0" w:color="auto"/>
              <w:left w:val="nil"/>
              <w:bottom w:val="single" w:sz="4" w:space="0" w:color="auto"/>
              <w:right w:val="single" w:sz="4" w:space="0" w:color="auto"/>
            </w:tcBorders>
            <w:shd w:val="clear" w:color="000000" w:fill="FFFFFF"/>
            <w:noWrap/>
            <w:hideMark/>
          </w:tcPr>
          <w:p w14:paraId="0B3F0242" w14:textId="5764C9ED" w:rsidR="00B51AB0" w:rsidRPr="00210528" w:rsidRDefault="00B51AB0" w:rsidP="00B51AB0">
            <w:pPr>
              <w:keepNext/>
              <w:jc w:val="center"/>
              <w:rPr>
                <w:rFonts w:cs="Calibri"/>
                <w:sz w:val="22"/>
                <w:szCs w:val="22"/>
              </w:rPr>
            </w:pPr>
            <w:r w:rsidRPr="00BA2202">
              <w:rPr>
                <w:rFonts w:cs="Calibri"/>
                <w:sz w:val="22"/>
                <w:szCs w:val="22"/>
              </w:rPr>
              <w:t>n/a</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14:paraId="0B46544E" w14:textId="77777777" w:rsidR="00B51AB0" w:rsidRPr="00210528" w:rsidRDefault="00B51AB0" w:rsidP="00B51AB0">
            <w:pPr>
              <w:keepNext/>
              <w:jc w:val="center"/>
              <w:rPr>
                <w:rFonts w:cs="Calibri"/>
                <w:sz w:val="22"/>
                <w:szCs w:val="22"/>
              </w:rPr>
            </w:pPr>
            <w:r w:rsidRPr="00210528">
              <w:rPr>
                <w:rFonts w:cs="Calibri"/>
                <w:sz w:val="22"/>
                <w:szCs w:val="22"/>
              </w:rPr>
              <w:t>0.0%</w:t>
            </w:r>
          </w:p>
        </w:tc>
      </w:tr>
      <w:tr w:rsidR="00B51AB0" w:rsidRPr="00210528" w14:paraId="71AA3ABD" w14:textId="77777777" w:rsidTr="00A46010">
        <w:trPr>
          <w:trHeight w:val="211"/>
          <w:jc w:val="center"/>
        </w:trPr>
        <w:tc>
          <w:tcPr>
            <w:tcW w:w="22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2CDCCD" w14:textId="77777777" w:rsidR="00B51AB0" w:rsidRPr="00210528" w:rsidRDefault="00B51AB0" w:rsidP="00B51AB0">
            <w:pPr>
              <w:keepNext/>
              <w:jc w:val="center"/>
              <w:rPr>
                <w:rFonts w:cs="Calibri"/>
                <w:sz w:val="22"/>
                <w:szCs w:val="22"/>
              </w:rPr>
            </w:pPr>
            <w:r w:rsidRPr="00210528">
              <w:rPr>
                <w:rFonts w:cs="Calibri"/>
                <w:sz w:val="22"/>
                <w:szCs w:val="22"/>
              </w:rPr>
              <w:t>13</w:t>
            </w:r>
          </w:p>
        </w:tc>
        <w:tc>
          <w:tcPr>
            <w:tcW w:w="1107" w:type="dxa"/>
            <w:tcBorders>
              <w:top w:val="single" w:sz="4" w:space="0" w:color="auto"/>
              <w:left w:val="nil"/>
              <w:bottom w:val="single" w:sz="4" w:space="0" w:color="auto"/>
              <w:right w:val="single" w:sz="4" w:space="0" w:color="auto"/>
            </w:tcBorders>
            <w:shd w:val="clear" w:color="000000" w:fill="FFFFFF"/>
            <w:noWrap/>
            <w:hideMark/>
          </w:tcPr>
          <w:p w14:paraId="0E1F5A93" w14:textId="50A37C56" w:rsidR="00B51AB0" w:rsidRPr="00210528" w:rsidRDefault="00B51AB0" w:rsidP="00B51AB0">
            <w:pPr>
              <w:keepNext/>
              <w:jc w:val="center"/>
              <w:rPr>
                <w:rFonts w:cs="Calibri"/>
                <w:sz w:val="22"/>
                <w:szCs w:val="22"/>
              </w:rPr>
            </w:pPr>
            <w:r w:rsidRPr="00BA2202">
              <w:rPr>
                <w:rFonts w:cs="Calibri"/>
                <w:sz w:val="22"/>
                <w:szCs w:val="22"/>
              </w:rPr>
              <w:t>n/a</w:t>
            </w:r>
          </w:p>
        </w:tc>
        <w:tc>
          <w:tcPr>
            <w:tcW w:w="990" w:type="dxa"/>
            <w:tcBorders>
              <w:top w:val="single" w:sz="4" w:space="0" w:color="auto"/>
              <w:left w:val="nil"/>
              <w:bottom w:val="single" w:sz="4" w:space="0" w:color="auto"/>
              <w:right w:val="single" w:sz="4" w:space="0" w:color="auto"/>
            </w:tcBorders>
            <w:shd w:val="clear" w:color="000000" w:fill="FFFFFF"/>
            <w:noWrap/>
            <w:hideMark/>
          </w:tcPr>
          <w:p w14:paraId="63E2726C" w14:textId="2AE5D705" w:rsidR="00B51AB0" w:rsidRPr="00210528" w:rsidRDefault="00B51AB0" w:rsidP="00B51AB0">
            <w:pPr>
              <w:keepNext/>
              <w:jc w:val="center"/>
              <w:rPr>
                <w:rFonts w:cs="Calibri"/>
                <w:sz w:val="22"/>
                <w:szCs w:val="22"/>
              </w:rPr>
            </w:pPr>
            <w:r w:rsidRPr="00BA2202">
              <w:rPr>
                <w:rFonts w:cs="Calibri"/>
                <w:sz w:val="22"/>
                <w:szCs w:val="22"/>
              </w:rPr>
              <w:t>n/a</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14:paraId="014C92D9" w14:textId="77777777" w:rsidR="00B51AB0" w:rsidRPr="00210528" w:rsidRDefault="00B51AB0" w:rsidP="00B51AB0">
            <w:pPr>
              <w:keepNext/>
              <w:jc w:val="center"/>
              <w:rPr>
                <w:rFonts w:cs="Calibri"/>
                <w:sz w:val="22"/>
                <w:szCs w:val="22"/>
              </w:rPr>
            </w:pPr>
            <w:r w:rsidRPr="00210528">
              <w:rPr>
                <w:rFonts w:cs="Calibri"/>
                <w:sz w:val="22"/>
                <w:szCs w:val="22"/>
              </w:rPr>
              <w:t>33.3%</w:t>
            </w:r>
          </w:p>
        </w:tc>
      </w:tr>
      <w:tr w:rsidR="00B51AB0" w:rsidRPr="00210528" w14:paraId="303B8605" w14:textId="77777777" w:rsidTr="00A46010">
        <w:trPr>
          <w:trHeight w:val="211"/>
          <w:jc w:val="center"/>
        </w:trPr>
        <w:tc>
          <w:tcPr>
            <w:tcW w:w="22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9C4F70" w14:textId="77777777" w:rsidR="00B51AB0" w:rsidRPr="00210528" w:rsidRDefault="00B51AB0" w:rsidP="00B51AB0">
            <w:pPr>
              <w:keepNext/>
              <w:jc w:val="center"/>
              <w:rPr>
                <w:rFonts w:cs="Calibri"/>
                <w:sz w:val="22"/>
                <w:szCs w:val="22"/>
              </w:rPr>
            </w:pPr>
            <w:r w:rsidRPr="00210528">
              <w:rPr>
                <w:rFonts w:cs="Calibri"/>
                <w:sz w:val="22"/>
                <w:szCs w:val="22"/>
              </w:rPr>
              <w:t>14</w:t>
            </w:r>
          </w:p>
        </w:tc>
        <w:tc>
          <w:tcPr>
            <w:tcW w:w="1107" w:type="dxa"/>
            <w:tcBorders>
              <w:top w:val="single" w:sz="4" w:space="0" w:color="auto"/>
              <w:left w:val="nil"/>
              <w:bottom w:val="single" w:sz="4" w:space="0" w:color="auto"/>
              <w:right w:val="single" w:sz="4" w:space="0" w:color="auto"/>
            </w:tcBorders>
            <w:shd w:val="clear" w:color="000000" w:fill="FFFFFF"/>
            <w:noWrap/>
            <w:hideMark/>
          </w:tcPr>
          <w:p w14:paraId="49A0348F" w14:textId="4E76A43F" w:rsidR="00B51AB0" w:rsidRPr="00210528" w:rsidRDefault="00B51AB0" w:rsidP="00B51AB0">
            <w:pPr>
              <w:keepNext/>
              <w:jc w:val="center"/>
              <w:rPr>
                <w:rFonts w:cs="Calibri"/>
                <w:sz w:val="22"/>
                <w:szCs w:val="22"/>
              </w:rPr>
            </w:pPr>
            <w:r w:rsidRPr="00BA2202">
              <w:rPr>
                <w:rFonts w:cs="Calibri"/>
                <w:sz w:val="22"/>
                <w:szCs w:val="22"/>
              </w:rPr>
              <w:t>n/a</w:t>
            </w:r>
          </w:p>
        </w:tc>
        <w:tc>
          <w:tcPr>
            <w:tcW w:w="990" w:type="dxa"/>
            <w:tcBorders>
              <w:top w:val="single" w:sz="4" w:space="0" w:color="auto"/>
              <w:left w:val="nil"/>
              <w:bottom w:val="single" w:sz="4" w:space="0" w:color="auto"/>
              <w:right w:val="single" w:sz="4" w:space="0" w:color="auto"/>
            </w:tcBorders>
            <w:shd w:val="clear" w:color="000000" w:fill="FFFFFF"/>
            <w:noWrap/>
            <w:hideMark/>
          </w:tcPr>
          <w:p w14:paraId="220D269F" w14:textId="3887DF07" w:rsidR="00B51AB0" w:rsidRPr="00210528" w:rsidRDefault="00B51AB0" w:rsidP="00B51AB0">
            <w:pPr>
              <w:keepNext/>
              <w:jc w:val="center"/>
              <w:rPr>
                <w:rFonts w:cs="Calibri"/>
                <w:sz w:val="22"/>
                <w:szCs w:val="22"/>
              </w:rPr>
            </w:pPr>
            <w:r w:rsidRPr="00BA2202">
              <w:rPr>
                <w:rFonts w:cs="Calibri"/>
                <w:sz w:val="22"/>
                <w:szCs w:val="22"/>
              </w:rPr>
              <w:t>n/a</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14:paraId="6D8F5EFA" w14:textId="77777777" w:rsidR="00B51AB0" w:rsidRPr="00210528" w:rsidRDefault="00B51AB0" w:rsidP="00B51AB0">
            <w:pPr>
              <w:keepNext/>
              <w:jc w:val="center"/>
              <w:rPr>
                <w:rFonts w:cs="Calibri"/>
                <w:sz w:val="22"/>
                <w:szCs w:val="22"/>
              </w:rPr>
            </w:pPr>
            <w:r w:rsidRPr="00210528">
              <w:rPr>
                <w:rFonts w:cs="Calibri"/>
                <w:sz w:val="22"/>
                <w:szCs w:val="22"/>
              </w:rPr>
              <w:t>0.0%</w:t>
            </w:r>
          </w:p>
        </w:tc>
      </w:tr>
      <w:tr w:rsidR="00B51AB0" w:rsidRPr="00210528" w14:paraId="15DB5311" w14:textId="77777777" w:rsidTr="00A46010">
        <w:trPr>
          <w:trHeight w:val="211"/>
          <w:jc w:val="center"/>
        </w:trPr>
        <w:tc>
          <w:tcPr>
            <w:tcW w:w="22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91488D" w14:textId="77777777" w:rsidR="00B51AB0" w:rsidRPr="00210528" w:rsidRDefault="00B51AB0" w:rsidP="00B51AB0">
            <w:pPr>
              <w:keepNext/>
              <w:jc w:val="center"/>
              <w:rPr>
                <w:rFonts w:cs="Calibri"/>
                <w:sz w:val="22"/>
                <w:szCs w:val="22"/>
              </w:rPr>
            </w:pPr>
            <w:r w:rsidRPr="00210528">
              <w:rPr>
                <w:rFonts w:cs="Calibri"/>
                <w:sz w:val="22"/>
                <w:szCs w:val="22"/>
              </w:rPr>
              <w:t>15</w:t>
            </w:r>
          </w:p>
        </w:tc>
        <w:tc>
          <w:tcPr>
            <w:tcW w:w="1107" w:type="dxa"/>
            <w:tcBorders>
              <w:top w:val="single" w:sz="4" w:space="0" w:color="auto"/>
              <w:left w:val="nil"/>
              <w:bottom w:val="single" w:sz="4" w:space="0" w:color="auto"/>
              <w:right w:val="single" w:sz="4" w:space="0" w:color="auto"/>
            </w:tcBorders>
            <w:shd w:val="clear" w:color="000000" w:fill="FFFFFF"/>
            <w:noWrap/>
            <w:vAlign w:val="center"/>
            <w:hideMark/>
          </w:tcPr>
          <w:p w14:paraId="3E994827" w14:textId="4F83D6B9" w:rsidR="00B51AB0" w:rsidRPr="00210528" w:rsidRDefault="00B51AB0" w:rsidP="00B51AB0">
            <w:pPr>
              <w:keepNext/>
              <w:jc w:val="center"/>
              <w:rPr>
                <w:rFonts w:cs="Calibri"/>
                <w:sz w:val="22"/>
                <w:szCs w:val="22"/>
              </w:rPr>
            </w:pPr>
            <w:r w:rsidRPr="00BA2202">
              <w:rPr>
                <w:rFonts w:cs="Calibri"/>
                <w:sz w:val="22"/>
                <w:szCs w:val="22"/>
              </w:rPr>
              <w:t>n/a</w:t>
            </w:r>
          </w:p>
        </w:tc>
        <w:tc>
          <w:tcPr>
            <w:tcW w:w="990" w:type="dxa"/>
            <w:tcBorders>
              <w:top w:val="single" w:sz="4" w:space="0" w:color="auto"/>
              <w:left w:val="nil"/>
              <w:bottom w:val="single" w:sz="4" w:space="0" w:color="auto"/>
              <w:right w:val="single" w:sz="4" w:space="0" w:color="auto"/>
            </w:tcBorders>
            <w:shd w:val="clear" w:color="000000" w:fill="FFFFFF"/>
            <w:noWrap/>
            <w:hideMark/>
          </w:tcPr>
          <w:p w14:paraId="1971CE9F" w14:textId="0FD1667B" w:rsidR="00B51AB0" w:rsidRPr="00210528" w:rsidRDefault="00B51AB0" w:rsidP="00B51AB0">
            <w:pPr>
              <w:keepNext/>
              <w:jc w:val="center"/>
              <w:rPr>
                <w:rFonts w:cs="Calibri"/>
                <w:sz w:val="22"/>
                <w:szCs w:val="22"/>
              </w:rPr>
            </w:pPr>
            <w:r w:rsidRPr="00BA2202">
              <w:rPr>
                <w:rFonts w:cs="Calibri"/>
                <w:sz w:val="22"/>
                <w:szCs w:val="22"/>
              </w:rPr>
              <w:t>n/a</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14:paraId="3E10640E" w14:textId="77777777" w:rsidR="00B51AB0" w:rsidRPr="00210528" w:rsidRDefault="00B51AB0" w:rsidP="00B51AB0">
            <w:pPr>
              <w:keepNext/>
              <w:jc w:val="center"/>
              <w:rPr>
                <w:rFonts w:cs="Calibri"/>
                <w:sz w:val="22"/>
                <w:szCs w:val="22"/>
              </w:rPr>
            </w:pPr>
            <w:r w:rsidRPr="00210528">
              <w:rPr>
                <w:rFonts w:cs="Calibri"/>
                <w:sz w:val="22"/>
                <w:szCs w:val="22"/>
              </w:rPr>
              <w:t>0.0%</w:t>
            </w:r>
          </w:p>
        </w:tc>
      </w:tr>
      <w:tr w:rsidR="00B51AB0" w:rsidRPr="00210528" w14:paraId="543F0142" w14:textId="77777777" w:rsidTr="00A46010">
        <w:trPr>
          <w:trHeight w:val="211"/>
          <w:jc w:val="center"/>
        </w:trPr>
        <w:tc>
          <w:tcPr>
            <w:tcW w:w="22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0E6ED2" w14:textId="77777777" w:rsidR="00B51AB0" w:rsidRPr="00210528" w:rsidRDefault="00B51AB0" w:rsidP="00B51AB0">
            <w:pPr>
              <w:keepNext/>
              <w:jc w:val="center"/>
              <w:rPr>
                <w:rFonts w:cs="Calibri"/>
                <w:sz w:val="22"/>
                <w:szCs w:val="22"/>
              </w:rPr>
            </w:pPr>
            <w:r w:rsidRPr="00210528">
              <w:rPr>
                <w:rFonts w:cs="Calibri"/>
                <w:sz w:val="22"/>
                <w:szCs w:val="22"/>
              </w:rPr>
              <w:t>20</w:t>
            </w:r>
          </w:p>
        </w:tc>
        <w:tc>
          <w:tcPr>
            <w:tcW w:w="1107" w:type="dxa"/>
            <w:tcBorders>
              <w:top w:val="single" w:sz="4" w:space="0" w:color="auto"/>
              <w:left w:val="nil"/>
              <w:bottom w:val="single" w:sz="4" w:space="0" w:color="auto"/>
              <w:right w:val="single" w:sz="4" w:space="0" w:color="auto"/>
            </w:tcBorders>
            <w:shd w:val="clear" w:color="000000" w:fill="FFFFFF"/>
            <w:noWrap/>
            <w:vAlign w:val="center"/>
            <w:hideMark/>
          </w:tcPr>
          <w:p w14:paraId="36BE383F" w14:textId="77777777" w:rsidR="00B51AB0" w:rsidRPr="00210528" w:rsidRDefault="00B51AB0" w:rsidP="00B51AB0">
            <w:pPr>
              <w:keepNext/>
              <w:jc w:val="center"/>
              <w:rPr>
                <w:rFonts w:cs="Calibri"/>
                <w:sz w:val="22"/>
                <w:szCs w:val="22"/>
              </w:rPr>
            </w:pPr>
            <w:r w:rsidRPr="00210528">
              <w:rPr>
                <w:rFonts w:cs="Calibri"/>
                <w:sz w:val="22"/>
                <w:szCs w:val="22"/>
              </w:rPr>
              <w:t>0.0%</w:t>
            </w:r>
          </w:p>
        </w:tc>
        <w:tc>
          <w:tcPr>
            <w:tcW w:w="990" w:type="dxa"/>
            <w:tcBorders>
              <w:top w:val="single" w:sz="4" w:space="0" w:color="auto"/>
              <w:left w:val="nil"/>
              <w:bottom w:val="single" w:sz="4" w:space="0" w:color="auto"/>
              <w:right w:val="single" w:sz="4" w:space="0" w:color="auto"/>
            </w:tcBorders>
            <w:shd w:val="clear" w:color="000000" w:fill="FFFFFF"/>
            <w:noWrap/>
            <w:vAlign w:val="center"/>
            <w:hideMark/>
          </w:tcPr>
          <w:p w14:paraId="3A808714" w14:textId="77777777" w:rsidR="00B51AB0" w:rsidRPr="00210528" w:rsidRDefault="00B51AB0" w:rsidP="00B51AB0">
            <w:pPr>
              <w:keepNext/>
              <w:jc w:val="center"/>
              <w:rPr>
                <w:rFonts w:cs="Calibri"/>
                <w:sz w:val="22"/>
                <w:szCs w:val="22"/>
              </w:rPr>
            </w:pPr>
            <w:r w:rsidRPr="00210528">
              <w:rPr>
                <w:rFonts w:cs="Calibri"/>
                <w:sz w:val="22"/>
                <w:szCs w:val="22"/>
              </w:rPr>
              <w:t>10.2%</w:t>
            </w:r>
          </w:p>
        </w:tc>
        <w:tc>
          <w:tcPr>
            <w:tcW w:w="1080" w:type="dxa"/>
            <w:tcBorders>
              <w:top w:val="single" w:sz="4" w:space="0" w:color="auto"/>
              <w:left w:val="nil"/>
              <w:bottom w:val="single" w:sz="4" w:space="0" w:color="auto"/>
              <w:right w:val="single" w:sz="4" w:space="0" w:color="auto"/>
            </w:tcBorders>
            <w:shd w:val="clear" w:color="000000" w:fill="FFFFFF"/>
            <w:noWrap/>
            <w:hideMark/>
          </w:tcPr>
          <w:p w14:paraId="6FCADAF6" w14:textId="6F55260B" w:rsidR="00B51AB0" w:rsidRPr="00210528" w:rsidRDefault="00B51AB0" w:rsidP="00B51AB0">
            <w:pPr>
              <w:keepNext/>
              <w:jc w:val="center"/>
              <w:rPr>
                <w:rFonts w:cs="Calibri"/>
                <w:sz w:val="22"/>
                <w:szCs w:val="22"/>
              </w:rPr>
            </w:pPr>
            <w:r w:rsidRPr="00BA2202">
              <w:rPr>
                <w:rFonts w:cs="Calibri"/>
                <w:sz w:val="22"/>
                <w:szCs w:val="22"/>
              </w:rPr>
              <w:t>n/a</w:t>
            </w:r>
          </w:p>
        </w:tc>
      </w:tr>
      <w:tr w:rsidR="00B51AB0" w:rsidRPr="00210528" w14:paraId="4E1CAC0A" w14:textId="77777777" w:rsidTr="00A46010">
        <w:trPr>
          <w:trHeight w:val="211"/>
          <w:jc w:val="center"/>
        </w:trPr>
        <w:tc>
          <w:tcPr>
            <w:tcW w:w="22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201E6A" w14:textId="77777777" w:rsidR="00B51AB0" w:rsidRPr="00210528" w:rsidRDefault="00B51AB0" w:rsidP="00B51AB0">
            <w:pPr>
              <w:keepNext/>
              <w:jc w:val="center"/>
              <w:rPr>
                <w:rFonts w:cs="Calibri"/>
                <w:sz w:val="22"/>
                <w:szCs w:val="22"/>
              </w:rPr>
            </w:pPr>
            <w:r w:rsidRPr="00210528">
              <w:rPr>
                <w:rFonts w:cs="Calibri"/>
                <w:sz w:val="22"/>
                <w:szCs w:val="22"/>
              </w:rPr>
              <w:t>21</w:t>
            </w:r>
          </w:p>
        </w:tc>
        <w:tc>
          <w:tcPr>
            <w:tcW w:w="1107" w:type="dxa"/>
            <w:tcBorders>
              <w:top w:val="single" w:sz="4" w:space="0" w:color="auto"/>
              <w:left w:val="nil"/>
              <w:bottom w:val="single" w:sz="4" w:space="0" w:color="auto"/>
              <w:right w:val="single" w:sz="4" w:space="0" w:color="auto"/>
            </w:tcBorders>
            <w:shd w:val="clear" w:color="000000" w:fill="FFFFFF"/>
            <w:noWrap/>
            <w:vAlign w:val="center"/>
            <w:hideMark/>
          </w:tcPr>
          <w:p w14:paraId="3B3B8F64" w14:textId="77777777" w:rsidR="00B51AB0" w:rsidRPr="00210528" w:rsidRDefault="00B51AB0" w:rsidP="00B51AB0">
            <w:pPr>
              <w:keepNext/>
              <w:jc w:val="center"/>
              <w:rPr>
                <w:rFonts w:cs="Calibri"/>
                <w:sz w:val="22"/>
                <w:szCs w:val="22"/>
              </w:rPr>
            </w:pPr>
            <w:r w:rsidRPr="00210528">
              <w:rPr>
                <w:rFonts w:cs="Calibri"/>
                <w:sz w:val="22"/>
                <w:szCs w:val="22"/>
              </w:rPr>
              <w:t>0.0%</w:t>
            </w:r>
          </w:p>
        </w:tc>
        <w:tc>
          <w:tcPr>
            <w:tcW w:w="990" w:type="dxa"/>
            <w:tcBorders>
              <w:top w:val="single" w:sz="4" w:space="0" w:color="auto"/>
              <w:left w:val="nil"/>
              <w:bottom w:val="single" w:sz="4" w:space="0" w:color="auto"/>
              <w:right w:val="single" w:sz="4" w:space="0" w:color="auto"/>
            </w:tcBorders>
            <w:shd w:val="clear" w:color="000000" w:fill="FFFFFF"/>
            <w:noWrap/>
            <w:vAlign w:val="center"/>
            <w:hideMark/>
          </w:tcPr>
          <w:p w14:paraId="76F8C2B8" w14:textId="77777777" w:rsidR="00B51AB0" w:rsidRPr="00210528" w:rsidRDefault="00B51AB0" w:rsidP="00B51AB0">
            <w:pPr>
              <w:keepNext/>
              <w:jc w:val="center"/>
              <w:rPr>
                <w:rFonts w:cs="Calibri"/>
                <w:sz w:val="22"/>
                <w:szCs w:val="22"/>
              </w:rPr>
            </w:pPr>
            <w:r w:rsidRPr="00210528">
              <w:rPr>
                <w:rFonts w:cs="Calibri"/>
                <w:sz w:val="22"/>
                <w:szCs w:val="22"/>
              </w:rPr>
              <w:t>10.2%</w:t>
            </w:r>
          </w:p>
        </w:tc>
        <w:tc>
          <w:tcPr>
            <w:tcW w:w="1080" w:type="dxa"/>
            <w:tcBorders>
              <w:top w:val="single" w:sz="4" w:space="0" w:color="auto"/>
              <w:left w:val="nil"/>
              <w:bottom w:val="single" w:sz="4" w:space="0" w:color="auto"/>
              <w:right w:val="single" w:sz="4" w:space="0" w:color="auto"/>
            </w:tcBorders>
            <w:shd w:val="clear" w:color="000000" w:fill="FFFFFF"/>
            <w:noWrap/>
            <w:hideMark/>
          </w:tcPr>
          <w:p w14:paraId="4053136A" w14:textId="30A15807" w:rsidR="00B51AB0" w:rsidRPr="00210528" w:rsidRDefault="00B51AB0" w:rsidP="00B51AB0">
            <w:pPr>
              <w:keepNext/>
              <w:jc w:val="center"/>
              <w:rPr>
                <w:rFonts w:cs="Calibri"/>
                <w:sz w:val="22"/>
                <w:szCs w:val="22"/>
              </w:rPr>
            </w:pPr>
            <w:r w:rsidRPr="00BA2202">
              <w:rPr>
                <w:rFonts w:cs="Calibri"/>
                <w:sz w:val="22"/>
                <w:szCs w:val="22"/>
              </w:rPr>
              <w:t>n/a</w:t>
            </w:r>
          </w:p>
        </w:tc>
      </w:tr>
      <w:tr w:rsidR="00B51AB0" w:rsidRPr="00210528" w14:paraId="23A8DB8C" w14:textId="77777777" w:rsidTr="00A46010">
        <w:trPr>
          <w:trHeight w:val="211"/>
          <w:jc w:val="center"/>
        </w:trPr>
        <w:tc>
          <w:tcPr>
            <w:tcW w:w="22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00D001" w14:textId="77777777" w:rsidR="00B51AB0" w:rsidRPr="00210528" w:rsidRDefault="00B51AB0" w:rsidP="00B51AB0">
            <w:pPr>
              <w:keepNext/>
              <w:jc w:val="center"/>
              <w:rPr>
                <w:rFonts w:cs="Calibri"/>
                <w:sz w:val="22"/>
                <w:szCs w:val="22"/>
              </w:rPr>
            </w:pPr>
            <w:r w:rsidRPr="00210528">
              <w:rPr>
                <w:rFonts w:cs="Calibri"/>
                <w:sz w:val="22"/>
                <w:szCs w:val="22"/>
              </w:rPr>
              <w:t>22</w:t>
            </w:r>
          </w:p>
        </w:tc>
        <w:tc>
          <w:tcPr>
            <w:tcW w:w="1107" w:type="dxa"/>
            <w:tcBorders>
              <w:top w:val="single" w:sz="4" w:space="0" w:color="auto"/>
              <w:left w:val="nil"/>
              <w:bottom w:val="single" w:sz="4" w:space="0" w:color="auto"/>
              <w:right w:val="single" w:sz="4" w:space="0" w:color="auto"/>
            </w:tcBorders>
            <w:shd w:val="clear" w:color="000000" w:fill="FFFFFF"/>
            <w:noWrap/>
            <w:vAlign w:val="center"/>
            <w:hideMark/>
          </w:tcPr>
          <w:p w14:paraId="63387E11" w14:textId="38BACAE7" w:rsidR="00B51AB0" w:rsidRPr="00210528" w:rsidRDefault="00B51AB0" w:rsidP="00B51AB0">
            <w:pPr>
              <w:keepNext/>
              <w:jc w:val="center"/>
              <w:rPr>
                <w:rFonts w:cs="Calibri"/>
                <w:sz w:val="22"/>
                <w:szCs w:val="22"/>
              </w:rPr>
            </w:pPr>
            <w:r w:rsidRPr="00BA2202">
              <w:rPr>
                <w:rFonts w:cs="Calibri"/>
                <w:sz w:val="22"/>
                <w:szCs w:val="22"/>
              </w:rPr>
              <w:t>n/a</w:t>
            </w:r>
          </w:p>
        </w:tc>
        <w:tc>
          <w:tcPr>
            <w:tcW w:w="990" w:type="dxa"/>
            <w:tcBorders>
              <w:top w:val="single" w:sz="4" w:space="0" w:color="auto"/>
              <w:left w:val="nil"/>
              <w:bottom w:val="single" w:sz="4" w:space="0" w:color="auto"/>
              <w:right w:val="single" w:sz="4" w:space="0" w:color="auto"/>
            </w:tcBorders>
            <w:shd w:val="clear" w:color="000000" w:fill="FFFFFF"/>
            <w:noWrap/>
            <w:vAlign w:val="center"/>
            <w:hideMark/>
          </w:tcPr>
          <w:p w14:paraId="09494BDD" w14:textId="77777777" w:rsidR="00B51AB0" w:rsidRPr="00210528" w:rsidRDefault="00B51AB0" w:rsidP="00B51AB0">
            <w:pPr>
              <w:keepNext/>
              <w:jc w:val="center"/>
              <w:rPr>
                <w:rFonts w:cs="Calibri"/>
                <w:sz w:val="22"/>
                <w:szCs w:val="22"/>
              </w:rPr>
            </w:pPr>
            <w:r w:rsidRPr="00210528">
              <w:rPr>
                <w:rFonts w:cs="Calibri"/>
                <w:sz w:val="22"/>
                <w:szCs w:val="22"/>
              </w:rPr>
              <w:t>15.1%</w:t>
            </w:r>
          </w:p>
        </w:tc>
        <w:tc>
          <w:tcPr>
            <w:tcW w:w="1080" w:type="dxa"/>
            <w:tcBorders>
              <w:top w:val="single" w:sz="4" w:space="0" w:color="auto"/>
              <w:left w:val="nil"/>
              <w:bottom w:val="single" w:sz="4" w:space="0" w:color="auto"/>
              <w:right w:val="single" w:sz="4" w:space="0" w:color="auto"/>
            </w:tcBorders>
            <w:shd w:val="clear" w:color="000000" w:fill="FFFFFF"/>
            <w:noWrap/>
            <w:hideMark/>
          </w:tcPr>
          <w:p w14:paraId="5BF01029" w14:textId="7106C8E5" w:rsidR="00B51AB0" w:rsidRPr="00210528" w:rsidRDefault="00B51AB0" w:rsidP="00B51AB0">
            <w:pPr>
              <w:keepNext/>
              <w:jc w:val="center"/>
              <w:rPr>
                <w:rFonts w:cs="Calibri"/>
                <w:sz w:val="22"/>
                <w:szCs w:val="22"/>
              </w:rPr>
            </w:pPr>
            <w:r w:rsidRPr="00BA2202">
              <w:rPr>
                <w:rFonts w:cs="Calibri"/>
                <w:sz w:val="22"/>
                <w:szCs w:val="22"/>
              </w:rPr>
              <w:t>n/a</w:t>
            </w:r>
          </w:p>
        </w:tc>
      </w:tr>
      <w:tr w:rsidR="00B51AB0" w:rsidRPr="00210528" w14:paraId="748C1A0D" w14:textId="77777777" w:rsidTr="00111550">
        <w:trPr>
          <w:trHeight w:val="455"/>
          <w:jc w:val="center"/>
        </w:trPr>
        <w:tc>
          <w:tcPr>
            <w:tcW w:w="22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FB5DDB" w14:textId="77777777" w:rsidR="00B51AB0" w:rsidRPr="00210528" w:rsidRDefault="00B51AB0" w:rsidP="00B51AB0">
            <w:pPr>
              <w:keepNext/>
              <w:jc w:val="center"/>
              <w:rPr>
                <w:rFonts w:cs="Calibri"/>
                <w:color w:val="000000"/>
                <w:sz w:val="22"/>
                <w:szCs w:val="22"/>
              </w:rPr>
            </w:pPr>
            <w:r w:rsidRPr="00210528">
              <w:rPr>
                <w:rFonts w:cs="Calibri"/>
                <w:color w:val="000000"/>
                <w:sz w:val="22"/>
                <w:szCs w:val="22"/>
              </w:rPr>
              <w:t>Average Event Hour</w:t>
            </w:r>
          </w:p>
        </w:tc>
        <w:tc>
          <w:tcPr>
            <w:tcW w:w="1107" w:type="dxa"/>
            <w:tcBorders>
              <w:top w:val="single" w:sz="4" w:space="0" w:color="auto"/>
              <w:left w:val="nil"/>
              <w:bottom w:val="single" w:sz="4" w:space="0" w:color="auto"/>
              <w:right w:val="single" w:sz="4" w:space="0" w:color="auto"/>
            </w:tcBorders>
            <w:shd w:val="clear" w:color="000000" w:fill="FFFFFF"/>
            <w:noWrap/>
            <w:vAlign w:val="center"/>
            <w:hideMark/>
          </w:tcPr>
          <w:p w14:paraId="094C65CA" w14:textId="77777777" w:rsidR="00B51AB0" w:rsidRPr="00210528" w:rsidRDefault="00B51AB0" w:rsidP="00B51AB0">
            <w:pPr>
              <w:keepNext/>
              <w:jc w:val="center"/>
              <w:rPr>
                <w:rFonts w:cs="Calibri"/>
                <w:color w:val="000000"/>
                <w:sz w:val="22"/>
                <w:szCs w:val="22"/>
              </w:rPr>
            </w:pPr>
            <w:r w:rsidRPr="00210528">
              <w:rPr>
                <w:rFonts w:cs="Calibri"/>
                <w:color w:val="000000"/>
                <w:sz w:val="22"/>
                <w:szCs w:val="22"/>
              </w:rPr>
              <w:t>0.0%</w:t>
            </w:r>
          </w:p>
        </w:tc>
        <w:tc>
          <w:tcPr>
            <w:tcW w:w="990" w:type="dxa"/>
            <w:tcBorders>
              <w:top w:val="single" w:sz="4" w:space="0" w:color="auto"/>
              <w:left w:val="nil"/>
              <w:bottom w:val="single" w:sz="4" w:space="0" w:color="auto"/>
              <w:right w:val="single" w:sz="4" w:space="0" w:color="auto"/>
            </w:tcBorders>
            <w:shd w:val="clear" w:color="000000" w:fill="FFFFFF"/>
            <w:noWrap/>
            <w:vAlign w:val="center"/>
            <w:hideMark/>
          </w:tcPr>
          <w:p w14:paraId="52E9B7F2" w14:textId="77777777" w:rsidR="00B51AB0" w:rsidRPr="00210528" w:rsidRDefault="00B51AB0" w:rsidP="00B51AB0">
            <w:pPr>
              <w:keepNext/>
              <w:jc w:val="center"/>
              <w:rPr>
                <w:rFonts w:cs="Calibri"/>
                <w:color w:val="000000"/>
                <w:sz w:val="22"/>
                <w:szCs w:val="22"/>
              </w:rPr>
            </w:pPr>
            <w:r w:rsidRPr="00210528">
              <w:rPr>
                <w:rFonts w:cs="Calibri"/>
                <w:color w:val="000000"/>
                <w:sz w:val="22"/>
                <w:szCs w:val="22"/>
              </w:rPr>
              <w:t>11.8%</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14:paraId="6B429647" w14:textId="77777777" w:rsidR="00B51AB0" w:rsidRPr="00210528" w:rsidRDefault="00B51AB0" w:rsidP="00B51AB0">
            <w:pPr>
              <w:keepNext/>
              <w:jc w:val="center"/>
              <w:rPr>
                <w:rFonts w:cs="Calibri"/>
                <w:color w:val="000000"/>
                <w:sz w:val="22"/>
                <w:szCs w:val="22"/>
              </w:rPr>
            </w:pPr>
            <w:r w:rsidRPr="00210528">
              <w:rPr>
                <w:rFonts w:cs="Calibri"/>
                <w:color w:val="000000"/>
                <w:sz w:val="22"/>
                <w:szCs w:val="22"/>
              </w:rPr>
              <w:t>8.3%</w:t>
            </w:r>
          </w:p>
        </w:tc>
      </w:tr>
    </w:tbl>
    <w:p w14:paraId="4AB290FD" w14:textId="77777777" w:rsidR="00210528" w:rsidRDefault="00210528" w:rsidP="00210528">
      <w:pPr>
        <w:pStyle w:val="TableCaption"/>
        <w:keepNext/>
        <w:keepLines/>
      </w:pPr>
    </w:p>
    <w:p w14:paraId="4B59CEA0" w14:textId="14ECA073" w:rsidR="00614D97" w:rsidRDefault="00614D97" w:rsidP="00614D97">
      <w:pPr>
        <w:pStyle w:val="Heading2"/>
      </w:pPr>
      <w:bookmarkStart w:id="293" w:name="_Toc510091153"/>
      <w:r>
        <w:t>A.3 Comparison of Predicted and Observed Loads on Event-like Days</w:t>
      </w:r>
      <w:bookmarkEnd w:id="291"/>
      <w:bookmarkEnd w:id="293"/>
    </w:p>
    <w:p w14:paraId="4F589E50" w14:textId="184A034F" w:rsidR="00614D97" w:rsidRDefault="00614D97" w:rsidP="00614D97">
      <w:r>
        <w:t>The model specification tests are based on the ability of the model to predict program load on event-like non-event days. Figure</w:t>
      </w:r>
      <w:r w:rsidR="004A36A0">
        <w:t>s</w:t>
      </w:r>
      <w:r>
        <w:t xml:space="preserve"> A.1</w:t>
      </w:r>
      <w:r w:rsidR="00FB657E">
        <w:t xml:space="preserve"> through </w:t>
      </w:r>
      <w:r w:rsidR="004A36A0">
        <w:t xml:space="preserve">A.3 illustrate each utility’s </w:t>
      </w:r>
      <w:r>
        <w:t xml:space="preserve">average predicted and observed loads across the event-like days using the specification chosen (by industry and weather sensitivity) for each customer. In each figure, the solid line represents the observed load and the dashed line represents the load predicted by the statistical model. </w:t>
      </w:r>
      <w:r w:rsidR="00C5553F">
        <w:t>These figures show</w:t>
      </w:r>
      <w:r w:rsidRPr="00372340">
        <w:t xml:space="preserve"> that the predicted loads are quite close to the observed loads for the event-like non-event days</w:t>
      </w:r>
      <w:r>
        <w:t xml:space="preserve">. </w:t>
      </w:r>
    </w:p>
    <w:p w14:paraId="3E6F98E0" w14:textId="77777777" w:rsidR="00614D97" w:rsidRPr="00A73CCD" w:rsidRDefault="00614D97" w:rsidP="00614D97">
      <w:pPr>
        <w:jc w:val="center"/>
      </w:pPr>
    </w:p>
    <w:p w14:paraId="5A4898F3" w14:textId="1396E42B" w:rsidR="00614D97" w:rsidRDefault="00614D97" w:rsidP="00614D97">
      <w:pPr>
        <w:pStyle w:val="FigureCaption"/>
        <w:keepNext/>
        <w:keepLines/>
      </w:pPr>
      <w:bookmarkStart w:id="294" w:name="_Toc504832939"/>
      <w:bookmarkStart w:id="295" w:name="_Toc508800283"/>
      <w:r w:rsidRPr="00A73CCD">
        <w:lastRenderedPageBreak/>
        <w:t xml:space="preserve">Figure </w:t>
      </w:r>
      <w:r>
        <w:t>A</w:t>
      </w:r>
      <w:r w:rsidRPr="00A73CCD">
        <w:t>.</w:t>
      </w:r>
      <w:r>
        <w:t>1</w:t>
      </w:r>
      <w:r w:rsidRPr="00A73CCD">
        <w:t>: Average Predicted and Observed Loads on Event-like Days</w:t>
      </w:r>
      <w:bookmarkEnd w:id="294"/>
      <w:r w:rsidR="00060718">
        <w:t>, PG&amp;E</w:t>
      </w:r>
      <w:bookmarkEnd w:id="295"/>
    </w:p>
    <w:p w14:paraId="2E20785F" w14:textId="195D32F0" w:rsidR="00614D97" w:rsidRDefault="002302C9" w:rsidP="00060718">
      <w:pPr>
        <w:jc w:val="center"/>
      </w:pPr>
      <w:r>
        <w:rPr>
          <w:noProof/>
        </w:rPr>
        <w:drawing>
          <wp:inline distT="0" distB="0" distL="0" distR="0" wp14:anchorId="33A8B12D" wp14:editId="028DEA2B">
            <wp:extent cx="4572635" cy="2743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2EB6A30A" w14:textId="73107422" w:rsidR="00614D97" w:rsidRDefault="00614D97" w:rsidP="00614D97">
      <w:pPr>
        <w:jc w:val="center"/>
      </w:pPr>
    </w:p>
    <w:p w14:paraId="585041E9" w14:textId="07B736F5" w:rsidR="00060718" w:rsidRDefault="00060718" w:rsidP="00060718">
      <w:pPr>
        <w:pStyle w:val="FigureCaption"/>
        <w:keepNext/>
        <w:keepLines/>
      </w:pPr>
      <w:bookmarkStart w:id="296" w:name="_Toc508800284"/>
      <w:r w:rsidRPr="00A73CCD">
        <w:t xml:space="preserve">Figure </w:t>
      </w:r>
      <w:r>
        <w:t>A</w:t>
      </w:r>
      <w:r w:rsidRPr="00A73CCD">
        <w:t>.</w:t>
      </w:r>
      <w:r w:rsidR="006B55F6">
        <w:t>2</w:t>
      </w:r>
      <w:r w:rsidRPr="00A73CCD">
        <w:t>: Average Predicted and Observed Loads on Event-like Days</w:t>
      </w:r>
      <w:r>
        <w:t>, SCE</w:t>
      </w:r>
      <w:bookmarkEnd w:id="296"/>
    </w:p>
    <w:p w14:paraId="19FD60BD" w14:textId="0EDB8F73" w:rsidR="00060718" w:rsidRDefault="002302C9" w:rsidP="00060718">
      <w:pPr>
        <w:jc w:val="center"/>
      </w:pPr>
      <w:r>
        <w:rPr>
          <w:noProof/>
        </w:rPr>
        <w:drawing>
          <wp:inline distT="0" distB="0" distL="0" distR="0" wp14:anchorId="724D200B" wp14:editId="22D98BF9">
            <wp:extent cx="4572635" cy="2743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2874E504" w14:textId="636F0085" w:rsidR="00060718" w:rsidRDefault="00060718" w:rsidP="00060718">
      <w:pPr>
        <w:jc w:val="center"/>
      </w:pPr>
    </w:p>
    <w:p w14:paraId="653B345E" w14:textId="77777777" w:rsidR="00060718" w:rsidRDefault="00060718" w:rsidP="00060718">
      <w:pPr>
        <w:jc w:val="center"/>
      </w:pPr>
    </w:p>
    <w:p w14:paraId="7D6EB40D" w14:textId="5241CC47" w:rsidR="00060718" w:rsidRDefault="00060718" w:rsidP="00060718">
      <w:pPr>
        <w:pStyle w:val="FigureCaption"/>
        <w:keepNext/>
        <w:keepLines/>
      </w:pPr>
      <w:bookmarkStart w:id="297" w:name="_Toc508800285"/>
      <w:r w:rsidRPr="00A73CCD">
        <w:lastRenderedPageBreak/>
        <w:t xml:space="preserve">Figure </w:t>
      </w:r>
      <w:r>
        <w:t>A</w:t>
      </w:r>
      <w:r w:rsidRPr="00A73CCD">
        <w:t>.</w:t>
      </w:r>
      <w:r w:rsidR="006B55F6">
        <w:t>3</w:t>
      </w:r>
      <w:r w:rsidRPr="00A73CCD">
        <w:t>: Average Predicted and Observed Loads on Event-like Days</w:t>
      </w:r>
      <w:r>
        <w:t>, SDG&amp;E</w:t>
      </w:r>
      <w:bookmarkEnd w:id="297"/>
    </w:p>
    <w:p w14:paraId="1AFE41A6" w14:textId="1F1A78EE" w:rsidR="00060718" w:rsidRDefault="002302C9" w:rsidP="002302C9">
      <w:pPr>
        <w:jc w:val="center"/>
      </w:pPr>
      <w:r>
        <w:rPr>
          <w:noProof/>
        </w:rPr>
        <w:drawing>
          <wp:inline distT="0" distB="0" distL="0" distR="0" wp14:anchorId="444CDF6C" wp14:editId="14B92DB0">
            <wp:extent cx="4572635" cy="2743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27293893" w14:textId="78EA8B57" w:rsidR="00060718" w:rsidRDefault="00060718" w:rsidP="00060718">
      <w:pPr>
        <w:jc w:val="center"/>
      </w:pPr>
    </w:p>
    <w:p w14:paraId="18F40823" w14:textId="77777777" w:rsidR="003935D1" w:rsidRDefault="003935D1" w:rsidP="003935D1">
      <w:pPr>
        <w:pStyle w:val="Heading1"/>
      </w:pPr>
      <w:bookmarkStart w:id="298" w:name="_Toc510091154"/>
      <w:r w:rsidRPr="00E9179C">
        <w:t>Appendix B. FSL Achievement by Industry Group</w:t>
      </w:r>
      <w:bookmarkEnd w:id="298"/>
    </w:p>
    <w:p w14:paraId="64E8D458" w14:textId="77777777" w:rsidR="003935D1" w:rsidRDefault="003935D1" w:rsidP="003935D1">
      <w:r>
        <w:t xml:space="preserve">This appendix contains tables showing the FSL achievement by industry group and hour (relative to the called event window) for the events used as the basis for the </w:t>
      </w:r>
      <w:r w:rsidRPr="002E033B">
        <w:rPr>
          <w:i/>
        </w:rPr>
        <w:t>ex-ante</w:t>
      </w:r>
      <w:r>
        <w:t xml:space="preserve"> load impacts. FSL achievement is defined as the estimated </w:t>
      </w:r>
      <w:r w:rsidRPr="002E033B">
        <w:rPr>
          <w:i/>
        </w:rPr>
        <w:t>ex-post</w:t>
      </w:r>
      <w:r>
        <w:t xml:space="preserve"> load impact divided by the difference between the reference load and the FSL. The denominator represents the load impact required to exactly meet the customer’s BIP obligation. Because BIP events do not always begin and end on the hour, the hours before and after the event are not always well-defined. The notes following each table indicate the included hours.</w:t>
      </w:r>
    </w:p>
    <w:p w14:paraId="5327258F" w14:textId="77777777" w:rsidR="003935D1" w:rsidRPr="00AC500D" w:rsidRDefault="003935D1" w:rsidP="003935D1"/>
    <w:p w14:paraId="1E08EB4A" w14:textId="5625F255" w:rsidR="003935D1" w:rsidRDefault="003935D1" w:rsidP="003935D1">
      <w:pPr>
        <w:pStyle w:val="TableCaption"/>
        <w:keepNext/>
        <w:keepLines/>
        <w:rPr>
          <w:i/>
        </w:rPr>
      </w:pPr>
      <w:bookmarkStart w:id="299" w:name="_Toc447099778"/>
      <w:bookmarkStart w:id="300" w:name="_Toc508800260"/>
      <w:r>
        <w:t>Table B.1</w:t>
      </w:r>
      <w:r w:rsidRPr="00852320">
        <w:t xml:space="preserve">: </w:t>
      </w:r>
      <w:r w:rsidR="00AB4513">
        <w:t>May 3, 2017</w:t>
      </w:r>
      <w:r>
        <w:t xml:space="preserve"> Over/Under Performance – PG&amp;E BI</w:t>
      </w:r>
      <w:r w:rsidRPr="00852320">
        <w:t xml:space="preserve">P, </w:t>
      </w:r>
      <w:r w:rsidRPr="00852320">
        <w:rPr>
          <w:i/>
        </w:rPr>
        <w:t>by Industry Group</w:t>
      </w:r>
      <w:r>
        <w:rPr>
          <w:i/>
        </w:rPr>
        <w:t xml:space="preserve"> and Event Hour</w:t>
      </w:r>
      <w:bookmarkEnd w:id="299"/>
      <w:bookmarkEnd w:id="300"/>
    </w:p>
    <w:tbl>
      <w:tblPr>
        <w:tblW w:w="7870" w:type="dxa"/>
        <w:jc w:val="center"/>
        <w:tblLook w:val="04A0" w:firstRow="1" w:lastRow="0" w:firstColumn="1" w:lastColumn="0" w:noHBand="0" w:noVBand="1"/>
      </w:tblPr>
      <w:tblGrid>
        <w:gridCol w:w="3600"/>
        <w:gridCol w:w="1080"/>
        <w:gridCol w:w="1080"/>
        <w:gridCol w:w="1018"/>
        <w:gridCol w:w="1092"/>
      </w:tblGrid>
      <w:tr w:rsidR="003935D1" w:rsidRPr="003935D1" w14:paraId="411EFBF4" w14:textId="77777777" w:rsidTr="0086367A">
        <w:trPr>
          <w:trHeight w:val="272"/>
          <w:jc w:val="center"/>
        </w:trPr>
        <w:tc>
          <w:tcPr>
            <w:tcW w:w="3600" w:type="dxa"/>
            <w:vMerge w:val="restart"/>
            <w:tcBorders>
              <w:top w:val="single" w:sz="4" w:space="0" w:color="auto"/>
              <w:left w:val="single" w:sz="4" w:space="0" w:color="auto"/>
              <w:bottom w:val="nil"/>
              <w:right w:val="single" w:sz="4" w:space="0" w:color="FFFFFF"/>
            </w:tcBorders>
            <w:shd w:val="clear" w:color="auto" w:fill="0C2577"/>
            <w:noWrap/>
            <w:vAlign w:val="bottom"/>
            <w:hideMark/>
          </w:tcPr>
          <w:p w14:paraId="710F3326" w14:textId="77777777" w:rsidR="003935D1" w:rsidRPr="003935D1" w:rsidRDefault="003935D1" w:rsidP="003935D1">
            <w:pPr>
              <w:jc w:val="center"/>
              <w:rPr>
                <w:rFonts w:cs="Calibri"/>
                <w:b/>
                <w:bCs/>
                <w:color w:val="FFFFFF"/>
                <w:sz w:val="22"/>
                <w:szCs w:val="22"/>
              </w:rPr>
            </w:pPr>
            <w:r w:rsidRPr="003935D1">
              <w:rPr>
                <w:rFonts w:cs="Calibri"/>
                <w:b/>
                <w:bCs/>
                <w:color w:val="FFFFFF"/>
                <w:sz w:val="22"/>
                <w:szCs w:val="22"/>
              </w:rPr>
              <w:t>Industry Group</w:t>
            </w:r>
          </w:p>
        </w:tc>
        <w:tc>
          <w:tcPr>
            <w:tcW w:w="4270" w:type="dxa"/>
            <w:gridSpan w:val="4"/>
            <w:tcBorders>
              <w:top w:val="single" w:sz="4" w:space="0" w:color="auto"/>
              <w:left w:val="nil"/>
              <w:bottom w:val="nil"/>
              <w:right w:val="single" w:sz="4" w:space="0" w:color="auto"/>
            </w:tcBorders>
            <w:shd w:val="clear" w:color="auto" w:fill="0C2577"/>
            <w:noWrap/>
            <w:vAlign w:val="bottom"/>
            <w:hideMark/>
          </w:tcPr>
          <w:p w14:paraId="6F2A3422" w14:textId="77777777" w:rsidR="003935D1" w:rsidRPr="003935D1" w:rsidRDefault="003935D1" w:rsidP="003935D1">
            <w:pPr>
              <w:jc w:val="center"/>
              <w:rPr>
                <w:rFonts w:cs="Calibri"/>
                <w:b/>
                <w:bCs/>
                <w:color w:val="FFFFFF"/>
                <w:sz w:val="22"/>
                <w:szCs w:val="22"/>
              </w:rPr>
            </w:pPr>
            <w:r w:rsidRPr="003935D1">
              <w:rPr>
                <w:rFonts w:cs="Calibri"/>
                <w:b/>
                <w:bCs/>
                <w:color w:val="FFFFFF"/>
                <w:sz w:val="22"/>
                <w:szCs w:val="22"/>
              </w:rPr>
              <w:t>Percent Over/Under Performance</w:t>
            </w:r>
          </w:p>
        </w:tc>
      </w:tr>
      <w:tr w:rsidR="003935D1" w:rsidRPr="003935D1" w14:paraId="029353CA" w14:textId="77777777" w:rsidTr="0086367A">
        <w:trPr>
          <w:trHeight w:val="557"/>
          <w:jc w:val="center"/>
        </w:trPr>
        <w:tc>
          <w:tcPr>
            <w:tcW w:w="3600" w:type="dxa"/>
            <w:vMerge/>
            <w:tcBorders>
              <w:top w:val="nil"/>
              <w:left w:val="single" w:sz="4" w:space="0" w:color="auto"/>
              <w:bottom w:val="nil"/>
              <w:right w:val="single" w:sz="4" w:space="0" w:color="FFFFFF"/>
            </w:tcBorders>
            <w:shd w:val="clear" w:color="auto" w:fill="0C2577"/>
            <w:vAlign w:val="center"/>
            <w:hideMark/>
          </w:tcPr>
          <w:p w14:paraId="5CB4A65E" w14:textId="77777777" w:rsidR="003935D1" w:rsidRPr="003935D1" w:rsidRDefault="003935D1" w:rsidP="003935D1">
            <w:pPr>
              <w:rPr>
                <w:rFonts w:cs="Calibri"/>
                <w:b/>
                <w:bCs/>
                <w:color w:val="FFFFFF"/>
                <w:sz w:val="22"/>
                <w:szCs w:val="22"/>
              </w:rPr>
            </w:pPr>
          </w:p>
        </w:tc>
        <w:tc>
          <w:tcPr>
            <w:tcW w:w="1080" w:type="dxa"/>
            <w:tcBorders>
              <w:top w:val="single" w:sz="4" w:space="0" w:color="FFFFFF"/>
              <w:left w:val="nil"/>
              <w:bottom w:val="nil"/>
              <w:right w:val="nil"/>
            </w:tcBorders>
            <w:shd w:val="clear" w:color="auto" w:fill="0C2577"/>
            <w:vAlign w:val="bottom"/>
            <w:hideMark/>
          </w:tcPr>
          <w:p w14:paraId="195F3F1D" w14:textId="77777777" w:rsidR="003935D1" w:rsidRPr="003935D1" w:rsidRDefault="003935D1" w:rsidP="003935D1">
            <w:pPr>
              <w:jc w:val="center"/>
              <w:rPr>
                <w:rFonts w:cs="Calibri"/>
                <w:b/>
                <w:bCs/>
                <w:color w:val="FFFFFF"/>
                <w:sz w:val="22"/>
                <w:szCs w:val="22"/>
              </w:rPr>
            </w:pPr>
            <w:r w:rsidRPr="003935D1">
              <w:rPr>
                <w:rFonts w:cs="Calibri"/>
                <w:b/>
                <w:bCs/>
                <w:color w:val="FFFFFF"/>
                <w:sz w:val="22"/>
                <w:szCs w:val="22"/>
              </w:rPr>
              <w:t>Hour Before Event</w:t>
            </w:r>
          </w:p>
        </w:tc>
        <w:tc>
          <w:tcPr>
            <w:tcW w:w="1080" w:type="dxa"/>
            <w:tcBorders>
              <w:top w:val="single" w:sz="4" w:space="0" w:color="FFFFFF"/>
              <w:left w:val="single" w:sz="4" w:space="0" w:color="FFFFFF"/>
              <w:bottom w:val="nil"/>
              <w:right w:val="single" w:sz="4" w:space="0" w:color="FFFFFF"/>
            </w:tcBorders>
            <w:shd w:val="clear" w:color="auto" w:fill="0C2577"/>
            <w:vAlign w:val="bottom"/>
            <w:hideMark/>
          </w:tcPr>
          <w:p w14:paraId="760502A4" w14:textId="77777777" w:rsidR="003935D1" w:rsidRPr="003935D1" w:rsidRDefault="003935D1" w:rsidP="003935D1">
            <w:pPr>
              <w:jc w:val="center"/>
              <w:rPr>
                <w:rFonts w:cs="Calibri"/>
                <w:b/>
                <w:bCs/>
                <w:color w:val="FFFFFF"/>
                <w:sz w:val="22"/>
                <w:szCs w:val="22"/>
              </w:rPr>
            </w:pPr>
            <w:r w:rsidRPr="003935D1">
              <w:rPr>
                <w:rFonts w:cs="Calibri"/>
                <w:b/>
                <w:bCs/>
                <w:color w:val="FFFFFF"/>
                <w:sz w:val="22"/>
                <w:szCs w:val="22"/>
              </w:rPr>
              <w:t>First Hour of Event</w:t>
            </w:r>
          </w:p>
        </w:tc>
        <w:tc>
          <w:tcPr>
            <w:tcW w:w="1018" w:type="dxa"/>
            <w:tcBorders>
              <w:top w:val="single" w:sz="4" w:space="0" w:color="FFFFFF"/>
              <w:left w:val="nil"/>
              <w:bottom w:val="nil"/>
              <w:right w:val="nil"/>
            </w:tcBorders>
            <w:shd w:val="clear" w:color="auto" w:fill="0C2577"/>
            <w:vAlign w:val="bottom"/>
            <w:hideMark/>
          </w:tcPr>
          <w:p w14:paraId="394335E1" w14:textId="77777777" w:rsidR="003935D1" w:rsidRPr="003935D1" w:rsidRDefault="003935D1" w:rsidP="003935D1">
            <w:pPr>
              <w:jc w:val="center"/>
              <w:rPr>
                <w:rFonts w:cs="Calibri"/>
                <w:b/>
                <w:bCs/>
                <w:color w:val="FFFFFF"/>
                <w:sz w:val="22"/>
                <w:szCs w:val="22"/>
              </w:rPr>
            </w:pPr>
            <w:r w:rsidRPr="003935D1">
              <w:rPr>
                <w:rFonts w:cs="Calibri"/>
                <w:b/>
                <w:bCs/>
                <w:color w:val="FFFFFF"/>
                <w:sz w:val="22"/>
                <w:szCs w:val="22"/>
              </w:rPr>
              <w:t>Last Hour of Event</w:t>
            </w:r>
          </w:p>
        </w:tc>
        <w:tc>
          <w:tcPr>
            <w:tcW w:w="1092" w:type="dxa"/>
            <w:tcBorders>
              <w:top w:val="single" w:sz="4" w:space="0" w:color="FFFFFF"/>
              <w:left w:val="single" w:sz="4" w:space="0" w:color="FFFFFF"/>
              <w:bottom w:val="nil"/>
              <w:right w:val="single" w:sz="4" w:space="0" w:color="auto"/>
            </w:tcBorders>
            <w:shd w:val="clear" w:color="auto" w:fill="0C2577"/>
            <w:vAlign w:val="bottom"/>
            <w:hideMark/>
          </w:tcPr>
          <w:p w14:paraId="6276CC95" w14:textId="77777777" w:rsidR="003935D1" w:rsidRPr="003935D1" w:rsidRDefault="003935D1" w:rsidP="003935D1">
            <w:pPr>
              <w:jc w:val="center"/>
              <w:rPr>
                <w:rFonts w:cs="Calibri"/>
                <w:b/>
                <w:bCs/>
                <w:color w:val="FFFFFF"/>
                <w:sz w:val="22"/>
                <w:szCs w:val="22"/>
              </w:rPr>
            </w:pPr>
            <w:r w:rsidRPr="003935D1">
              <w:rPr>
                <w:rFonts w:cs="Calibri"/>
                <w:b/>
                <w:bCs/>
                <w:color w:val="FFFFFF"/>
                <w:sz w:val="22"/>
                <w:szCs w:val="22"/>
              </w:rPr>
              <w:t>Hour After Event</w:t>
            </w:r>
          </w:p>
        </w:tc>
      </w:tr>
      <w:tr w:rsidR="003935D1" w:rsidRPr="003935D1" w14:paraId="164943F3" w14:textId="77777777" w:rsidTr="007357E6">
        <w:trPr>
          <w:trHeight w:val="259"/>
          <w:jc w:val="center"/>
        </w:trPr>
        <w:tc>
          <w:tcPr>
            <w:tcW w:w="3600" w:type="dxa"/>
            <w:tcBorders>
              <w:top w:val="single" w:sz="4" w:space="0" w:color="FFFFFF"/>
              <w:left w:val="single" w:sz="4" w:space="0" w:color="auto"/>
              <w:bottom w:val="nil"/>
              <w:right w:val="single" w:sz="4" w:space="0" w:color="auto"/>
            </w:tcBorders>
            <w:shd w:val="clear" w:color="000000" w:fill="FFFFFF"/>
            <w:noWrap/>
            <w:vAlign w:val="center"/>
            <w:hideMark/>
          </w:tcPr>
          <w:p w14:paraId="69020FD2" w14:textId="77777777" w:rsidR="003935D1" w:rsidRPr="003935D1" w:rsidRDefault="003935D1" w:rsidP="003935D1">
            <w:pPr>
              <w:rPr>
                <w:rFonts w:ascii="Arial" w:hAnsi="Arial" w:cs="Arial"/>
                <w:color w:val="000000"/>
                <w:sz w:val="20"/>
                <w:szCs w:val="20"/>
              </w:rPr>
            </w:pPr>
            <w:r w:rsidRPr="003935D1">
              <w:rPr>
                <w:rFonts w:ascii="Arial" w:hAnsi="Arial" w:cs="Arial"/>
                <w:color w:val="000000"/>
                <w:sz w:val="20"/>
                <w:szCs w:val="20"/>
              </w:rPr>
              <w:t>1. Agriculture, Mining, Construction</w:t>
            </w:r>
          </w:p>
        </w:tc>
        <w:tc>
          <w:tcPr>
            <w:tcW w:w="1080" w:type="dxa"/>
            <w:tcBorders>
              <w:top w:val="single" w:sz="4" w:space="0" w:color="FFFFFF"/>
              <w:left w:val="nil"/>
              <w:bottom w:val="nil"/>
              <w:right w:val="single" w:sz="4" w:space="0" w:color="auto"/>
            </w:tcBorders>
            <w:shd w:val="clear" w:color="auto" w:fill="000000" w:themeFill="text1"/>
            <w:noWrap/>
            <w:vAlign w:val="bottom"/>
          </w:tcPr>
          <w:p w14:paraId="0F25E846" w14:textId="6DB42155" w:rsidR="003935D1" w:rsidRPr="003935D1" w:rsidRDefault="003935D1" w:rsidP="003935D1">
            <w:pPr>
              <w:jc w:val="center"/>
              <w:rPr>
                <w:rFonts w:cs="Calibri"/>
                <w:color w:val="000000"/>
                <w:sz w:val="22"/>
                <w:szCs w:val="22"/>
              </w:rPr>
            </w:pPr>
          </w:p>
        </w:tc>
        <w:tc>
          <w:tcPr>
            <w:tcW w:w="1080" w:type="dxa"/>
            <w:tcBorders>
              <w:top w:val="single" w:sz="4" w:space="0" w:color="FFFFFF"/>
              <w:left w:val="nil"/>
              <w:bottom w:val="nil"/>
              <w:right w:val="single" w:sz="4" w:space="0" w:color="auto"/>
            </w:tcBorders>
            <w:shd w:val="clear" w:color="auto" w:fill="000000" w:themeFill="text1"/>
            <w:noWrap/>
            <w:vAlign w:val="bottom"/>
          </w:tcPr>
          <w:p w14:paraId="3C4C8F03" w14:textId="46F986C5" w:rsidR="003935D1" w:rsidRPr="003935D1" w:rsidRDefault="003935D1" w:rsidP="003935D1">
            <w:pPr>
              <w:jc w:val="center"/>
              <w:rPr>
                <w:rFonts w:cs="Calibri"/>
                <w:color w:val="000000"/>
                <w:sz w:val="22"/>
                <w:szCs w:val="22"/>
              </w:rPr>
            </w:pPr>
          </w:p>
        </w:tc>
        <w:tc>
          <w:tcPr>
            <w:tcW w:w="1018" w:type="dxa"/>
            <w:tcBorders>
              <w:top w:val="single" w:sz="4" w:space="0" w:color="FFFFFF"/>
              <w:left w:val="nil"/>
              <w:bottom w:val="nil"/>
              <w:right w:val="single" w:sz="4" w:space="0" w:color="auto"/>
            </w:tcBorders>
            <w:shd w:val="clear" w:color="auto" w:fill="000000" w:themeFill="text1"/>
            <w:noWrap/>
            <w:vAlign w:val="bottom"/>
          </w:tcPr>
          <w:p w14:paraId="601727CD" w14:textId="0468E3D8" w:rsidR="003935D1" w:rsidRPr="003935D1" w:rsidRDefault="003935D1" w:rsidP="003935D1">
            <w:pPr>
              <w:jc w:val="center"/>
              <w:rPr>
                <w:rFonts w:cs="Calibri"/>
                <w:color w:val="000000"/>
                <w:sz w:val="22"/>
                <w:szCs w:val="22"/>
              </w:rPr>
            </w:pPr>
          </w:p>
        </w:tc>
        <w:tc>
          <w:tcPr>
            <w:tcW w:w="1092" w:type="dxa"/>
            <w:tcBorders>
              <w:top w:val="single" w:sz="4" w:space="0" w:color="FFFFFF"/>
              <w:left w:val="nil"/>
              <w:bottom w:val="nil"/>
              <w:right w:val="single" w:sz="4" w:space="0" w:color="auto"/>
            </w:tcBorders>
            <w:shd w:val="clear" w:color="auto" w:fill="000000" w:themeFill="text1"/>
            <w:noWrap/>
            <w:vAlign w:val="bottom"/>
          </w:tcPr>
          <w:p w14:paraId="735EC8C6" w14:textId="10D2DCAF" w:rsidR="003935D1" w:rsidRPr="003935D1" w:rsidRDefault="003935D1" w:rsidP="003935D1">
            <w:pPr>
              <w:jc w:val="center"/>
              <w:rPr>
                <w:rFonts w:cs="Calibri"/>
                <w:color w:val="000000"/>
                <w:sz w:val="22"/>
                <w:szCs w:val="22"/>
              </w:rPr>
            </w:pPr>
          </w:p>
        </w:tc>
      </w:tr>
      <w:tr w:rsidR="003935D1" w:rsidRPr="003935D1" w14:paraId="29E6011C" w14:textId="77777777" w:rsidTr="006B55F6">
        <w:trPr>
          <w:trHeight w:val="259"/>
          <w:jc w:val="center"/>
        </w:trPr>
        <w:tc>
          <w:tcPr>
            <w:tcW w:w="3600" w:type="dxa"/>
            <w:tcBorders>
              <w:top w:val="nil"/>
              <w:left w:val="single" w:sz="4" w:space="0" w:color="auto"/>
              <w:bottom w:val="nil"/>
              <w:right w:val="single" w:sz="4" w:space="0" w:color="auto"/>
            </w:tcBorders>
            <w:shd w:val="clear" w:color="000000" w:fill="FFFFFF"/>
            <w:noWrap/>
            <w:vAlign w:val="center"/>
            <w:hideMark/>
          </w:tcPr>
          <w:p w14:paraId="13C08A09" w14:textId="77777777" w:rsidR="003935D1" w:rsidRPr="003935D1" w:rsidRDefault="003935D1" w:rsidP="003935D1">
            <w:pPr>
              <w:rPr>
                <w:rFonts w:ascii="Arial" w:hAnsi="Arial" w:cs="Arial"/>
                <w:color w:val="000000"/>
                <w:sz w:val="20"/>
                <w:szCs w:val="20"/>
              </w:rPr>
            </w:pPr>
            <w:r w:rsidRPr="003935D1">
              <w:rPr>
                <w:rFonts w:ascii="Arial" w:hAnsi="Arial" w:cs="Arial"/>
                <w:color w:val="000000"/>
                <w:sz w:val="20"/>
                <w:szCs w:val="20"/>
              </w:rPr>
              <w:t>2. Manufacturing</w:t>
            </w:r>
          </w:p>
        </w:tc>
        <w:tc>
          <w:tcPr>
            <w:tcW w:w="1080" w:type="dxa"/>
            <w:tcBorders>
              <w:top w:val="nil"/>
              <w:left w:val="nil"/>
              <w:bottom w:val="nil"/>
              <w:right w:val="single" w:sz="4" w:space="0" w:color="auto"/>
            </w:tcBorders>
            <w:shd w:val="clear" w:color="auto" w:fill="auto"/>
            <w:noWrap/>
            <w:vAlign w:val="bottom"/>
            <w:hideMark/>
          </w:tcPr>
          <w:p w14:paraId="5C7C3D0E" w14:textId="77777777" w:rsidR="003935D1" w:rsidRPr="003935D1" w:rsidRDefault="003935D1" w:rsidP="003935D1">
            <w:pPr>
              <w:jc w:val="center"/>
              <w:rPr>
                <w:rFonts w:cs="Calibri"/>
                <w:color w:val="000000"/>
                <w:sz w:val="22"/>
                <w:szCs w:val="22"/>
              </w:rPr>
            </w:pPr>
            <w:r w:rsidRPr="003935D1">
              <w:rPr>
                <w:rFonts w:cs="Calibri"/>
                <w:color w:val="000000"/>
                <w:sz w:val="22"/>
                <w:szCs w:val="22"/>
              </w:rPr>
              <w:t>40.4%</w:t>
            </w:r>
          </w:p>
        </w:tc>
        <w:tc>
          <w:tcPr>
            <w:tcW w:w="1080" w:type="dxa"/>
            <w:tcBorders>
              <w:top w:val="nil"/>
              <w:left w:val="nil"/>
              <w:bottom w:val="nil"/>
              <w:right w:val="single" w:sz="4" w:space="0" w:color="auto"/>
            </w:tcBorders>
            <w:shd w:val="clear" w:color="auto" w:fill="auto"/>
            <w:noWrap/>
            <w:vAlign w:val="bottom"/>
            <w:hideMark/>
          </w:tcPr>
          <w:p w14:paraId="253F2E5C" w14:textId="77777777" w:rsidR="003935D1" w:rsidRPr="003935D1" w:rsidRDefault="003935D1" w:rsidP="003935D1">
            <w:pPr>
              <w:jc w:val="center"/>
              <w:rPr>
                <w:rFonts w:cs="Calibri"/>
                <w:color w:val="000000"/>
                <w:sz w:val="22"/>
                <w:szCs w:val="22"/>
              </w:rPr>
            </w:pPr>
            <w:r w:rsidRPr="003935D1">
              <w:rPr>
                <w:rFonts w:cs="Calibri"/>
                <w:color w:val="000000"/>
                <w:sz w:val="22"/>
                <w:szCs w:val="22"/>
              </w:rPr>
              <w:t>76.8%</w:t>
            </w:r>
          </w:p>
        </w:tc>
        <w:tc>
          <w:tcPr>
            <w:tcW w:w="1018" w:type="dxa"/>
            <w:tcBorders>
              <w:top w:val="nil"/>
              <w:left w:val="nil"/>
              <w:bottom w:val="nil"/>
              <w:right w:val="single" w:sz="4" w:space="0" w:color="auto"/>
            </w:tcBorders>
            <w:shd w:val="clear" w:color="auto" w:fill="auto"/>
            <w:noWrap/>
            <w:vAlign w:val="bottom"/>
            <w:hideMark/>
          </w:tcPr>
          <w:p w14:paraId="03E244F6" w14:textId="77777777" w:rsidR="003935D1" w:rsidRPr="003935D1" w:rsidRDefault="003935D1" w:rsidP="003935D1">
            <w:pPr>
              <w:jc w:val="center"/>
              <w:rPr>
                <w:rFonts w:cs="Calibri"/>
                <w:color w:val="000000"/>
                <w:sz w:val="22"/>
                <w:szCs w:val="22"/>
              </w:rPr>
            </w:pPr>
            <w:r w:rsidRPr="003935D1">
              <w:rPr>
                <w:rFonts w:cs="Calibri"/>
                <w:color w:val="000000"/>
                <w:sz w:val="22"/>
                <w:szCs w:val="22"/>
              </w:rPr>
              <w:t>70.2%</w:t>
            </w:r>
          </w:p>
        </w:tc>
        <w:tc>
          <w:tcPr>
            <w:tcW w:w="1092" w:type="dxa"/>
            <w:tcBorders>
              <w:top w:val="nil"/>
              <w:left w:val="nil"/>
              <w:bottom w:val="nil"/>
              <w:right w:val="single" w:sz="4" w:space="0" w:color="auto"/>
            </w:tcBorders>
            <w:shd w:val="clear" w:color="auto" w:fill="auto"/>
            <w:noWrap/>
            <w:vAlign w:val="bottom"/>
            <w:hideMark/>
          </w:tcPr>
          <w:p w14:paraId="1A7C3410" w14:textId="77777777" w:rsidR="003935D1" w:rsidRPr="003935D1" w:rsidRDefault="003935D1" w:rsidP="003935D1">
            <w:pPr>
              <w:jc w:val="center"/>
              <w:rPr>
                <w:rFonts w:cs="Calibri"/>
                <w:color w:val="000000"/>
                <w:sz w:val="22"/>
                <w:szCs w:val="22"/>
              </w:rPr>
            </w:pPr>
            <w:r w:rsidRPr="003935D1">
              <w:rPr>
                <w:rFonts w:cs="Calibri"/>
                <w:color w:val="000000"/>
                <w:sz w:val="22"/>
                <w:szCs w:val="22"/>
              </w:rPr>
              <w:t>55.3%</w:t>
            </w:r>
          </w:p>
        </w:tc>
      </w:tr>
      <w:tr w:rsidR="003935D1" w:rsidRPr="003935D1" w14:paraId="23EF9664" w14:textId="77777777" w:rsidTr="007357E6">
        <w:trPr>
          <w:trHeight w:val="259"/>
          <w:jc w:val="center"/>
        </w:trPr>
        <w:tc>
          <w:tcPr>
            <w:tcW w:w="3600" w:type="dxa"/>
            <w:tcBorders>
              <w:top w:val="nil"/>
              <w:left w:val="single" w:sz="4" w:space="0" w:color="auto"/>
              <w:bottom w:val="nil"/>
              <w:right w:val="single" w:sz="4" w:space="0" w:color="auto"/>
            </w:tcBorders>
            <w:shd w:val="clear" w:color="000000" w:fill="FFFFFF"/>
            <w:noWrap/>
            <w:vAlign w:val="center"/>
            <w:hideMark/>
          </w:tcPr>
          <w:p w14:paraId="77C56AF5" w14:textId="77777777" w:rsidR="003935D1" w:rsidRPr="003935D1" w:rsidRDefault="003935D1" w:rsidP="003935D1">
            <w:pPr>
              <w:rPr>
                <w:rFonts w:ascii="Arial" w:hAnsi="Arial" w:cs="Arial"/>
                <w:color w:val="000000"/>
                <w:sz w:val="20"/>
                <w:szCs w:val="20"/>
              </w:rPr>
            </w:pPr>
            <w:r w:rsidRPr="003935D1">
              <w:rPr>
                <w:rFonts w:ascii="Arial" w:hAnsi="Arial" w:cs="Arial"/>
                <w:color w:val="000000"/>
                <w:sz w:val="20"/>
                <w:szCs w:val="20"/>
              </w:rPr>
              <w:t>3. Wholesale, Transportation, Utilities</w:t>
            </w:r>
          </w:p>
        </w:tc>
        <w:tc>
          <w:tcPr>
            <w:tcW w:w="1080" w:type="dxa"/>
            <w:tcBorders>
              <w:top w:val="nil"/>
              <w:left w:val="nil"/>
              <w:bottom w:val="nil"/>
              <w:right w:val="single" w:sz="4" w:space="0" w:color="auto"/>
            </w:tcBorders>
            <w:shd w:val="clear" w:color="auto" w:fill="000000" w:themeFill="text1"/>
            <w:noWrap/>
            <w:vAlign w:val="bottom"/>
          </w:tcPr>
          <w:p w14:paraId="6BA52666" w14:textId="3D9E92C6" w:rsidR="003935D1" w:rsidRPr="003935D1" w:rsidRDefault="003935D1" w:rsidP="003935D1">
            <w:pPr>
              <w:jc w:val="center"/>
              <w:rPr>
                <w:rFonts w:cs="Calibri"/>
                <w:color w:val="000000"/>
                <w:sz w:val="22"/>
                <w:szCs w:val="22"/>
              </w:rPr>
            </w:pPr>
          </w:p>
        </w:tc>
        <w:tc>
          <w:tcPr>
            <w:tcW w:w="1080" w:type="dxa"/>
            <w:tcBorders>
              <w:top w:val="nil"/>
              <w:left w:val="nil"/>
              <w:bottom w:val="nil"/>
              <w:right w:val="single" w:sz="4" w:space="0" w:color="auto"/>
            </w:tcBorders>
            <w:shd w:val="clear" w:color="auto" w:fill="000000" w:themeFill="text1"/>
            <w:noWrap/>
            <w:vAlign w:val="bottom"/>
          </w:tcPr>
          <w:p w14:paraId="39BEF863" w14:textId="79CCB73D" w:rsidR="003935D1" w:rsidRPr="003935D1" w:rsidRDefault="003935D1" w:rsidP="003935D1">
            <w:pPr>
              <w:jc w:val="center"/>
              <w:rPr>
                <w:rFonts w:cs="Calibri"/>
                <w:color w:val="000000"/>
                <w:sz w:val="22"/>
                <w:szCs w:val="22"/>
              </w:rPr>
            </w:pPr>
          </w:p>
        </w:tc>
        <w:tc>
          <w:tcPr>
            <w:tcW w:w="1018" w:type="dxa"/>
            <w:tcBorders>
              <w:top w:val="nil"/>
              <w:left w:val="nil"/>
              <w:bottom w:val="nil"/>
              <w:right w:val="single" w:sz="4" w:space="0" w:color="auto"/>
            </w:tcBorders>
            <w:shd w:val="clear" w:color="auto" w:fill="000000" w:themeFill="text1"/>
            <w:noWrap/>
            <w:vAlign w:val="bottom"/>
          </w:tcPr>
          <w:p w14:paraId="6E4BC601" w14:textId="319D4780" w:rsidR="003935D1" w:rsidRPr="003935D1" w:rsidRDefault="003935D1" w:rsidP="003935D1">
            <w:pPr>
              <w:jc w:val="center"/>
              <w:rPr>
                <w:rFonts w:cs="Calibri"/>
                <w:color w:val="000000"/>
                <w:sz w:val="22"/>
                <w:szCs w:val="22"/>
              </w:rPr>
            </w:pPr>
          </w:p>
        </w:tc>
        <w:tc>
          <w:tcPr>
            <w:tcW w:w="1092" w:type="dxa"/>
            <w:tcBorders>
              <w:top w:val="nil"/>
              <w:left w:val="nil"/>
              <w:bottom w:val="nil"/>
              <w:right w:val="single" w:sz="4" w:space="0" w:color="auto"/>
            </w:tcBorders>
            <w:shd w:val="clear" w:color="auto" w:fill="000000" w:themeFill="text1"/>
            <w:noWrap/>
            <w:vAlign w:val="bottom"/>
          </w:tcPr>
          <w:p w14:paraId="6BF7FE9C" w14:textId="69D87F6C" w:rsidR="003935D1" w:rsidRPr="003935D1" w:rsidRDefault="003935D1" w:rsidP="003935D1">
            <w:pPr>
              <w:jc w:val="center"/>
              <w:rPr>
                <w:rFonts w:cs="Calibri"/>
                <w:color w:val="000000"/>
                <w:sz w:val="22"/>
                <w:szCs w:val="22"/>
              </w:rPr>
            </w:pPr>
          </w:p>
        </w:tc>
      </w:tr>
      <w:tr w:rsidR="003935D1" w:rsidRPr="003935D1" w14:paraId="1AC1750D" w14:textId="77777777" w:rsidTr="007357E6">
        <w:trPr>
          <w:trHeight w:val="259"/>
          <w:jc w:val="center"/>
        </w:trPr>
        <w:tc>
          <w:tcPr>
            <w:tcW w:w="3600" w:type="dxa"/>
            <w:tcBorders>
              <w:top w:val="nil"/>
              <w:left w:val="single" w:sz="4" w:space="0" w:color="auto"/>
              <w:bottom w:val="nil"/>
              <w:right w:val="single" w:sz="4" w:space="0" w:color="auto"/>
            </w:tcBorders>
            <w:shd w:val="clear" w:color="000000" w:fill="FFFFFF"/>
            <w:noWrap/>
            <w:vAlign w:val="center"/>
            <w:hideMark/>
          </w:tcPr>
          <w:p w14:paraId="39694D93" w14:textId="77777777" w:rsidR="003935D1" w:rsidRPr="003935D1" w:rsidRDefault="003935D1" w:rsidP="003935D1">
            <w:pPr>
              <w:rPr>
                <w:rFonts w:ascii="Arial" w:hAnsi="Arial" w:cs="Arial"/>
                <w:color w:val="000000"/>
                <w:sz w:val="20"/>
                <w:szCs w:val="20"/>
              </w:rPr>
            </w:pPr>
            <w:r w:rsidRPr="003935D1">
              <w:rPr>
                <w:rFonts w:ascii="Arial" w:hAnsi="Arial" w:cs="Arial"/>
                <w:color w:val="000000"/>
                <w:sz w:val="20"/>
                <w:szCs w:val="20"/>
              </w:rPr>
              <w:t>4. Retail</w:t>
            </w:r>
          </w:p>
        </w:tc>
        <w:tc>
          <w:tcPr>
            <w:tcW w:w="1080" w:type="dxa"/>
            <w:tcBorders>
              <w:top w:val="nil"/>
              <w:left w:val="nil"/>
              <w:bottom w:val="nil"/>
              <w:right w:val="single" w:sz="4" w:space="0" w:color="auto"/>
            </w:tcBorders>
            <w:shd w:val="clear" w:color="auto" w:fill="000000" w:themeFill="text1"/>
            <w:noWrap/>
            <w:vAlign w:val="bottom"/>
          </w:tcPr>
          <w:p w14:paraId="17D1D2AD" w14:textId="3CD1CED6" w:rsidR="003935D1" w:rsidRPr="003935D1" w:rsidRDefault="003935D1" w:rsidP="003935D1">
            <w:pPr>
              <w:jc w:val="center"/>
              <w:rPr>
                <w:rFonts w:cs="Calibri"/>
                <w:color w:val="000000"/>
                <w:sz w:val="22"/>
                <w:szCs w:val="22"/>
              </w:rPr>
            </w:pPr>
          </w:p>
        </w:tc>
        <w:tc>
          <w:tcPr>
            <w:tcW w:w="1080" w:type="dxa"/>
            <w:tcBorders>
              <w:top w:val="nil"/>
              <w:left w:val="nil"/>
              <w:bottom w:val="nil"/>
              <w:right w:val="single" w:sz="4" w:space="0" w:color="auto"/>
            </w:tcBorders>
            <w:shd w:val="clear" w:color="auto" w:fill="000000" w:themeFill="text1"/>
            <w:noWrap/>
            <w:vAlign w:val="bottom"/>
          </w:tcPr>
          <w:p w14:paraId="678BFB41" w14:textId="709FC83D" w:rsidR="003935D1" w:rsidRPr="003935D1" w:rsidRDefault="003935D1" w:rsidP="003935D1">
            <w:pPr>
              <w:jc w:val="center"/>
              <w:rPr>
                <w:rFonts w:cs="Calibri"/>
                <w:color w:val="000000"/>
                <w:sz w:val="22"/>
                <w:szCs w:val="22"/>
              </w:rPr>
            </w:pPr>
          </w:p>
        </w:tc>
        <w:tc>
          <w:tcPr>
            <w:tcW w:w="1018" w:type="dxa"/>
            <w:tcBorders>
              <w:top w:val="nil"/>
              <w:left w:val="nil"/>
              <w:bottom w:val="nil"/>
              <w:right w:val="single" w:sz="4" w:space="0" w:color="auto"/>
            </w:tcBorders>
            <w:shd w:val="clear" w:color="auto" w:fill="000000" w:themeFill="text1"/>
            <w:noWrap/>
            <w:vAlign w:val="bottom"/>
          </w:tcPr>
          <w:p w14:paraId="0032E69A" w14:textId="2C37B822" w:rsidR="003935D1" w:rsidRPr="003935D1" w:rsidRDefault="003935D1" w:rsidP="003935D1">
            <w:pPr>
              <w:jc w:val="center"/>
              <w:rPr>
                <w:rFonts w:cs="Calibri"/>
                <w:color w:val="000000"/>
                <w:sz w:val="22"/>
                <w:szCs w:val="22"/>
              </w:rPr>
            </w:pPr>
          </w:p>
        </w:tc>
        <w:tc>
          <w:tcPr>
            <w:tcW w:w="1092" w:type="dxa"/>
            <w:tcBorders>
              <w:top w:val="nil"/>
              <w:left w:val="nil"/>
              <w:bottom w:val="nil"/>
              <w:right w:val="single" w:sz="4" w:space="0" w:color="auto"/>
            </w:tcBorders>
            <w:shd w:val="clear" w:color="auto" w:fill="000000" w:themeFill="text1"/>
            <w:noWrap/>
            <w:vAlign w:val="bottom"/>
          </w:tcPr>
          <w:p w14:paraId="3BC54A55" w14:textId="07719A43" w:rsidR="003935D1" w:rsidRPr="003935D1" w:rsidRDefault="003935D1" w:rsidP="003935D1">
            <w:pPr>
              <w:jc w:val="center"/>
              <w:rPr>
                <w:rFonts w:cs="Calibri"/>
                <w:color w:val="000000"/>
                <w:sz w:val="22"/>
                <w:szCs w:val="22"/>
              </w:rPr>
            </w:pPr>
          </w:p>
        </w:tc>
      </w:tr>
      <w:tr w:rsidR="003935D1" w:rsidRPr="003935D1" w14:paraId="101EB8B0" w14:textId="77777777" w:rsidTr="007357E6">
        <w:trPr>
          <w:trHeight w:val="259"/>
          <w:jc w:val="center"/>
        </w:trPr>
        <w:tc>
          <w:tcPr>
            <w:tcW w:w="3600" w:type="dxa"/>
            <w:tcBorders>
              <w:top w:val="nil"/>
              <w:left w:val="single" w:sz="4" w:space="0" w:color="auto"/>
              <w:bottom w:val="nil"/>
              <w:right w:val="single" w:sz="4" w:space="0" w:color="auto"/>
            </w:tcBorders>
            <w:shd w:val="clear" w:color="000000" w:fill="FFFFFF"/>
            <w:noWrap/>
            <w:vAlign w:val="center"/>
            <w:hideMark/>
          </w:tcPr>
          <w:p w14:paraId="0AB4313E" w14:textId="77777777" w:rsidR="003935D1" w:rsidRPr="003935D1" w:rsidRDefault="003935D1" w:rsidP="003935D1">
            <w:pPr>
              <w:rPr>
                <w:rFonts w:ascii="Arial" w:hAnsi="Arial" w:cs="Arial"/>
                <w:color w:val="000000"/>
                <w:sz w:val="20"/>
                <w:szCs w:val="20"/>
              </w:rPr>
            </w:pPr>
            <w:r w:rsidRPr="003935D1">
              <w:rPr>
                <w:rFonts w:ascii="Arial" w:hAnsi="Arial" w:cs="Arial"/>
                <w:color w:val="000000"/>
                <w:sz w:val="20"/>
                <w:szCs w:val="20"/>
              </w:rPr>
              <w:t>5. Offices, Hotels, Health, Services</w:t>
            </w:r>
          </w:p>
        </w:tc>
        <w:tc>
          <w:tcPr>
            <w:tcW w:w="1080" w:type="dxa"/>
            <w:tcBorders>
              <w:top w:val="nil"/>
              <w:left w:val="nil"/>
              <w:bottom w:val="nil"/>
              <w:right w:val="single" w:sz="4" w:space="0" w:color="auto"/>
            </w:tcBorders>
            <w:shd w:val="clear" w:color="auto" w:fill="000000" w:themeFill="text1"/>
            <w:noWrap/>
            <w:vAlign w:val="bottom"/>
          </w:tcPr>
          <w:p w14:paraId="3DD1CFDF" w14:textId="7DB154DF" w:rsidR="003935D1" w:rsidRPr="003935D1" w:rsidRDefault="003935D1" w:rsidP="003935D1">
            <w:pPr>
              <w:jc w:val="center"/>
              <w:rPr>
                <w:rFonts w:cs="Calibri"/>
                <w:color w:val="000000"/>
                <w:sz w:val="22"/>
                <w:szCs w:val="22"/>
              </w:rPr>
            </w:pPr>
          </w:p>
        </w:tc>
        <w:tc>
          <w:tcPr>
            <w:tcW w:w="1080" w:type="dxa"/>
            <w:tcBorders>
              <w:top w:val="nil"/>
              <w:left w:val="nil"/>
              <w:bottom w:val="nil"/>
              <w:right w:val="single" w:sz="4" w:space="0" w:color="auto"/>
            </w:tcBorders>
            <w:shd w:val="clear" w:color="auto" w:fill="000000" w:themeFill="text1"/>
            <w:noWrap/>
            <w:vAlign w:val="bottom"/>
          </w:tcPr>
          <w:p w14:paraId="35206844" w14:textId="276C381C" w:rsidR="003935D1" w:rsidRPr="003935D1" w:rsidRDefault="003935D1" w:rsidP="003935D1">
            <w:pPr>
              <w:jc w:val="center"/>
              <w:rPr>
                <w:rFonts w:cs="Calibri"/>
                <w:color w:val="000000"/>
                <w:sz w:val="22"/>
                <w:szCs w:val="22"/>
              </w:rPr>
            </w:pPr>
          </w:p>
        </w:tc>
        <w:tc>
          <w:tcPr>
            <w:tcW w:w="1018" w:type="dxa"/>
            <w:tcBorders>
              <w:top w:val="nil"/>
              <w:left w:val="nil"/>
              <w:bottom w:val="nil"/>
              <w:right w:val="single" w:sz="4" w:space="0" w:color="auto"/>
            </w:tcBorders>
            <w:shd w:val="clear" w:color="auto" w:fill="000000" w:themeFill="text1"/>
            <w:noWrap/>
            <w:vAlign w:val="bottom"/>
          </w:tcPr>
          <w:p w14:paraId="374CD2C5" w14:textId="7BE55148" w:rsidR="003935D1" w:rsidRPr="003935D1" w:rsidRDefault="003935D1" w:rsidP="003935D1">
            <w:pPr>
              <w:jc w:val="center"/>
              <w:rPr>
                <w:rFonts w:cs="Calibri"/>
                <w:color w:val="000000"/>
                <w:sz w:val="22"/>
                <w:szCs w:val="22"/>
              </w:rPr>
            </w:pPr>
          </w:p>
        </w:tc>
        <w:tc>
          <w:tcPr>
            <w:tcW w:w="1092" w:type="dxa"/>
            <w:tcBorders>
              <w:top w:val="nil"/>
              <w:left w:val="nil"/>
              <w:bottom w:val="nil"/>
              <w:right w:val="single" w:sz="4" w:space="0" w:color="auto"/>
            </w:tcBorders>
            <w:shd w:val="clear" w:color="auto" w:fill="000000" w:themeFill="text1"/>
            <w:noWrap/>
            <w:vAlign w:val="bottom"/>
          </w:tcPr>
          <w:p w14:paraId="193E8FC8" w14:textId="57F8B930" w:rsidR="003935D1" w:rsidRPr="003935D1" w:rsidRDefault="003935D1" w:rsidP="003935D1">
            <w:pPr>
              <w:jc w:val="center"/>
              <w:rPr>
                <w:rFonts w:cs="Calibri"/>
                <w:color w:val="000000"/>
                <w:sz w:val="22"/>
                <w:szCs w:val="22"/>
              </w:rPr>
            </w:pPr>
          </w:p>
        </w:tc>
      </w:tr>
      <w:tr w:rsidR="003935D1" w:rsidRPr="003935D1" w14:paraId="576A273C" w14:textId="77777777" w:rsidTr="007357E6">
        <w:trPr>
          <w:trHeight w:val="259"/>
          <w:jc w:val="center"/>
        </w:trPr>
        <w:tc>
          <w:tcPr>
            <w:tcW w:w="3600" w:type="dxa"/>
            <w:tcBorders>
              <w:top w:val="nil"/>
              <w:left w:val="single" w:sz="4" w:space="0" w:color="auto"/>
              <w:bottom w:val="nil"/>
              <w:right w:val="single" w:sz="4" w:space="0" w:color="auto"/>
            </w:tcBorders>
            <w:shd w:val="clear" w:color="000000" w:fill="FFFFFF"/>
            <w:noWrap/>
            <w:vAlign w:val="center"/>
            <w:hideMark/>
          </w:tcPr>
          <w:p w14:paraId="059FE0ED" w14:textId="77777777" w:rsidR="003935D1" w:rsidRPr="003935D1" w:rsidRDefault="003935D1" w:rsidP="003935D1">
            <w:pPr>
              <w:rPr>
                <w:rFonts w:ascii="Arial" w:hAnsi="Arial" w:cs="Arial"/>
                <w:color w:val="000000"/>
                <w:sz w:val="20"/>
                <w:szCs w:val="20"/>
              </w:rPr>
            </w:pPr>
            <w:r w:rsidRPr="003935D1">
              <w:rPr>
                <w:rFonts w:ascii="Arial" w:hAnsi="Arial" w:cs="Arial"/>
                <w:color w:val="000000"/>
                <w:sz w:val="20"/>
                <w:szCs w:val="20"/>
              </w:rPr>
              <w:t>7. Institutional/Government</w:t>
            </w:r>
          </w:p>
        </w:tc>
        <w:tc>
          <w:tcPr>
            <w:tcW w:w="1080" w:type="dxa"/>
            <w:tcBorders>
              <w:top w:val="nil"/>
              <w:left w:val="nil"/>
              <w:bottom w:val="nil"/>
              <w:right w:val="single" w:sz="4" w:space="0" w:color="auto"/>
            </w:tcBorders>
            <w:shd w:val="clear" w:color="auto" w:fill="000000" w:themeFill="text1"/>
            <w:noWrap/>
            <w:vAlign w:val="bottom"/>
          </w:tcPr>
          <w:p w14:paraId="6184A549" w14:textId="2C5A399D" w:rsidR="003935D1" w:rsidRPr="003935D1" w:rsidRDefault="003935D1" w:rsidP="003935D1">
            <w:pPr>
              <w:jc w:val="center"/>
              <w:rPr>
                <w:rFonts w:cs="Calibri"/>
                <w:color w:val="000000"/>
                <w:sz w:val="22"/>
                <w:szCs w:val="22"/>
              </w:rPr>
            </w:pPr>
          </w:p>
        </w:tc>
        <w:tc>
          <w:tcPr>
            <w:tcW w:w="1080" w:type="dxa"/>
            <w:tcBorders>
              <w:top w:val="nil"/>
              <w:left w:val="nil"/>
              <w:bottom w:val="nil"/>
              <w:right w:val="single" w:sz="4" w:space="0" w:color="auto"/>
            </w:tcBorders>
            <w:shd w:val="clear" w:color="auto" w:fill="000000" w:themeFill="text1"/>
            <w:noWrap/>
            <w:vAlign w:val="bottom"/>
          </w:tcPr>
          <w:p w14:paraId="38C5BC69" w14:textId="59083EB3" w:rsidR="003935D1" w:rsidRPr="003935D1" w:rsidRDefault="003935D1" w:rsidP="003935D1">
            <w:pPr>
              <w:jc w:val="center"/>
              <w:rPr>
                <w:rFonts w:cs="Calibri"/>
                <w:color w:val="000000"/>
                <w:sz w:val="22"/>
                <w:szCs w:val="22"/>
              </w:rPr>
            </w:pPr>
          </w:p>
        </w:tc>
        <w:tc>
          <w:tcPr>
            <w:tcW w:w="1018" w:type="dxa"/>
            <w:tcBorders>
              <w:top w:val="nil"/>
              <w:left w:val="nil"/>
              <w:bottom w:val="nil"/>
              <w:right w:val="single" w:sz="4" w:space="0" w:color="auto"/>
            </w:tcBorders>
            <w:shd w:val="clear" w:color="auto" w:fill="000000" w:themeFill="text1"/>
            <w:noWrap/>
            <w:vAlign w:val="bottom"/>
          </w:tcPr>
          <w:p w14:paraId="14D9C849" w14:textId="269FBC51" w:rsidR="003935D1" w:rsidRPr="003935D1" w:rsidRDefault="003935D1" w:rsidP="003935D1">
            <w:pPr>
              <w:jc w:val="center"/>
              <w:rPr>
                <w:rFonts w:cs="Calibri"/>
                <w:color w:val="000000"/>
                <w:sz w:val="22"/>
                <w:szCs w:val="22"/>
              </w:rPr>
            </w:pPr>
          </w:p>
        </w:tc>
        <w:tc>
          <w:tcPr>
            <w:tcW w:w="1092" w:type="dxa"/>
            <w:tcBorders>
              <w:top w:val="nil"/>
              <w:left w:val="nil"/>
              <w:bottom w:val="nil"/>
              <w:right w:val="single" w:sz="4" w:space="0" w:color="auto"/>
            </w:tcBorders>
            <w:shd w:val="clear" w:color="auto" w:fill="000000" w:themeFill="text1"/>
            <w:noWrap/>
            <w:vAlign w:val="bottom"/>
          </w:tcPr>
          <w:p w14:paraId="01E55E95" w14:textId="1711F2E3" w:rsidR="003935D1" w:rsidRPr="003935D1" w:rsidRDefault="003935D1" w:rsidP="003935D1">
            <w:pPr>
              <w:jc w:val="center"/>
              <w:rPr>
                <w:rFonts w:cs="Calibri"/>
                <w:color w:val="000000"/>
                <w:sz w:val="22"/>
                <w:szCs w:val="22"/>
              </w:rPr>
            </w:pPr>
          </w:p>
        </w:tc>
      </w:tr>
      <w:tr w:rsidR="003935D1" w:rsidRPr="003935D1" w14:paraId="44C4E589" w14:textId="77777777" w:rsidTr="007357E6">
        <w:trPr>
          <w:trHeight w:val="259"/>
          <w:jc w:val="center"/>
        </w:trPr>
        <w:tc>
          <w:tcPr>
            <w:tcW w:w="3600" w:type="dxa"/>
            <w:tcBorders>
              <w:top w:val="nil"/>
              <w:left w:val="single" w:sz="4" w:space="0" w:color="auto"/>
              <w:bottom w:val="single" w:sz="4" w:space="0" w:color="auto"/>
              <w:right w:val="single" w:sz="4" w:space="0" w:color="auto"/>
            </w:tcBorders>
            <w:shd w:val="clear" w:color="000000" w:fill="FFFFFF"/>
            <w:noWrap/>
            <w:vAlign w:val="center"/>
            <w:hideMark/>
          </w:tcPr>
          <w:p w14:paraId="1E700FFA" w14:textId="77777777" w:rsidR="003935D1" w:rsidRPr="003935D1" w:rsidRDefault="003935D1" w:rsidP="003935D1">
            <w:pPr>
              <w:rPr>
                <w:rFonts w:ascii="Arial" w:hAnsi="Arial" w:cs="Arial"/>
                <w:color w:val="000000"/>
                <w:sz w:val="20"/>
                <w:szCs w:val="20"/>
              </w:rPr>
            </w:pPr>
            <w:r w:rsidRPr="003935D1">
              <w:rPr>
                <w:rFonts w:ascii="Arial" w:hAnsi="Arial" w:cs="Arial"/>
                <w:color w:val="000000"/>
                <w:sz w:val="20"/>
                <w:szCs w:val="20"/>
              </w:rPr>
              <w:t>8. Other</w:t>
            </w:r>
          </w:p>
        </w:tc>
        <w:tc>
          <w:tcPr>
            <w:tcW w:w="1080" w:type="dxa"/>
            <w:tcBorders>
              <w:top w:val="nil"/>
              <w:left w:val="nil"/>
              <w:bottom w:val="single" w:sz="4" w:space="0" w:color="auto"/>
              <w:right w:val="single" w:sz="4" w:space="0" w:color="auto"/>
            </w:tcBorders>
            <w:shd w:val="clear" w:color="auto" w:fill="000000" w:themeFill="text1"/>
            <w:noWrap/>
            <w:vAlign w:val="bottom"/>
          </w:tcPr>
          <w:p w14:paraId="4C21B8DF" w14:textId="0FBADF27" w:rsidR="003935D1" w:rsidRPr="003935D1" w:rsidRDefault="003935D1" w:rsidP="003935D1">
            <w:pPr>
              <w:jc w:val="center"/>
              <w:rPr>
                <w:rFonts w:cs="Calibri"/>
                <w:color w:val="000000"/>
                <w:sz w:val="22"/>
                <w:szCs w:val="22"/>
              </w:rPr>
            </w:pPr>
          </w:p>
        </w:tc>
        <w:tc>
          <w:tcPr>
            <w:tcW w:w="1080" w:type="dxa"/>
            <w:tcBorders>
              <w:top w:val="nil"/>
              <w:left w:val="nil"/>
              <w:bottom w:val="single" w:sz="4" w:space="0" w:color="auto"/>
              <w:right w:val="single" w:sz="4" w:space="0" w:color="auto"/>
            </w:tcBorders>
            <w:shd w:val="clear" w:color="auto" w:fill="000000" w:themeFill="text1"/>
            <w:noWrap/>
            <w:vAlign w:val="bottom"/>
          </w:tcPr>
          <w:p w14:paraId="44BE0EB0" w14:textId="297BDC30" w:rsidR="003935D1" w:rsidRPr="003935D1" w:rsidRDefault="003935D1" w:rsidP="003935D1">
            <w:pPr>
              <w:jc w:val="center"/>
              <w:rPr>
                <w:rFonts w:cs="Calibri"/>
                <w:color w:val="000000"/>
                <w:sz w:val="22"/>
                <w:szCs w:val="22"/>
              </w:rPr>
            </w:pPr>
          </w:p>
        </w:tc>
        <w:tc>
          <w:tcPr>
            <w:tcW w:w="1018" w:type="dxa"/>
            <w:tcBorders>
              <w:top w:val="nil"/>
              <w:left w:val="nil"/>
              <w:bottom w:val="single" w:sz="4" w:space="0" w:color="auto"/>
              <w:right w:val="single" w:sz="4" w:space="0" w:color="auto"/>
            </w:tcBorders>
            <w:shd w:val="clear" w:color="auto" w:fill="000000" w:themeFill="text1"/>
            <w:noWrap/>
            <w:vAlign w:val="bottom"/>
          </w:tcPr>
          <w:p w14:paraId="4A46614F" w14:textId="4E979D56" w:rsidR="003935D1" w:rsidRPr="003935D1" w:rsidRDefault="003935D1" w:rsidP="003935D1">
            <w:pPr>
              <w:jc w:val="center"/>
              <w:rPr>
                <w:rFonts w:cs="Calibri"/>
                <w:color w:val="000000"/>
                <w:sz w:val="22"/>
                <w:szCs w:val="22"/>
              </w:rPr>
            </w:pPr>
          </w:p>
        </w:tc>
        <w:tc>
          <w:tcPr>
            <w:tcW w:w="1092" w:type="dxa"/>
            <w:tcBorders>
              <w:top w:val="nil"/>
              <w:left w:val="nil"/>
              <w:bottom w:val="single" w:sz="4" w:space="0" w:color="auto"/>
              <w:right w:val="single" w:sz="4" w:space="0" w:color="auto"/>
            </w:tcBorders>
            <w:shd w:val="clear" w:color="auto" w:fill="000000" w:themeFill="text1"/>
            <w:noWrap/>
            <w:vAlign w:val="bottom"/>
          </w:tcPr>
          <w:p w14:paraId="090FF8B5" w14:textId="1C60F4AF" w:rsidR="003935D1" w:rsidRPr="003935D1" w:rsidRDefault="003935D1" w:rsidP="003935D1">
            <w:pPr>
              <w:jc w:val="center"/>
              <w:rPr>
                <w:rFonts w:cs="Calibri"/>
                <w:color w:val="000000"/>
                <w:sz w:val="22"/>
                <w:szCs w:val="22"/>
              </w:rPr>
            </w:pPr>
          </w:p>
        </w:tc>
      </w:tr>
    </w:tbl>
    <w:p w14:paraId="45DAD821" w14:textId="535BCFD7" w:rsidR="003935D1" w:rsidRDefault="00AB4513" w:rsidP="00404FEC">
      <w:pPr>
        <w:keepNext/>
        <w:keepLines/>
      </w:pPr>
      <w:r>
        <w:t>(</w:t>
      </w:r>
      <w:r w:rsidR="003935D1">
        <w:t>HE</w:t>
      </w:r>
      <w:r>
        <w:t>20</w:t>
      </w:r>
      <w:r w:rsidR="003935D1">
        <w:t>, HE</w:t>
      </w:r>
      <w:r>
        <w:t>21, HE22</w:t>
      </w:r>
      <w:r w:rsidR="007B041F">
        <w:t>, HE23</w:t>
      </w:r>
      <w:r w:rsidR="003935D1">
        <w:t xml:space="preserve"> shown.</w:t>
      </w:r>
      <w:r w:rsidR="00DA015B">
        <w:t xml:space="preserve"> Note that HE</w:t>
      </w:r>
      <w:r w:rsidR="00962AFE">
        <w:t>22 is a partial event hour because the event ended at 9:25 p.m.</w:t>
      </w:r>
      <w:r w:rsidR="003935D1">
        <w:t>)</w:t>
      </w:r>
    </w:p>
    <w:p w14:paraId="77A25535" w14:textId="017451D3" w:rsidR="003935D1" w:rsidRDefault="003935D1" w:rsidP="003935D1"/>
    <w:p w14:paraId="3CCADFB1" w14:textId="4A81FCCF" w:rsidR="00404FEC" w:rsidRDefault="003935D1" w:rsidP="00404FEC">
      <w:pPr>
        <w:pStyle w:val="TableCaption"/>
        <w:keepNext/>
        <w:keepLines/>
        <w:rPr>
          <w:i/>
        </w:rPr>
      </w:pPr>
      <w:bookmarkStart w:id="301" w:name="_Toc447099779"/>
      <w:bookmarkStart w:id="302" w:name="_Toc508800261"/>
      <w:r>
        <w:lastRenderedPageBreak/>
        <w:t>Table B.2</w:t>
      </w:r>
      <w:r w:rsidRPr="00852320">
        <w:t xml:space="preserve">: </w:t>
      </w:r>
      <w:r w:rsidR="00124B33">
        <w:t>May 3</w:t>
      </w:r>
      <w:r>
        <w:t>, 201</w:t>
      </w:r>
      <w:r w:rsidR="00124B33">
        <w:t>7</w:t>
      </w:r>
      <w:r>
        <w:t xml:space="preserve"> Over/Under Performance – SCE BI</w:t>
      </w:r>
      <w:r w:rsidRPr="00852320">
        <w:t xml:space="preserve">P, </w:t>
      </w:r>
      <w:r w:rsidRPr="00852320">
        <w:rPr>
          <w:i/>
        </w:rPr>
        <w:t>by Industry Group</w:t>
      </w:r>
      <w:r>
        <w:rPr>
          <w:i/>
        </w:rPr>
        <w:t xml:space="preserve"> and Event Hour</w:t>
      </w:r>
      <w:bookmarkEnd w:id="301"/>
      <w:bookmarkEnd w:id="302"/>
    </w:p>
    <w:tbl>
      <w:tblPr>
        <w:tblW w:w="8063" w:type="dxa"/>
        <w:jc w:val="center"/>
        <w:tblLook w:val="04A0" w:firstRow="1" w:lastRow="0" w:firstColumn="1" w:lastColumn="0" w:noHBand="0" w:noVBand="1"/>
      </w:tblPr>
      <w:tblGrid>
        <w:gridCol w:w="3547"/>
        <w:gridCol w:w="1241"/>
        <w:gridCol w:w="1086"/>
        <w:gridCol w:w="1064"/>
        <w:gridCol w:w="1125"/>
      </w:tblGrid>
      <w:tr w:rsidR="00404FEC" w:rsidRPr="00404FEC" w14:paraId="375953AC" w14:textId="77777777" w:rsidTr="0086367A">
        <w:trPr>
          <w:trHeight w:val="293"/>
          <w:jc w:val="center"/>
        </w:trPr>
        <w:tc>
          <w:tcPr>
            <w:tcW w:w="3547" w:type="dxa"/>
            <w:vMerge w:val="restart"/>
            <w:tcBorders>
              <w:top w:val="single" w:sz="4" w:space="0" w:color="auto"/>
              <w:left w:val="single" w:sz="4" w:space="0" w:color="auto"/>
              <w:bottom w:val="nil"/>
              <w:right w:val="single" w:sz="4" w:space="0" w:color="FFFFFF"/>
            </w:tcBorders>
            <w:shd w:val="clear" w:color="auto" w:fill="0C2577"/>
            <w:noWrap/>
            <w:vAlign w:val="bottom"/>
            <w:hideMark/>
          </w:tcPr>
          <w:p w14:paraId="573D9216" w14:textId="77777777" w:rsidR="00404FEC" w:rsidRPr="00404FEC" w:rsidRDefault="00404FEC" w:rsidP="00404FEC">
            <w:pPr>
              <w:jc w:val="center"/>
              <w:rPr>
                <w:rFonts w:cs="Calibri"/>
                <w:b/>
                <w:bCs/>
                <w:color w:val="FFFFFF"/>
                <w:sz w:val="22"/>
                <w:szCs w:val="22"/>
              </w:rPr>
            </w:pPr>
            <w:r w:rsidRPr="00404FEC">
              <w:rPr>
                <w:rFonts w:cs="Calibri"/>
                <w:b/>
                <w:bCs/>
                <w:color w:val="FFFFFF"/>
                <w:sz w:val="22"/>
                <w:szCs w:val="22"/>
              </w:rPr>
              <w:t>Industry Group</w:t>
            </w:r>
          </w:p>
        </w:tc>
        <w:tc>
          <w:tcPr>
            <w:tcW w:w="4516" w:type="dxa"/>
            <w:gridSpan w:val="4"/>
            <w:tcBorders>
              <w:top w:val="single" w:sz="4" w:space="0" w:color="auto"/>
              <w:left w:val="nil"/>
              <w:bottom w:val="nil"/>
              <w:right w:val="single" w:sz="4" w:space="0" w:color="auto"/>
            </w:tcBorders>
            <w:shd w:val="clear" w:color="auto" w:fill="0C2577"/>
            <w:noWrap/>
            <w:vAlign w:val="bottom"/>
            <w:hideMark/>
          </w:tcPr>
          <w:p w14:paraId="701A2DBB" w14:textId="77777777" w:rsidR="00404FEC" w:rsidRPr="00404FEC" w:rsidRDefault="00404FEC" w:rsidP="00404FEC">
            <w:pPr>
              <w:jc w:val="center"/>
              <w:rPr>
                <w:rFonts w:cs="Calibri"/>
                <w:b/>
                <w:bCs/>
                <w:color w:val="FFFFFF"/>
                <w:sz w:val="22"/>
                <w:szCs w:val="22"/>
              </w:rPr>
            </w:pPr>
            <w:r w:rsidRPr="00404FEC">
              <w:rPr>
                <w:rFonts w:cs="Calibri"/>
                <w:b/>
                <w:bCs/>
                <w:color w:val="FFFFFF"/>
                <w:sz w:val="22"/>
                <w:szCs w:val="22"/>
              </w:rPr>
              <w:t>Percent Over/Under Performance</w:t>
            </w:r>
          </w:p>
        </w:tc>
      </w:tr>
      <w:tr w:rsidR="00404FEC" w:rsidRPr="00404FEC" w14:paraId="0A071141" w14:textId="77777777" w:rsidTr="0086367A">
        <w:trPr>
          <w:trHeight w:val="587"/>
          <w:jc w:val="center"/>
        </w:trPr>
        <w:tc>
          <w:tcPr>
            <w:tcW w:w="3547" w:type="dxa"/>
            <w:vMerge/>
            <w:tcBorders>
              <w:top w:val="nil"/>
              <w:left w:val="single" w:sz="4" w:space="0" w:color="auto"/>
              <w:bottom w:val="nil"/>
              <w:right w:val="single" w:sz="4" w:space="0" w:color="FFFFFF"/>
            </w:tcBorders>
            <w:shd w:val="clear" w:color="auto" w:fill="0C2577"/>
            <w:vAlign w:val="center"/>
            <w:hideMark/>
          </w:tcPr>
          <w:p w14:paraId="78EBC752" w14:textId="77777777" w:rsidR="00404FEC" w:rsidRPr="00404FEC" w:rsidRDefault="00404FEC" w:rsidP="00404FEC">
            <w:pPr>
              <w:rPr>
                <w:rFonts w:cs="Calibri"/>
                <w:b/>
                <w:bCs/>
                <w:color w:val="FFFFFF"/>
                <w:sz w:val="22"/>
                <w:szCs w:val="22"/>
              </w:rPr>
            </w:pPr>
          </w:p>
        </w:tc>
        <w:tc>
          <w:tcPr>
            <w:tcW w:w="1241" w:type="dxa"/>
            <w:tcBorders>
              <w:top w:val="single" w:sz="4" w:space="0" w:color="FFFFFF"/>
              <w:left w:val="nil"/>
              <w:bottom w:val="nil"/>
              <w:right w:val="nil"/>
            </w:tcBorders>
            <w:shd w:val="clear" w:color="auto" w:fill="0C2577"/>
            <w:vAlign w:val="bottom"/>
            <w:hideMark/>
          </w:tcPr>
          <w:p w14:paraId="084A8CD4" w14:textId="77777777" w:rsidR="00404FEC" w:rsidRPr="00404FEC" w:rsidRDefault="00404FEC" w:rsidP="00404FEC">
            <w:pPr>
              <w:jc w:val="center"/>
              <w:rPr>
                <w:rFonts w:cs="Calibri"/>
                <w:b/>
                <w:bCs/>
                <w:color w:val="FFFFFF"/>
                <w:sz w:val="22"/>
                <w:szCs w:val="22"/>
              </w:rPr>
            </w:pPr>
            <w:r w:rsidRPr="00404FEC">
              <w:rPr>
                <w:rFonts w:cs="Calibri"/>
                <w:b/>
                <w:bCs/>
                <w:color w:val="FFFFFF"/>
                <w:sz w:val="22"/>
                <w:szCs w:val="22"/>
              </w:rPr>
              <w:t>Hour Before Event</w:t>
            </w:r>
          </w:p>
        </w:tc>
        <w:tc>
          <w:tcPr>
            <w:tcW w:w="1086" w:type="dxa"/>
            <w:tcBorders>
              <w:top w:val="single" w:sz="4" w:space="0" w:color="FFFFFF"/>
              <w:left w:val="single" w:sz="4" w:space="0" w:color="FFFFFF"/>
              <w:bottom w:val="nil"/>
              <w:right w:val="single" w:sz="4" w:space="0" w:color="FFFFFF"/>
            </w:tcBorders>
            <w:shd w:val="clear" w:color="auto" w:fill="0C2577"/>
            <w:vAlign w:val="bottom"/>
            <w:hideMark/>
          </w:tcPr>
          <w:p w14:paraId="2F095431" w14:textId="77777777" w:rsidR="00404FEC" w:rsidRPr="00404FEC" w:rsidRDefault="00404FEC" w:rsidP="00404FEC">
            <w:pPr>
              <w:jc w:val="center"/>
              <w:rPr>
                <w:rFonts w:cs="Calibri"/>
                <w:b/>
                <w:bCs/>
                <w:color w:val="FFFFFF"/>
                <w:sz w:val="22"/>
                <w:szCs w:val="22"/>
              </w:rPr>
            </w:pPr>
            <w:r w:rsidRPr="00404FEC">
              <w:rPr>
                <w:rFonts w:cs="Calibri"/>
                <w:b/>
                <w:bCs/>
                <w:color w:val="FFFFFF"/>
                <w:sz w:val="22"/>
                <w:szCs w:val="22"/>
              </w:rPr>
              <w:t>First Hour of Event</w:t>
            </w:r>
          </w:p>
        </w:tc>
        <w:tc>
          <w:tcPr>
            <w:tcW w:w="1064" w:type="dxa"/>
            <w:tcBorders>
              <w:top w:val="single" w:sz="4" w:space="0" w:color="FFFFFF"/>
              <w:left w:val="nil"/>
              <w:bottom w:val="nil"/>
              <w:right w:val="nil"/>
            </w:tcBorders>
            <w:shd w:val="clear" w:color="auto" w:fill="0C2577"/>
            <w:vAlign w:val="bottom"/>
            <w:hideMark/>
          </w:tcPr>
          <w:p w14:paraId="13EFB7F7" w14:textId="77777777" w:rsidR="00404FEC" w:rsidRPr="00404FEC" w:rsidRDefault="00404FEC" w:rsidP="00404FEC">
            <w:pPr>
              <w:jc w:val="center"/>
              <w:rPr>
                <w:rFonts w:cs="Calibri"/>
                <w:b/>
                <w:bCs/>
                <w:color w:val="FFFFFF"/>
                <w:sz w:val="22"/>
                <w:szCs w:val="22"/>
              </w:rPr>
            </w:pPr>
            <w:r w:rsidRPr="00404FEC">
              <w:rPr>
                <w:rFonts w:cs="Calibri"/>
                <w:b/>
                <w:bCs/>
                <w:color w:val="FFFFFF"/>
                <w:sz w:val="22"/>
                <w:szCs w:val="22"/>
              </w:rPr>
              <w:t>Last Hour of Event</w:t>
            </w:r>
          </w:p>
        </w:tc>
        <w:tc>
          <w:tcPr>
            <w:tcW w:w="1125" w:type="dxa"/>
            <w:tcBorders>
              <w:top w:val="single" w:sz="4" w:space="0" w:color="FFFFFF"/>
              <w:left w:val="single" w:sz="4" w:space="0" w:color="FFFFFF"/>
              <w:bottom w:val="nil"/>
              <w:right w:val="single" w:sz="4" w:space="0" w:color="auto"/>
            </w:tcBorders>
            <w:shd w:val="clear" w:color="auto" w:fill="0C2577"/>
            <w:vAlign w:val="bottom"/>
            <w:hideMark/>
          </w:tcPr>
          <w:p w14:paraId="6E71423D" w14:textId="77777777" w:rsidR="00404FEC" w:rsidRPr="00404FEC" w:rsidRDefault="00404FEC" w:rsidP="00404FEC">
            <w:pPr>
              <w:jc w:val="center"/>
              <w:rPr>
                <w:rFonts w:cs="Calibri"/>
                <w:b/>
                <w:bCs/>
                <w:color w:val="FFFFFF"/>
                <w:sz w:val="22"/>
                <w:szCs w:val="22"/>
              </w:rPr>
            </w:pPr>
            <w:r w:rsidRPr="00404FEC">
              <w:rPr>
                <w:rFonts w:cs="Calibri"/>
                <w:b/>
                <w:bCs/>
                <w:color w:val="FFFFFF"/>
                <w:sz w:val="22"/>
                <w:szCs w:val="22"/>
              </w:rPr>
              <w:t>Hour After Event</w:t>
            </w:r>
          </w:p>
        </w:tc>
      </w:tr>
      <w:tr w:rsidR="00404FEC" w:rsidRPr="00404FEC" w14:paraId="2E52344D" w14:textId="77777777" w:rsidTr="00D67BC6">
        <w:trPr>
          <w:trHeight w:val="259"/>
          <w:jc w:val="center"/>
        </w:trPr>
        <w:tc>
          <w:tcPr>
            <w:tcW w:w="3547" w:type="dxa"/>
            <w:tcBorders>
              <w:top w:val="single" w:sz="4" w:space="0" w:color="FFFFFF"/>
              <w:left w:val="single" w:sz="4" w:space="0" w:color="auto"/>
              <w:bottom w:val="nil"/>
              <w:right w:val="single" w:sz="4" w:space="0" w:color="auto"/>
            </w:tcBorders>
            <w:shd w:val="clear" w:color="000000" w:fill="FFFFFF"/>
            <w:noWrap/>
            <w:vAlign w:val="center"/>
            <w:hideMark/>
          </w:tcPr>
          <w:p w14:paraId="4C2D9E17" w14:textId="77777777" w:rsidR="00404FEC" w:rsidRPr="00404FEC" w:rsidRDefault="00404FEC" w:rsidP="00404FEC">
            <w:pPr>
              <w:rPr>
                <w:rFonts w:ascii="Arial" w:hAnsi="Arial" w:cs="Arial"/>
                <w:color w:val="000000"/>
                <w:sz w:val="20"/>
                <w:szCs w:val="20"/>
              </w:rPr>
            </w:pPr>
            <w:r w:rsidRPr="00404FEC">
              <w:rPr>
                <w:rFonts w:ascii="Arial" w:hAnsi="Arial" w:cs="Arial"/>
                <w:color w:val="000000"/>
                <w:sz w:val="20"/>
                <w:szCs w:val="20"/>
              </w:rPr>
              <w:t>1. Agriculture, Mining, Construction</w:t>
            </w:r>
          </w:p>
        </w:tc>
        <w:tc>
          <w:tcPr>
            <w:tcW w:w="1241" w:type="dxa"/>
            <w:tcBorders>
              <w:top w:val="single" w:sz="4" w:space="0" w:color="FFFFFF"/>
              <w:left w:val="nil"/>
              <w:bottom w:val="nil"/>
              <w:right w:val="single" w:sz="4" w:space="0" w:color="auto"/>
            </w:tcBorders>
            <w:shd w:val="clear" w:color="auto" w:fill="000000" w:themeFill="text1"/>
            <w:noWrap/>
            <w:vAlign w:val="bottom"/>
          </w:tcPr>
          <w:p w14:paraId="0D16AA08" w14:textId="663BED95" w:rsidR="00404FEC" w:rsidRPr="00404FEC" w:rsidRDefault="00404FEC" w:rsidP="00404FEC">
            <w:pPr>
              <w:jc w:val="center"/>
              <w:rPr>
                <w:rFonts w:cs="Calibri"/>
                <w:color w:val="000000"/>
                <w:sz w:val="22"/>
                <w:szCs w:val="22"/>
              </w:rPr>
            </w:pPr>
          </w:p>
        </w:tc>
        <w:tc>
          <w:tcPr>
            <w:tcW w:w="1086" w:type="dxa"/>
            <w:tcBorders>
              <w:top w:val="single" w:sz="4" w:space="0" w:color="FFFFFF"/>
              <w:left w:val="nil"/>
              <w:bottom w:val="nil"/>
              <w:right w:val="single" w:sz="4" w:space="0" w:color="auto"/>
            </w:tcBorders>
            <w:shd w:val="clear" w:color="auto" w:fill="000000" w:themeFill="text1"/>
            <w:noWrap/>
            <w:vAlign w:val="bottom"/>
          </w:tcPr>
          <w:p w14:paraId="3985A7EF" w14:textId="30271420" w:rsidR="00404FEC" w:rsidRPr="00404FEC" w:rsidRDefault="00404FEC" w:rsidP="00404FEC">
            <w:pPr>
              <w:jc w:val="center"/>
              <w:rPr>
                <w:rFonts w:cs="Calibri"/>
                <w:color w:val="000000"/>
                <w:sz w:val="22"/>
                <w:szCs w:val="22"/>
              </w:rPr>
            </w:pPr>
          </w:p>
        </w:tc>
        <w:tc>
          <w:tcPr>
            <w:tcW w:w="1064" w:type="dxa"/>
            <w:tcBorders>
              <w:top w:val="single" w:sz="4" w:space="0" w:color="FFFFFF"/>
              <w:left w:val="nil"/>
              <w:bottom w:val="nil"/>
              <w:right w:val="single" w:sz="4" w:space="0" w:color="auto"/>
            </w:tcBorders>
            <w:shd w:val="clear" w:color="auto" w:fill="000000" w:themeFill="text1"/>
            <w:noWrap/>
            <w:vAlign w:val="bottom"/>
          </w:tcPr>
          <w:p w14:paraId="57884A0C" w14:textId="427225F6" w:rsidR="00404FEC" w:rsidRPr="00404FEC" w:rsidRDefault="00404FEC" w:rsidP="00404FEC">
            <w:pPr>
              <w:jc w:val="center"/>
              <w:rPr>
                <w:rFonts w:cs="Calibri"/>
                <w:color w:val="000000"/>
                <w:sz w:val="22"/>
                <w:szCs w:val="22"/>
              </w:rPr>
            </w:pPr>
          </w:p>
        </w:tc>
        <w:tc>
          <w:tcPr>
            <w:tcW w:w="1125" w:type="dxa"/>
            <w:tcBorders>
              <w:top w:val="single" w:sz="4" w:space="0" w:color="FFFFFF"/>
              <w:left w:val="nil"/>
              <w:bottom w:val="nil"/>
              <w:right w:val="single" w:sz="4" w:space="0" w:color="auto"/>
            </w:tcBorders>
            <w:shd w:val="clear" w:color="auto" w:fill="000000" w:themeFill="text1"/>
            <w:noWrap/>
            <w:vAlign w:val="bottom"/>
          </w:tcPr>
          <w:p w14:paraId="228DA07A" w14:textId="7D87165F" w:rsidR="00404FEC" w:rsidRPr="00404FEC" w:rsidRDefault="00404FEC" w:rsidP="00404FEC">
            <w:pPr>
              <w:jc w:val="center"/>
              <w:rPr>
                <w:rFonts w:cs="Calibri"/>
                <w:color w:val="000000"/>
                <w:sz w:val="22"/>
                <w:szCs w:val="22"/>
              </w:rPr>
            </w:pPr>
          </w:p>
        </w:tc>
      </w:tr>
      <w:tr w:rsidR="00404FEC" w:rsidRPr="00404FEC" w14:paraId="20EAF1C1" w14:textId="77777777" w:rsidTr="00404FEC">
        <w:trPr>
          <w:trHeight w:val="259"/>
          <w:jc w:val="center"/>
        </w:trPr>
        <w:tc>
          <w:tcPr>
            <w:tcW w:w="3547" w:type="dxa"/>
            <w:tcBorders>
              <w:top w:val="nil"/>
              <w:left w:val="single" w:sz="4" w:space="0" w:color="auto"/>
              <w:bottom w:val="nil"/>
              <w:right w:val="single" w:sz="4" w:space="0" w:color="auto"/>
            </w:tcBorders>
            <w:shd w:val="clear" w:color="000000" w:fill="FFFFFF"/>
            <w:noWrap/>
            <w:vAlign w:val="center"/>
            <w:hideMark/>
          </w:tcPr>
          <w:p w14:paraId="22AD287E" w14:textId="77777777" w:rsidR="00404FEC" w:rsidRPr="00404FEC" w:rsidRDefault="00404FEC" w:rsidP="00404FEC">
            <w:pPr>
              <w:rPr>
                <w:rFonts w:ascii="Arial" w:hAnsi="Arial" w:cs="Arial"/>
                <w:color w:val="000000"/>
                <w:sz w:val="20"/>
                <w:szCs w:val="20"/>
              </w:rPr>
            </w:pPr>
            <w:r w:rsidRPr="00404FEC">
              <w:rPr>
                <w:rFonts w:ascii="Arial" w:hAnsi="Arial" w:cs="Arial"/>
                <w:color w:val="000000"/>
                <w:sz w:val="20"/>
                <w:szCs w:val="20"/>
              </w:rPr>
              <w:t>2. Manufacturing</w:t>
            </w:r>
          </w:p>
        </w:tc>
        <w:tc>
          <w:tcPr>
            <w:tcW w:w="1241" w:type="dxa"/>
            <w:tcBorders>
              <w:top w:val="nil"/>
              <w:left w:val="nil"/>
              <w:bottom w:val="nil"/>
              <w:right w:val="single" w:sz="4" w:space="0" w:color="auto"/>
            </w:tcBorders>
            <w:shd w:val="clear" w:color="000000" w:fill="FFFFFF"/>
            <w:noWrap/>
            <w:vAlign w:val="bottom"/>
            <w:hideMark/>
          </w:tcPr>
          <w:p w14:paraId="67F73E4A" w14:textId="77777777" w:rsidR="00404FEC" w:rsidRPr="00404FEC" w:rsidRDefault="00404FEC" w:rsidP="00404FEC">
            <w:pPr>
              <w:jc w:val="center"/>
              <w:rPr>
                <w:rFonts w:cs="Calibri"/>
                <w:color w:val="000000"/>
                <w:sz w:val="22"/>
                <w:szCs w:val="22"/>
              </w:rPr>
            </w:pPr>
            <w:r w:rsidRPr="00404FEC">
              <w:rPr>
                <w:rFonts w:cs="Calibri"/>
                <w:color w:val="000000"/>
                <w:sz w:val="22"/>
                <w:szCs w:val="22"/>
              </w:rPr>
              <w:t>1.1%</w:t>
            </w:r>
          </w:p>
        </w:tc>
        <w:tc>
          <w:tcPr>
            <w:tcW w:w="1086" w:type="dxa"/>
            <w:tcBorders>
              <w:top w:val="nil"/>
              <w:left w:val="nil"/>
              <w:bottom w:val="nil"/>
              <w:right w:val="single" w:sz="4" w:space="0" w:color="auto"/>
            </w:tcBorders>
            <w:shd w:val="clear" w:color="000000" w:fill="FFFFFF"/>
            <w:noWrap/>
            <w:vAlign w:val="bottom"/>
            <w:hideMark/>
          </w:tcPr>
          <w:p w14:paraId="131D98E4" w14:textId="77777777" w:rsidR="00404FEC" w:rsidRPr="00404FEC" w:rsidRDefault="00404FEC" w:rsidP="00404FEC">
            <w:pPr>
              <w:jc w:val="center"/>
              <w:rPr>
                <w:rFonts w:cs="Calibri"/>
                <w:color w:val="000000"/>
                <w:sz w:val="22"/>
                <w:szCs w:val="22"/>
              </w:rPr>
            </w:pPr>
            <w:r w:rsidRPr="00404FEC">
              <w:rPr>
                <w:rFonts w:cs="Calibri"/>
                <w:color w:val="000000"/>
                <w:sz w:val="22"/>
                <w:szCs w:val="22"/>
              </w:rPr>
              <w:t>52.8%</w:t>
            </w:r>
          </w:p>
        </w:tc>
        <w:tc>
          <w:tcPr>
            <w:tcW w:w="1064" w:type="dxa"/>
            <w:tcBorders>
              <w:top w:val="nil"/>
              <w:left w:val="nil"/>
              <w:bottom w:val="nil"/>
              <w:right w:val="single" w:sz="4" w:space="0" w:color="auto"/>
            </w:tcBorders>
            <w:shd w:val="clear" w:color="000000" w:fill="FFFFFF"/>
            <w:noWrap/>
            <w:vAlign w:val="bottom"/>
            <w:hideMark/>
          </w:tcPr>
          <w:p w14:paraId="717F2DE7" w14:textId="77777777" w:rsidR="00404FEC" w:rsidRPr="00404FEC" w:rsidRDefault="00404FEC" w:rsidP="00404FEC">
            <w:pPr>
              <w:jc w:val="center"/>
              <w:rPr>
                <w:rFonts w:cs="Calibri"/>
                <w:color w:val="000000"/>
                <w:sz w:val="22"/>
                <w:szCs w:val="22"/>
              </w:rPr>
            </w:pPr>
            <w:r w:rsidRPr="00404FEC">
              <w:rPr>
                <w:rFonts w:cs="Calibri"/>
                <w:color w:val="000000"/>
                <w:sz w:val="22"/>
                <w:szCs w:val="22"/>
              </w:rPr>
              <w:t>79.6%</w:t>
            </w:r>
          </w:p>
        </w:tc>
        <w:tc>
          <w:tcPr>
            <w:tcW w:w="1125" w:type="dxa"/>
            <w:tcBorders>
              <w:top w:val="nil"/>
              <w:left w:val="nil"/>
              <w:bottom w:val="nil"/>
              <w:right w:val="single" w:sz="4" w:space="0" w:color="auto"/>
            </w:tcBorders>
            <w:shd w:val="clear" w:color="000000" w:fill="FFFFFF"/>
            <w:noWrap/>
            <w:vAlign w:val="bottom"/>
            <w:hideMark/>
          </w:tcPr>
          <w:p w14:paraId="3710F745" w14:textId="77777777" w:rsidR="00404FEC" w:rsidRPr="00404FEC" w:rsidRDefault="00404FEC" w:rsidP="00404FEC">
            <w:pPr>
              <w:jc w:val="center"/>
              <w:rPr>
                <w:rFonts w:cs="Calibri"/>
                <w:color w:val="000000"/>
                <w:sz w:val="22"/>
                <w:szCs w:val="22"/>
              </w:rPr>
            </w:pPr>
            <w:r w:rsidRPr="00404FEC">
              <w:rPr>
                <w:rFonts w:cs="Calibri"/>
                <w:color w:val="000000"/>
                <w:sz w:val="22"/>
                <w:szCs w:val="22"/>
              </w:rPr>
              <w:t>49.3%</w:t>
            </w:r>
          </w:p>
        </w:tc>
      </w:tr>
      <w:tr w:rsidR="00404FEC" w:rsidRPr="00404FEC" w14:paraId="35976E27" w14:textId="77777777" w:rsidTr="00D67BC6">
        <w:trPr>
          <w:trHeight w:val="259"/>
          <w:jc w:val="center"/>
        </w:trPr>
        <w:tc>
          <w:tcPr>
            <w:tcW w:w="3547" w:type="dxa"/>
            <w:tcBorders>
              <w:top w:val="nil"/>
              <w:left w:val="single" w:sz="4" w:space="0" w:color="auto"/>
              <w:bottom w:val="nil"/>
              <w:right w:val="single" w:sz="4" w:space="0" w:color="auto"/>
            </w:tcBorders>
            <w:shd w:val="clear" w:color="000000" w:fill="FFFFFF"/>
            <w:noWrap/>
            <w:vAlign w:val="center"/>
            <w:hideMark/>
          </w:tcPr>
          <w:p w14:paraId="70492ADD" w14:textId="77777777" w:rsidR="00404FEC" w:rsidRPr="00404FEC" w:rsidRDefault="00404FEC" w:rsidP="00404FEC">
            <w:pPr>
              <w:rPr>
                <w:rFonts w:ascii="Arial" w:hAnsi="Arial" w:cs="Arial"/>
                <w:color w:val="000000"/>
                <w:sz w:val="20"/>
                <w:szCs w:val="20"/>
              </w:rPr>
            </w:pPr>
            <w:r w:rsidRPr="00404FEC">
              <w:rPr>
                <w:rFonts w:ascii="Arial" w:hAnsi="Arial" w:cs="Arial"/>
                <w:color w:val="000000"/>
                <w:sz w:val="20"/>
                <w:szCs w:val="20"/>
              </w:rPr>
              <w:t>3. Wholesale, Transportation, Utilities</w:t>
            </w:r>
          </w:p>
        </w:tc>
        <w:tc>
          <w:tcPr>
            <w:tcW w:w="1241" w:type="dxa"/>
            <w:tcBorders>
              <w:top w:val="nil"/>
              <w:left w:val="nil"/>
              <w:bottom w:val="nil"/>
              <w:right w:val="single" w:sz="4" w:space="0" w:color="auto"/>
            </w:tcBorders>
            <w:shd w:val="clear" w:color="auto" w:fill="000000" w:themeFill="text1"/>
            <w:noWrap/>
            <w:vAlign w:val="bottom"/>
          </w:tcPr>
          <w:p w14:paraId="41FE5181" w14:textId="0415D91F" w:rsidR="00404FEC" w:rsidRPr="00404FEC" w:rsidRDefault="00404FEC" w:rsidP="00404FEC">
            <w:pPr>
              <w:jc w:val="center"/>
              <w:rPr>
                <w:rFonts w:cs="Calibri"/>
                <w:color w:val="000000"/>
                <w:sz w:val="22"/>
                <w:szCs w:val="22"/>
              </w:rPr>
            </w:pPr>
          </w:p>
        </w:tc>
        <w:tc>
          <w:tcPr>
            <w:tcW w:w="1086" w:type="dxa"/>
            <w:tcBorders>
              <w:top w:val="nil"/>
              <w:left w:val="nil"/>
              <w:bottom w:val="nil"/>
              <w:right w:val="single" w:sz="4" w:space="0" w:color="auto"/>
            </w:tcBorders>
            <w:shd w:val="clear" w:color="auto" w:fill="000000" w:themeFill="text1"/>
            <w:noWrap/>
            <w:vAlign w:val="bottom"/>
          </w:tcPr>
          <w:p w14:paraId="54898705" w14:textId="4B07C4CD" w:rsidR="00404FEC" w:rsidRPr="00404FEC" w:rsidRDefault="00404FEC" w:rsidP="00404FEC">
            <w:pPr>
              <w:jc w:val="center"/>
              <w:rPr>
                <w:rFonts w:cs="Calibri"/>
                <w:color w:val="000000"/>
                <w:sz w:val="22"/>
                <w:szCs w:val="22"/>
              </w:rPr>
            </w:pPr>
          </w:p>
        </w:tc>
        <w:tc>
          <w:tcPr>
            <w:tcW w:w="1064" w:type="dxa"/>
            <w:tcBorders>
              <w:top w:val="nil"/>
              <w:left w:val="nil"/>
              <w:bottom w:val="nil"/>
              <w:right w:val="single" w:sz="4" w:space="0" w:color="auto"/>
            </w:tcBorders>
            <w:shd w:val="clear" w:color="auto" w:fill="000000" w:themeFill="text1"/>
            <w:noWrap/>
            <w:vAlign w:val="bottom"/>
          </w:tcPr>
          <w:p w14:paraId="3B0DBDC2" w14:textId="3F2A0B7E" w:rsidR="00404FEC" w:rsidRPr="00404FEC" w:rsidRDefault="00404FEC" w:rsidP="00404FEC">
            <w:pPr>
              <w:jc w:val="center"/>
              <w:rPr>
                <w:rFonts w:cs="Calibri"/>
                <w:color w:val="000000"/>
                <w:sz w:val="22"/>
                <w:szCs w:val="22"/>
              </w:rPr>
            </w:pPr>
          </w:p>
        </w:tc>
        <w:tc>
          <w:tcPr>
            <w:tcW w:w="1125" w:type="dxa"/>
            <w:tcBorders>
              <w:top w:val="nil"/>
              <w:left w:val="nil"/>
              <w:bottom w:val="nil"/>
              <w:right w:val="single" w:sz="4" w:space="0" w:color="auto"/>
            </w:tcBorders>
            <w:shd w:val="clear" w:color="auto" w:fill="000000" w:themeFill="text1"/>
            <w:noWrap/>
            <w:vAlign w:val="bottom"/>
          </w:tcPr>
          <w:p w14:paraId="19358762" w14:textId="6D6462AA" w:rsidR="00404FEC" w:rsidRPr="00404FEC" w:rsidRDefault="00404FEC" w:rsidP="00404FEC">
            <w:pPr>
              <w:jc w:val="center"/>
              <w:rPr>
                <w:rFonts w:cs="Calibri"/>
                <w:color w:val="000000"/>
                <w:sz w:val="22"/>
                <w:szCs w:val="22"/>
              </w:rPr>
            </w:pPr>
          </w:p>
        </w:tc>
      </w:tr>
      <w:tr w:rsidR="00404FEC" w:rsidRPr="00404FEC" w14:paraId="0C85C85C" w14:textId="77777777" w:rsidTr="00404FEC">
        <w:trPr>
          <w:trHeight w:val="259"/>
          <w:jc w:val="center"/>
        </w:trPr>
        <w:tc>
          <w:tcPr>
            <w:tcW w:w="3547" w:type="dxa"/>
            <w:tcBorders>
              <w:top w:val="nil"/>
              <w:left w:val="single" w:sz="4" w:space="0" w:color="auto"/>
              <w:bottom w:val="nil"/>
              <w:right w:val="single" w:sz="4" w:space="0" w:color="auto"/>
            </w:tcBorders>
            <w:shd w:val="clear" w:color="000000" w:fill="FFFFFF"/>
            <w:noWrap/>
            <w:vAlign w:val="center"/>
            <w:hideMark/>
          </w:tcPr>
          <w:p w14:paraId="0D69A6D0" w14:textId="77777777" w:rsidR="00404FEC" w:rsidRPr="00404FEC" w:rsidRDefault="00404FEC" w:rsidP="00404FEC">
            <w:pPr>
              <w:rPr>
                <w:rFonts w:ascii="Arial" w:hAnsi="Arial" w:cs="Arial"/>
                <w:color w:val="000000"/>
                <w:sz w:val="20"/>
                <w:szCs w:val="20"/>
              </w:rPr>
            </w:pPr>
            <w:r w:rsidRPr="00404FEC">
              <w:rPr>
                <w:rFonts w:ascii="Arial" w:hAnsi="Arial" w:cs="Arial"/>
                <w:color w:val="000000"/>
                <w:sz w:val="20"/>
                <w:szCs w:val="20"/>
              </w:rPr>
              <w:t>4. Retail</w:t>
            </w:r>
          </w:p>
        </w:tc>
        <w:tc>
          <w:tcPr>
            <w:tcW w:w="1241" w:type="dxa"/>
            <w:tcBorders>
              <w:top w:val="nil"/>
              <w:left w:val="nil"/>
              <w:bottom w:val="nil"/>
              <w:right w:val="single" w:sz="4" w:space="0" w:color="auto"/>
            </w:tcBorders>
            <w:shd w:val="clear" w:color="000000" w:fill="FFFFFF"/>
            <w:noWrap/>
            <w:vAlign w:val="bottom"/>
            <w:hideMark/>
          </w:tcPr>
          <w:p w14:paraId="29312878" w14:textId="77777777" w:rsidR="00404FEC" w:rsidRPr="00404FEC" w:rsidRDefault="00404FEC" w:rsidP="00404FEC">
            <w:pPr>
              <w:jc w:val="center"/>
              <w:rPr>
                <w:rFonts w:cs="Calibri"/>
                <w:color w:val="000000"/>
                <w:sz w:val="22"/>
                <w:szCs w:val="22"/>
              </w:rPr>
            </w:pPr>
            <w:r w:rsidRPr="00404FEC">
              <w:rPr>
                <w:rFonts w:cs="Calibri"/>
                <w:color w:val="000000"/>
                <w:sz w:val="22"/>
                <w:szCs w:val="22"/>
              </w:rPr>
              <w:t>-2.7%</w:t>
            </w:r>
          </w:p>
        </w:tc>
        <w:tc>
          <w:tcPr>
            <w:tcW w:w="1086" w:type="dxa"/>
            <w:tcBorders>
              <w:top w:val="nil"/>
              <w:left w:val="nil"/>
              <w:bottom w:val="nil"/>
              <w:right w:val="single" w:sz="4" w:space="0" w:color="auto"/>
            </w:tcBorders>
            <w:shd w:val="clear" w:color="000000" w:fill="FFFFFF"/>
            <w:noWrap/>
            <w:vAlign w:val="bottom"/>
            <w:hideMark/>
          </w:tcPr>
          <w:p w14:paraId="5DEA5231" w14:textId="77777777" w:rsidR="00404FEC" w:rsidRPr="00404FEC" w:rsidRDefault="00404FEC" w:rsidP="00404FEC">
            <w:pPr>
              <w:jc w:val="center"/>
              <w:rPr>
                <w:rFonts w:cs="Calibri"/>
                <w:color w:val="000000"/>
                <w:sz w:val="22"/>
                <w:szCs w:val="22"/>
              </w:rPr>
            </w:pPr>
            <w:r w:rsidRPr="00404FEC">
              <w:rPr>
                <w:rFonts w:cs="Calibri"/>
                <w:color w:val="000000"/>
                <w:sz w:val="22"/>
                <w:szCs w:val="22"/>
              </w:rPr>
              <w:t>4.2%</w:t>
            </w:r>
          </w:p>
        </w:tc>
        <w:tc>
          <w:tcPr>
            <w:tcW w:w="1064" w:type="dxa"/>
            <w:tcBorders>
              <w:top w:val="nil"/>
              <w:left w:val="nil"/>
              <w:bottom w:val="nil"/>
              <w:right w:val="single" w:sz="4" w:space="0" w:color="auto"/>
            </w:tcBorders>
            <w:shd w:val="clear" w:color="000000" w:fill="FFFFFF"/>
            <w:noWrap/>
            <w:vAlign w:val="bottom"/>
            <w:hideMark/>
          </w:tcPr>
          <w:p w14:paraId="01601066" w14:textId="77777777" w:rsidR="00404FEC" w:rsidRPr="00404FEC" w:rsidRDefault="00404FEC" w:rsidP="00404FEC">
            <w:pPr>
              <w:jc w:val="center"/>
              <w:rPr>
                <w:rFonts w:cs="Calibri"/>
                <w:color w:val="000000"/>
                <w:sz w:val="22"/>
                <w:szCs w:val="22"/>
              </w:rPr>
            </w:pPr>
            <w:r w:rsidRPr="00404FEC">
              <w:rPr>
                <w:rFonts w:cs="Calibri"/>
                <w:color w:val="000000"/>
                <w:sz w:val="22"/>
                <w:szCs w:val="22"/>
              </w:rPr>
              <w:t>3.8%</w:t>
            </w:r>
          </w:p>
        </w:tc>
        <w:tc>
          <w:tcPr>
            <w:tcW w:w="1125" w:type="dxa"/>
            <w:tcBorders>
              <w:top w:val="nil"/>
              <w:left w:val="nil"/>
              <w:bottom w:val="nil"/>
              <w:right w:val="single" w:sz="4" w:space="0" w:color="auto"/>
            </w:tcBorders>
            <w:shd w:val="clear" w:color="000000" w:fill="FFFFFF"/>
            <w:noWrap/>
            <w:vAlign w:val="bottom"/>
            <w:hideMark/>
          </w:tcPr>
          <w:p w14:paraId="5D61D06D" w14:textId="77777777" w:rsidR="00404FEC" w:rsidRPr="00404FEC" w:rsidRDefault="00404FEC" w:rsidP="00404FEC">
            <w:pPr>
              <w:jc w:val="center"/>
              <w:rPr>
                <w:rFonts w:cs="Calibri"/>
                <w:color w:val="000000"/>
                <w:sz w:val="22"/>
                <w:szCs w:val="22"/>
              </w:rPr>
            </w:pPr>
            <w:r w:rsidRPr="00404FEC">
              <w:rPr>
                <w:rFonts w:cs="Calibri"/>
                <w:color w:val="000000"/>
                <w:sz w:val="22"/>
                <w:szCs w:val="22"/>
              </w:rPr>
              <w:t>-3.0%</w:t>
            </w:r>
          </w:p>
        </w:tc>
      </w:tr>
      <w:tr w:rsidR="00404FEC" w:rsidRPr="00404FEC" w14:paraId="41610940" w14:textId="77777777" w:rsidTr="00D67BC6">
        <w:trPr>
          <w:trHeight w:val="259"/>
          <w:jc w:val="center"/>
        </w:trPr>
        <w:tc>
          <w:tcPr>
            <w:tcW w:w="3547" w:type="dxa"/>
            <w:tcBorders>
              <w:top w:val="nil"/>
              <w:left w:val="single" w:sz="4" w:space="0" w:color="auto"/>
              <w:bottom w:val="nil"/>
              <w:right w:val="single" w:sz="4" w:space="0" w:color="auto"/>
            </w:tcBorders>
            <w:shd w:val="clear" w:color="000000" w:fill="FFFFFF"/>
            <w:noWrap/>
            <w:vAlign w:val="center"/>
            <w:hideMark/>
          </w:tcPr>
          <w:p w14:paraId="03641970" w14:textId="77777777" w:rsidR="00404FEC" w:rsidRPr="00404FEC" w:rsidRDefault="00404FEC" w:rsidP="00404FEC">
            <w:pPr>
              <w:rPr>
                <w:rFonts w:ascii="Arial" w:hAnsi="Arial" w:cs="Arial"/>
                <w:color w:val="000000"/>
                <w:sz w:val="20"/>
                <w:szCs w:val="20"/>
              </w:rPr>
            </w:pPr>
            <w:r w:rsidRPr="00404FEC">
              <w:rPr>
                <w:rFonts w:ascii="Arial" w:hAnsi="Arial" w:cs="Arial"/>
                <w:color w:val="000000"/>
                <w:sz w:val="20"/>
                <w:szCs w:val="20"/>
              </w:rPr>
              <w:t>5. Offices, Hotels, Health, Services</w:t>
            </w:r>
          </w:p>
        </w:tc>
        <w:tc>
          <w:tcPr>
            <w:tcW w:w="1241" w:type="dxa"/>
            <w:tcBorders>
              <w:top w:val="nil"/>
              <w:left w:val="nil"/>
              <w:bottom w:val="nil"/>
              <w:right w:val="single" w:sz="4" w:space="0" w:color="auto"/>
            </w:tcBorders>
            <w:shd w:val="clear" w:color="auto" w:fill="000000" w:themeFill="text1"/>
            <w:noWrap/>
            <w:vAlign w:val="bottom"/>
          </w:tcPr>
          <w:p w14:paraId="32309104" w14:textId="5BD5C97D" w:rsidR="00404FEC" w:rsidRPr="00404FEC" w:rsidRDefault="00404FEC" w:rsidP="00404FEC">
            <w:pPr>
              <w:jc w:val="center"/>
              <w:rPr>
                <w:rFonts w:cs="Calibri"/>
                <w:color w:val="000000"/>
                <w:sz w:val="22"/>
                <w:szCs w:val="22"/>
              </w:rPr>
            </w:pPr>
          </w:p>
        </w:tc>
        <w:tc>
          <w:tcPr>
            <w:tcW w:w="1086" w:type="dxa"/>
            <w:tcBorders>
              <w:top w:val="nil"/>
              <w:left w:val="nil"/>
              <w:bottom w:val="nil"/>
              <w:right w:val="single" w:sz="4" w:space="0" w:color="auto"/>
            </w:tcBorders>
            <w:shd w:val="clear" w:color="auto" w:fill="000000" w:themeFill="text1"/>
            <w:noWrap/>
            <w:vAlign w:val="bottom"/>
          </w:tcPr>
          <w:p w14:paraId="0C380A31" w14:textId="2631B411" w:rsidR="00404FEC" w:rsidRPr="00404FEC" w:rsidRDefault="00404FEC" w:rsidP="00404FEC">
            <w:pPr>
              <w:jc w:val="center"/>
              <w:rPr>
                <w:rFonts w:cs="Calibri"/>
                <w:color w:val="000000"/>
                <w:sz w:val="22"/>
                <w:szCs w:val="22"/>
              </w:rPr>
            </w:pPr>
          </w:p>
        </w:tc>
        <w:tc>
          <w:tcPr>
            <w:tcW w:w="1064" w:type="dxa"/>
            <w:tcBorders>
              <w:top w:val="nil"/>
              <w:left w:val="nil"/>
              <w:bottom w:val="nil"/>
              <w:right w:val="single" w:sz="4" w:space="0" w:color="auto"/>
            </w:tcBorders>
            <w:shd w:val="clear" w:color="auto" w:fill="000000" w:themeFill="text1"/>
            <w:noWrap/>
            <w:vAlign w:val="bottom"/>
          </w:tcPr>
          <w:p w14:paraId="5CEBB511" w14:textId="1858EABB" w:rsidR="00404FEC" w:rsidRPr="00404FEC" w:rsidRDefault="00404FEC" w:rsidP="00404FEC">
            <w:pPr>
              <w:jc w:val="center"/>
              <w:rPr>
                <w:rFonts w:cs="Calibri"/>
                <w:color w:val="000000"/>
                <w:sz w:val="22"/>
                <w:szCs w:val="22"/>
              </w:rPr>
            </w:pPr>
          </w:p>
        </w:tc>
        <w:tc>
          <w:tcPr>
            <w:tcW w:w="1125" w:type="dxa"/>
            <w:tcBorders>
              <w:top w:val="nil"/>
              <w:left w:val="nil"/>
              <w:bottom w:val="nil"/>
              <w:right w:val="single" w:sz="4" w:space="0" w:color="auto"/>
            </w:tcBorders>
            <w:shd w:val="clear" w:color="auto" w:fill="000000" w:themeFill="text1"/>
            <w:noWrap/>
            <w:vAlign w:val="bottom"/>
          </w:tcPr>
          <w:p w14:paraId="598E4104" w14:textId="07B07A85" w:rsidR="00404FEC" w:rsidRPr="00404FEC" w:rsidRDefault="00404FEC" w:rsidP="00404FEC">
            <w:pPr>
              <w:jc w:val="center"/>
              <w:rPr>
                <w:rFonts w:cs="Calibri"/>
                <w:color w:val="000000"/>
                <w:sz w:val="22"/>
                <w:szCs w:val="22"/>
              </w:rPr>
            </w:pPr>
          </w:p>
        </w:tc>
      </w:tr>
      <w:tr w:rsidR="00404FEC" w:rsidRPr="00404FEC" w14:paraId="516FD4D5" w14:textId="77777777" w:rsidTr="00D67BC6">
        <w:trPr>
          <w:trHeight w:val="259"/>
          <w:jc w:val="center"/>
        </w:trPr>
        <w:tc>
          <w:tcPr>
            <w:tcW w:w="3547" w:type="dxa"/>
            <w:tcBorders>
              <w:top w:val="nil"/>
              <w:left w:val="single" w:sz="4" w:space="0" w:color="auto"/>
              <w:bottom w:val="nil"/>
              <w:right w:val="single" w:sz="4" w:space="0" w:color="auto"/>
            </w:tcBorders>
            <w:shd w:val="clear" w:color="000000" w:fill="FFFFFF"/>
            <w:noWrap/>
            <w:vAlign w:val="center"/>
            <w:hideMark/>
          </w:tcPr>
          <w:p w14:paraId="42ACAB13" w14:textId="77777777" w:rsidR="00404FEC" w:rsidRPr="00404FEC" w:rsidRDefault="00404FEC" w:rsidP="00404FEC">
            <w:pPr>
              <w:rPr>
                <w:rFonts w:ascii="Arial" w:hAnsi="Arial" w:cs="Arial"/>
                <w:color w:val="000000"/>
                <w:sz w:val="20"/>
                <w:szCs w:val="20"/>
              </w:rPr>
            </w:pPr>
            <w:r w:rsidRPr="00404FEC">
              <w:rPr>
                <w:rFonts w:ascii="Arial" w:hAnsi="Arial" w:cs="Arial"/>
                <w:color w:val="000000"/>
                <w:sz w:val="20"/>
                <w:szCs w:val="20"/>
              </w:rPr>
              <w:t>7. Institutional/Government</w:t>
            </w:r>
          </w:p>
        </w:tc>
        <w:tc>
          <w:tcPr>
            <w:tcW w:w="1241" w:type="dxa"/>
            <w:tcBorders>
              <w:top w:val="nil"/>
              <w:left w:val="nil"/>
              <w:bottom w:val="nil"/>
              <w:right w:val="single" w:sz="4" w:space="0" w:color="auto"/>
            </w:tcBorders>
            <w:shd w:val="clear" w:color="auto" w:fill="000000" w:themeFill="text1"/>
            <w:noWrap/>
            <w:vAlign w:val="bottom"/>
          </w:tcPr>
          <w:p w14:paraId="752BD509" w14:textId="123FF462" w:rsidR="00404FEC" w:rsidRPr="00404FEC" w:rsidRDefault="00404FEC" w:rsidP="00404FEC">
            <w:pPr>
              <w:jc w:val="center"/>
              <w:rPr>
                <w:rFonts w:cs="Calibri"/>
                <w:color w:val="000000"/>
                <w:sz w:val="22"/>
                <w:szCs w:val="22"/>
              </w:rPr>
            </w:pPr>
          </w:p>
        </w:tc>
        <w:tc>
          <w:tcPr>
            <w:tcW w:w="1086" w:type="dxa"/>
            <w:tcBorders>
              <w:top w:val="nil"/>
              <w:left w:val="nil"/>
              <w:bottom w:val="nil"/>
              <w:right w:val="single" w:sz="4" w:space="0" w:color="auto"/>
            </w:tcBorders>
            <w:shd w:val="clear" w:color="auto" w:fill="000000" w:themeFill="text1"/>
            <w:noWrap/>
            <w:vAlign w:val="bottom"/>
          </w:tcPr>
          <w:p w14:paraId="2D98B202" w14:textId="41631C42" w:rsidR="00404FEC" w:rsidRPr="00404FEC" w:rsidRDefault="00404FEC" w:rsidP="00404FEC">
            <w:pPr>
              <w:jc w:val="center"/>
              <w:rPr>
                <w:rFonts w:cs="Calibri"/>
                <w:color w:val="000000"/>
                <w:sz w:val="22"/>
                <w:szCs w:val="22"/>
              </w:rPr>
            </w:pPr>
          </w:p>
        </w:tc>
        <w:tc>
          <w:tcPr>
            <w:tcW w:w="1064" w:type="dxa"/>
            <w:tcBorders>
              <w:top w:val="nil"/>
              <w:left w:val="nil"/>
              <w:bottom w:val="nil"/>
              <w:right w:val="single" w:sz="4" w:space="0" w:color="auto"/>
            </w:tcBorders>
            <w:shd w:val="clear" w:color="auto" w:fill="000000" w:themeFill="text1"/>
            <w:noWrap/>
            <w:vAlign w:val="bottom"/>
          </w:tcPr>
          <w:p w14:paraId="55F1B464" w14:textId="0FE438C8" w:rsidR="00404FEC" w:rsidRPr="00404FEC" w:rsidRDefault="00404FEC" w:rsidP="00404FEC">
            <w:pPr>
              <w:jc w:val="center"/>
              <w:rPr>
                <w:rFonts w:cs="Calibri"/>
                <w:color w:val="000000"/>
                <w:sz w:val="22"/>
                <w:szCs w:val="22"/>
              </w:rPr>
            </w:pPr>
          </w:p>
        </w:tc>
        <w:tc>
          <w:tcPr>
            <w:tcW w:w="1125" w:type="dxa"/>
            <w:tcBorders>
              <w:top w:val="nil"/>
              <w:left w:val="nil"/>
              <w:bottom w:val="nil"/>
              <w:right w:val="single" w:sz="4" w:space="0" w:color="auto"/>
            </w:tcBorders>
            <w:shd w:val="clear" w:color="auto" w:fill="000000" w:themeFill="text1"/>
            <w:noWrap/>
            <w:vAlign w:val="bottom"/>
          </w:tcPr>
          <w:p w14:paraId="34A24CFA" w14:textId="339FAE08" w:rsidR="00404FEC" w:rsidRPr="00404FEC" w:rsidRDefault="00404FEC" w:rsidP="00404FEC">
            <w:pPr>
              <w:jc w:val="center"/>
              <w:rPr>
                <w:rFonts w:cs="Calibri"/>
                <w:color w:val="000000"/>
                <w:sz w:val="22"/>
                <w:szCs w:val="22"/>
              </w:rPr>
            </w:pPr>
          </w:p>
        </w:tc>
      </w:tr>
      <w:tr w:rsidR="00404FEC" w:rsidRPr="00404FEC" w14:paraId="4C10C3A2" w14:textId="77777777" w:rsidTr="00D67BC6">
        <w:trPr>
          <w:trHeight w:val="259"/>
          <w:jc w:val="center"/>
        </w:trPr>
        <w:tc>
          <w:tcPr>
            <w:tcW w:w="3547" w:type="dxa"/>
            <w:tcBorders>
              <w:top w:val="nil"/>
              <w:left w:val="single" w:sz="4" w:space="0" w:color="auto"/>
              <w:bottom w:val="single" w:sz="4" w:space="0" w:color="auto"/>
              <w:right w:val="single" w:sz="4" w:space="0" w:color="auto"/>
            </w:tcBorders>
            <w:shd w:val="clear" w:color="000000" w:fill="FFFFFF"/>
            <w:noWrap/>
            <w:vAlign w:val="center"/>
            <w:hideMark/>
          </w:tcPr>
          <w:p w14:paraId="4A44CA31" w14:textId="77777777" w:rsidR="00404FEC" w:rsidRPr="00404FEC" w:rsidRDefault="00404FEC" w:rsidP="00404FEC">
            <w:pPr>
              <w:rPr>
                <w:rFonts w:ascii="Arial" w:hAnsi="Arial" w:cs="Arial"/>
                <w:color w:val="000000"/>
                <w:sz w:val="20"/>
                <w:szCs w:val="20"/>
              </w:rPr>
            </w:pPr>
            <w:r w:rsidRPr="00404FEC">
              <w:rPr>
                <w:rFonts w:ascii="Arial" w:hAnsi="Arial" w:cs="Arial"/>
                <w:color w:val="000000"/>
                <w:sz w:val="20"/>
                <w:szCs w:val="20"/>
              </w:rPr>
              <w:t>8. Other</w:t>
            </w:r>
          </w:p>
        </w:tc>
        <w:tc>
          <w:tcPr>
            <w:tcW w:w="1241" w:type="dxa"/>
            <w:tcBorders>
              <w:top w:val="nil"/>
              <w:left w:val="nil"/>
              <w:bottom w:val="single" w:sz="4" w:space="0" w:color="auto"/>
              <w:right w:val="single" w:sz="4" w:space="0" w:color="auto"/>
            </w:tcBorders>
            <w:shd w:val="clear" w:color="auto" w:fill="000000" w:themeFill="text1"/>
            <w:noWrap/>
            <w:vAlign w:val="bottom"/>
          </w:tcPr>
          <w:p w14:paraId="4C0D9955" w14:textId="1ECBE85C" w:rsidR="00404FEC" w:rsidRPr="00404FEC" w:rsidRDefault="00404FEC" w:rsidP="00404FEC">
            <w:pPr>
              <w:jc w:val="center"/>
              <w:rPr>
                <w:rFonts w:cs="Calibri"/>
                <w:color w:val="000000"/>
                <w:sz w:val="22"/>
                <w:szCs w:val="22"/>
              </w:rPr>
            </w:pPr>
          </w:p>
        </w:tc>
        <w:tc>
          <w:tcPr>
            <w:tcW w:w="1086" w:type="dxa"/>
            <w:tcBorders>
              <w:top w:val="nil"/>
              <w:left w:val="nil"/>
              <w:bottom w:val="single" w:sz="4" w:space="0" w:color="auto"/>
              <w:right w:val="single" w:sz="4" w:space="0" w:color="auto"/>
            </w:tcBorders>
            <w:shd w:val="clear" w:color="auto" w:fill="000000" w:themeFill="text1"/>
            <w:noWrap/>
            <w:vAlign w:val="bottom"/>
          </w:tcPr>
          <w:p w14:paraId="40C0426C" w14:textId="74634145" w:rsidR="00404FEC" w:rsidRPr="00404FEC" w:rsidRDefault="00404FEC" w:rsidP="00404FEC">
            <w:pPr>
              <w:jc w:val="center"/>
              <w:rPr>
                <w:rFonts w:cs="Calibri"/>
                <w:color w:val="000000"/>
                <w:sz w:val="22"/>
                <w:szCs w:val="22"/>
              </w:rPr>
            </w:pPr>
          </w:p>
        </w:tc>
        <w:tc>
          <w:tcPr>
            <w:tcW w:w="1064" w:type="dxa"/>
            <w:tcBorders>
              <w:top w:val="nil"/>
              <w:left w:val="nil"/>
              <w:bottom w:val="single" w:sz="4" w:space="0" w:color="auto"/>
              <w:right w:val="single" w:sz="4" w:space="0" w:color="auto"/>
            </w:tcBorders>
            <w:shd w:val="clear" w:color="auto" w:fill="000000" w:themeFill="text1"/>
            <w:noWrap/>
            <w:vAlign w:val="bottom"/>
          </w:tcPr>
          <w:p w14:paraId="2AC0FC55" w14:textId="1E59C18F" w:rsidR="00404FEC" w:rsidRPr="00404FEC" w:rsidRDefault="00404FEC" w:rsidP="00404FEC">
            <w:pPr>
              <w:jc w:val="center"/>
              <w:rPr>
                <w:rFonts w:cs="Calibri"/>
                <w:color w:val="000000"/>
                <w:sz w:val="22"/>
                <w:szCs w:val="22"/>
              </w:rPr>
            </w:pPr>
          </w:p>
        </w:tc>
        <w:tc>
          <w:tcPr>
            <w:tcW w:w="1125" w:type="dxa"/>
            <w:tcBorders>
              <w:top w:val="nil"/>
              <w:left w:val="nil"/>
              <w:bottom w:val="single" w:sz="4" w:space="0" w:color="auto"/>
              <w:right w:val="single" w:sz="4" w:space="0" w:color="auto"/>
            </w:tcBorders>
            <w:shd w:val="clear" w:color="auto" w:fill="000000" w:themeFill="text1"/>
            <w:noWrap/>
            <w:vAlign w:val="bottom"/>
          </w:tcPr>
          <w:p w14:paraId="489D0D37" w14:textId="3A8F165D" w:rsidR="00404FEC" w:rsidRPr="00404FEC" w:rsidRDefault="00404FEC" w:rsidP="00404FEC">
            <w:pPr>
              <w:jc w:val="center"/>
              <w:rPr>
                <w:rFonts w:cs="Calibri"/>
                <w:color w:val="000000"/>
                <w:sz w:val="22"/>
                <w:szCs w:val="22"/>
              </w:rPr>
            </w:pPr>
          </w:p>
        </w:tc>
      </w:tr>
    </w:tbl>
    <w:p w14:paraId="73B74A2A" w14:textId="17F62659" w:rsidR="003935D1" w:rsidRDefault="003935D1" w:rsidP="003935D1">
      <w:pPr>
        <w:keepNext/>
        <w:keepLines/>
      </w:pPr>
      <w:r>
        <w:t>(</w:t>
      </w:r>
      <w:r w:rsidR="007B041F">
        <w:t xml:space="preserve">HE19, HE20, HE21, and HE22 </w:t>
      </w:r>
      <w:r>
        <w:t>are shown</w:t>
      </w:r>
      <w:r w:rsidR="00962AFE">
        <w:t>. Note that HE22 is a partial event hour because the event ended at 9:18 p.m.)</w:t>
      </w:r>
    </w:p>
    <w:p w14:paraId="59A51E79" w14:textId="503F506D" w:rsidR="003935D1" w:rsidRDefault="003935D1" w:rsidP="003935D1"/>
    <w:p w14:paraId="2FE43112" w14:textId="539FFF17" w:rsidR="005618C3" w:rsidRDefault="003935D1" w:rsidP="005618C3">
      <w:pPr>
        <w:pStyle w:val="TableCaption"/>
        <w:keepNext/>
        <w:keepLines/>
        <w:rPr>
          <w:i/>
        </w:rPr>
      </w:pPr>
      <w:bookmarkStart w:id="303" w:name="_Toc447099780"/>
      <w:bookmarkStart w:id="304" w:name="_Toc508800262"/>
      <w:r>
        <w:t>Table B.3</w:t>
      </w:r>
      <w:r w:rsidRPr="00852320">
        <w:t xml:space="preserve">: </w:t>
      </w:r>
      <w:r w:rsidR="00124B33">
        <w:t>August 31</w:t>
      </w:r>
      <w:r>
        <w:t>, 201</w:t>
      </w:r>
      <w:r w:rsidR="00124B33">
        <w:t>7</w:t>
      </w:r>
      <w:r>
        <w:t xml:space="preserve"> Over/Under Performance – SDG&amp;E BI</w:t>
      </w:r>
      <w:r w:rsidRPr="00852320">
        <w:t xml:space="preserve">P, </w:t>
      </w:r>
      <w:r w:rsidRPr="00852320">
        <w:rPr>
          <w:i/>
        </w:rPr>
        <w:t>by Industry Group</w:t>
      </w:r>
      <w:r>
        <w:rPr>
          <w:i/>
        </w:rPr>
        <w:t xml:space="preserve"> and Event Hour</w:t>
      </w:r>
      <w:bookmarkEnd w:id="303"/>
      <w:bookmarkEnd w:id="304"/>
    </w:p>
    <w:tbl>
      <w:tblPr>
        <w:tblW w:w="8183" w:type="dxa"/>
        <w:jc w:val="center"/>
        <w:tblLook w:val="04A0" w:firstRow="1" w:lastRow="0" w:firstColumn="1" w:lastColumn="0" w:noHBand="0" w:noVBand="1"/>
      </w:tblPr>
      <w:tblGrid>
        <w:gridCol w:w="3600"/>
        <w:gridCol w:w="1260"/>
        <w:gridCol w:w="1103"/>
        <w:gridCol w:w="1080"/>
        <w:gridCol w:w="1140"/>
      </w:tblGrid>
      <w:tr w:rsidR="005618C3" w:rsidRPr="005618C3" w14:paraId="374E681C" w14:textId="77777777" w:rsidTr="0086367A">
        <w:trPr>
          <w:trHeight w:val="300"/>
          <w:jc w:val="center"/>
        </w:trPr>
        <w:tc>
          <w:tcPr>
            <w:tcW w:w="3600" w:type="dxa"/>
            <w:vMerge w:val="restart"/>
            <w:tcBorders>
              <w:top w:val="single" w:sz="4" w:space="0" w:color="auto"/>
              <w:left w:val="single" w:sz="4" w:space="0" w:color="auto"/>
              <w:bottom w:val="nil"/>
              <w:right w:val="single" w:sz="4" w:space="0" w:color="FFFFFF"/>
            </w:tcBorders>
            <w:shd w:val="clear" w:color="auto" w:fill="0C2577"/>
            <w:noWrap/>
            <w:vAlign w:val="bottom"/>
            <w:hideMark/>
          </w:tcPr>
          <w:p w14:paraId="0E04B911" w14:textId="77777777" w:rsidR="005618C3" w:rsidRPr="005618C3" w:rsidRDefault="005618C3" w:rsidP="006B55F6">
            <w:pPr>
              <w:keepNext/>
              <w:jc w:val="center"/>
              <w:rPr>
                <w:rFonts w:cs="Calibri"/>
                <w:b/>
                <w:bCs/>
                <w:color w:val="FFFFFF"/>
                <w:sz w:val="22"/>
                <w:szCs w:val="22"/>
              </w:rPr>
            </w:pPr>
            <w:r w:rsidRPr="005618C3">
              <w:rPr>
                <w:rFonts w:cs="Calibri"/>
                <w:b/>
                <w:bCs/>
                <w:color w:val="FFFFFF"/>
                <w:sz w:val="22"/>
                <w:szCs w:val="22"/>
              </w:rPr>
              <w:t>Industry Group</w:t>
            </w:r>
          </w:p>
        </w:tc>
        <w:tc>
          <w:tcPr>
            <w:tcW w:w="4583" w:type="dxa"/>
            <w:gridSpan w:val="4"/>
            <w:tcBorders>
              <w:top w:val="single" w:sz="4" w:space="0" w:color="auto"/>
              <w:left w:val="nil"/>
              <w:bottom w:val="nil"/>
              <w:right w:val="single" w:sz="4" w:space="0" w:color="auto"/>
            </w:tcBorders>
            <w:shd w:val="clear" w:color="auto" w:fill="0C2577"/>
            <w:noWrap/>
            <w:vAlign w:val="bottom"/>
            <w:hideMark/>
          </w:tcPr>
          <w:p w14:paraId="663C6DD5" w14:textId="77777777" w:rsidR="005618C3" w:rsidRPr="005618C3" w:rsidRDefault="005618C3" w:rsidP="006B55F6">
            <w:pPr>
              <w:keepNext/>
              <w:jc w:val="center"/>
              <w:rPr>
                <w:rFonts w:cs="Calibri"/>
                <w:b/>
                <w:bCs/>
                <w:color w:val="FFFFFF"/>
                <w:sz w:val="22"/>
                <w:szCs w:val="22"/>
              </w:rPr>
            </w:pPr>
            <w:r w:rsidRPr="005618C3">
              <w:rPr>
                <w:rFonts w:cs="Calibri"/>
                <w:b/>
                <w:bCs/>
                <w:color w:val="FFFFFF"/>
                <w:sz w:val="22"/>
                <w:szCs w:val="22"/>
              </w:rPr>
              <w:t>Percent Over/Under Performance</w:t>
            </w:r>
          </w:p>
        </w:tc>
      </w:tr>
      <w:tr w:rsidR="005618C3" w:rsidRPr="005618C3" w14:paraId="48D2D01A" w14:textId="77777777" w:rsidTr="0086367A">
        <w:trPr>
          <w:trHeight w:val="600"/>
          <w:jc w:val="center"/>
        </w:trPr>
        <w:tc>
          <w:tcPr>
            <w:tcW w:w="3600" w:type="dxa"/>
            <w:vMerge/>
            <w:tcBorders>
              <w:top w:val="nil"/>
              <w:left w:val="single" w:sz="4" w:space="0" w:color="auto"/>
              <w:bottom w:val="nil"/>
              <w:right w:val="single" w:sz="4" w:space="0" w:color="FFFFFF"/>
            </w:tcBorders>
            <w:shd w:val="clear" w:color="auto" w:fill="0C2577"/>
            <w:vAlign w:val="center"/>
            <w:hideMark/>
          </w:tcPr>
          <w:p w14:paraId="55FCCAF2" w14:textId="77777777" w:rsidR="005618C3" w:rsidRPr="005618C3" w:rsidRDefault="005618C3" w:rsidP="006B55F6">
            <w:pPr>
              <w:keepNext/>
              <w:rPr>
                <w:rFonts w:cs="Calibri"/>
                <w:b/>
                <w:bCs/>
                <w:color w:val="FFFFFF"/>
                <w:sz w:val="22"/>
                <w:szCs w:val="22"/>
              </w:rPr>
            </w:pPr>
          </w:p>
        </w:tc>
        <w:tc>
          <w:tcPr>
            <w:tcW w:w="1260" w:type="dxa"/>
            <w:tcBorders>
              <w:top w:val="single" w:sz="4" w:space="0" w:color="FFFFFF"/>
              <w:left w:val="nil"/>
              <w:bottom w:val="nil"/>
              <w:right w:val="nil"/>
            </w:tcBorders>
            <w:shd w:val="clear" w:color="auto" w:fill="0C2577"/>
            <w:vAlign w:val="bottom"/>
            <w:hideMark/>
          </w:tcPr>
          <w:p w14:paraId="5E027869" w14:textId="77777777" w:rsidR="005618C3" w:rsidRPr="005618C3" w:rsidRDefault="005618C3" w:rsidP="006B55F6">
            <w:pPr>
              <w:keepNext/>
              <w:jc w:val="center"/>
              <w:rPr>
                <w:rFonts w:cs="Calibri"/>
                <w:b/>
                <w:bCs/>
                <w:color w:val="FFFFFF"/>
                <w:sz w:val="22"/>
                <w:szCs w:val="22"/>
              </w:rPr>
            </w:pPr>
            <w:r w:rsidRPr="005618C3">
              <w:rPr>
                <w:rFonts w:cs="Calibri"/>
                <w:b/>
                <w:bCs/>
                <w:color w:val="FFFFFF"/>
                <w:sz w:val="22"/>
                <w:szCs w:val="22"/>
              </w:rPr>
              <w:t>Hour Before Event</w:t>
            </w:r>
          </w:p>
        </w:tc>
        <w:tc>
          <w:tcPr>
            <w:tcW w:w="1103" w:type="dxa"/>
            <w:tcBorders>
              <w:top w:val="single" w:sz="4" w:space="0" w:color="FFFFFF"/>
              <w:left w:val="single" w:sz="4" w:space="0" w:color="FFFFFF"/>
              <w:bottom w:val="nil"/>
              <w:right w:val="single" w:sz="4" w:space="0" w:color="FFFFFF"/>
            </w:tcBorders>
            <w:shd w:val="clear" w:color="auto" w:fill="0C2577"/>
            <w:vAlign w:val="bottom"/>
            <w:hideMark/>
          </w:tcPr>
          <w:p w14:paraId="1FD22D76" w14:textId="77777777" w:rsidR="005618C3" w:rsidRPr="005618C3" w:rsidRDefault="005618C3" w:rsidP="006B55F6">
            <w:pPr>
              <w:keepNext/>
              <w:jc w:val="center"/>
              <w:rPr>
                <w:rFonts w:cs="Calibri"/>
                <w:b/>
                <w:bCs/>
                <w:color w:val="FFFFFF"/>
                <w:sz w:val="22"/>
                <w:szCs w:val="22"/>
              </w:rPr>
            </w:pPr>
            <w:r w:rsidRPr="005618C3">
              <w:rPr>
                <w:rFonts w:cs="Calibri"/>
                <w:b/>
                <w:bCs/>
                <w:color w:val="FFFFFF"/>
                <w:sz w:val="22"/>
                <w:szCs w:val="22"/>
              </w:rPr>
              <w:t>First Hour of Event</w:t>
            </w:r>
          </w:p>
        </w:tc>
        <w:tc>
          <w:tcPr>
            <w:tcW w:w="1080" w:type="dxa"/>
            <w:tcBorders>
              <w:top w:val="single" w:sz="4" w:space="0" w:color="FFFFFF"/>
              <w:left w:val="nil"/>
              <w:bottom w:val="nil"/>
              <w:right w:val="nil"/>
            </w:tcBorders>
            <w:shd w:val="clear" w:color="auto" w:fill="0C2577"/>
            <w:vAlign w:val="bottom"/>
            <w:hideMark/>
          </w:tcPr>
          <w:p w14:paraId="5D26CF1F" w14:textId="77777777" w:rsidR="005618C3" w:rsidRPr="005618C3" w:rsidRDefault="005618C3" w:rsidP="006B55F6">
            <w:pPr>
              <w:keepNext/>
              <w:jc w:val="center"/>
              <w:rPr>
                <w:rFonts w:cs="Calibri"/>
                <w:b/>
                <w:bCs/>
                <w:color w:val="FFFFFF"/>
                <w:sz w:val="22"/>
                <w:szCs w:val="22"/>
              </w:rPr>
            </w:pPr>
            <w:r w:rsidRPr="005618C3">
              <w:rPr>
                <w:rFonts w:cs="Calibri"/>
                <w:b/>
                <w:bCs/>
                <w:color w:val="FFFFFF"/>
                <w:sz w:val="22"/>
                <w:szCs w:val="22"/>
              </w:rPr>
              <w:t>Last Hour of Event</w:t>
            </w:r>
          </w:p>
        </w:tc>
        <w:tc>
          <w:tcPr>
            <w:tcW w:w="1140" w:type="dxa"/>
            <w:tcBorders>
              <w:top w:val="single" w:sz="4" w:space="0" w:color="FFFFFF"/>
              <w:left w:val="single" w:sz="4" w:space="0" w:color="FFFFFF"/>
              <w:bottom w:val="nil"/>
              <w:right w:val="single" w:sz="4" w:space="0" w:color="auto"/>
            </w:tcBorders>
            <w:shd w:val="clear" w:color="auto" w:fill="0C2577"/>
            <w:vAlign w:val="bottom"/>
            <w:hideMark/>
          </w:tcPr>
          <w:p w14:paraId="34E4CE80" w14:textId="77777777" w:rsidR="005618C3" w:rsidRPr="005618C3" w:rsidRDefault="005618C3" w:rsidP="006B55F6">
            <w:pPr>
              <w:keepNext/>
              <w:jc w:val="center"/>
              <w:rPr>
                <w:rFonts w:cs="Calibri"/>
                <w:b/>
                <w:bCs/>
                <w:color w:val="FFFFFF"/>
                <w:sz w:val="22"/>
                <w:szCs w:val="22"/>
              </w:rPr>
            </w:pPr>
            <w:r w:rsidRPr="005618C3">
              <w:rPr>
                <w:rFonts w:cs="Calibri"/>
                <w:b/>
                <w:bCs/>
                <w:color w:val="FFFFFF"/>
                <w:sz w:val="22"/>
                <w:szCs w:val="22"/>
              </w:rPr>
              <w:t>Hour After Event</w:t>
            </w:r>
          </w:p>
        </w:tc>
      </w:tr>
      <w:tr w:rsidR="005618C3" w:rsidRPr="005618C3" w14:paraId="776AA52C" w14:textId="77777777" w:rsidTr="0086367A">
        <w:trPr>
          <w:trHeight w:val="300"/>
          <w:jc w:val="center"/>
        </w:trPr>
        <w:tc>
          <w:tcPr>
            <w:tcW w:w="3600" w:type="dxa"/>
            <w:tcBorders>
              <w:top w:val="single" w:sz="4" w:space="0" w:color="FFFFFF"/>
              <w:left w:val="single" w:sz="4" w:space="0" w:color="auto"/>
              <w:bottom w:val="nil"/>
              <w:right w:val="single" w:sz="4" w:space="0" w:color="auto"/>
            </w:tcBorders>
            <w:shd w:val="clear" w:color="000000" w:fill="FFFFFF"/>
            <w:noWrap/>
            <w:vAlign w:val="center"/>
            <w:hideMark/>
          </w:tcPr>
          <w:p w14:paraId="5A8659D9" w14:textId="77777777" w:rsidR="005618C3" w:rsidRPr="005618C3" w:rsidRDefault="005618C3" w:rsidP="006B55F6">
            <w:pPr>
              <w:keepNext/>
              <w:rPr>
                <w:rFonts w:ascii="Arial" w:hAnsi="Arial" w:cs="Arial"/>
                <w:color w:val="000000"/>
                <w:sz w:val="20"/>
                <w:szCs w:val="20"/>
              </w:rPr>
            </w:pPr>
            <w:r w:rsidRPr="005618C3">
              <w:rPr>
                <w:rFonts w:ascii="Arial" w:hAnsi="Arial" w:cs="Arial"/>
                <w:color w:val="000000"/>
                <w:sz w:val="20"/>
                <w:szCs w:val="20"/>
              </w:rPr>
              <w:t>1. Agriculture, Mining, Construction</w:t>
            </w:r>
          </w:p>
        </w:tc>
        <w:tc>
          <w:tcPr>
            <w:tcW w:w="1260" w:type="dxa"/>
            <w:tcBorders>
              <w:top w:val="single" w:sz="4" w:space="0" w:color="FFFFFF"/>
              <w:left w:val="nil"/>
              <w:bottom w:val="nil"/>
              <w:right w:val="single" w:sz="4" w:space="0" w:color="auto"/>
            </w:tcBorders>
            <w:shd w:val="clear" w:color="auto" w:fill="auto"/>
            <w:noWrap/>
            <w:vAlign w:val="bottom"/>
            <w:hideMark/>
          </w:tcPr>
          <w:p w14:paraId="6F31C2F4" w14:textId="77777777" w:rsidR="005618C3" w:rsidRPr="0086367A" w:rsidRDefault="005618C3" w:rsidP="006B55F6">
            <w:pPr>
              <w:keepNext/>
              <w:jc w:val="center"/>
              <w:rPr>
                <w:rFonts w:cs="Calibri"/>
                <w:color w:val="000000"/>
                <w:sz w:val="22"/>
                <w:szCs w:val="22"/>
              </w:rPr>
            </w:pPr>
            <w:r w:rsidRPr="0086367A">
              <w:rPr>
                <w:rFonts w:cs="Calibri"/>
                <w:color w:val="000000"/>
                <w:sz w:val="22"/>
                <w:szCs w:val="22"/>
              </w:rPr>
              <w:t>16.3%</w:t>
            </w:r>
          </w:p>
        </w:tc>
        <w:tc>
          <w:tcPr>
            <w:tcW w:w="1103" w:type="dxa"/>
            <w:tcBorders>
              <w:top w:val="single" w:sz="4" w:space="0" w:color="FFFFFF"/>
              <w:left w:val="nil"/>
              <w:bottom w:val="nil"/>
              <w:right w:val="single" w:sz="4" w:space="0" w:color="auto"/>
            </w:tcBorders>
            <w:shd w:val="clear" w:color="auto" w:fill="auto"/>
            <w:noWrap/>
            <w:vAlign w:val="bottom"/>
            <w:hideMark/>
          </w:tcPr>
          <w:p w14:paraId="631104C6" w14:textId="77777777" w:rsidR="005618C3" w:rsidRPr="0086367A" w:rsidRDefault="005618C3" w:rsidP="006B55F6">
            <w:pPr>
              <w:keepNext/>
              <w:jc w:val="center"/>
              <w:rPr>
                <w:rFonts w:cs="Calibri"/>
                <w:color w:val="000000"/>
                <w:sz w:val="22"/>
                <w:szCs w:val="22"/>
              </w:rPr>
            </w:pPr>
            <w:r w:rsidRPr="0086367A">
              <w:rPr>
                <w:rFonts w:cs="Calibri"/>
                <w:color w:val="000000"/>
                <w:sz w:val="22"/>
                <w:szCs w:val="22"/>
              </w:rPr>
              <w:t>99.8%</w:t>
            </w:r>
          </w:p>
        </w:tc>
        <w:tc>
          <w:tcPr>
            <w:tcW w:w="1080" w:type="dxa"/>
            <w:tcBorders>
              <w:top w:val="single" w:sz="4" w:space="0" w:color="FFFFFF"/>
              <w:left w:val="nil"/>
              <w:bottom w:val="nil"/>
              <w:right w:val="single" w:sz="4" w:space="0" w:color="auto"/>
            </w:tcBorders>
            <w:shd w:val="clear" w:color="auto" w:fill="auto"/>
            <w:noWrap/>
            <w:vAlign w:val="bottom"/>
            <w:hideMark/>
          </w:tcPr>
          <w:p w14:paraId="1EF0FCC5" w14:textId="77777777" w:rsidR="005618C3" w:rsidRPr="0086367A" w:rsidRDefault="005618C3" w:rsidP="006B55F6">
            <w:pPr>
              <w:keepNext/>
              <w:jc w:val="center"/>
              <w:rPr>
                <w:rFonts w:cs="Calibri"/>
                <w:color w:val="000000"/>
                <w:sz w:val="22"/>
                <w:szCs w:val="22"/>
              </w:rPr>
            </w:pPr>
            <w:r w:rsidRPr="0086367A">
              <w:rPr>
                <w:rFonts w:cs="Calibri"/>
                <w:color w:val="000000"/>
                <w:sz w:val="22"/>
                <w:szCs w:val="22"/>
              </w:rPr>
              <w:t>99.8%</w:t>
            </w:r>
          </w:p>
        </w:tc>
        <w:tc>
          <w:tcPr>
            <w:tcW w:w="1140" w:type="dxa"/>
            <w:tcBorders>
              <w:top w:val="single" w:sz="4" w:space="0" w:color="FFFFFF"/>
              <w:left w:val="nil"/>
              <w:bottom w:val="nil"/>
              <w:right w:val="single" w:sz="4" w:space="0" w:color="auto"/>
            </w:tcBorders>
            <w:shd w:val="clear" w:color="auto" w:fill="auto"/>
            <w:noWrap/>
            <w:vAlign w:val="bottom"/>
            <w:hideMark/>
          </w:tcPr>
          <w:p w14:paraId="1E1DC711" w14:textId="77777777" w:rsidR="005618C3" w:rsidRPr="0086367A" w:rsidRDefault="005618C3" w:rsidP="006B55F6">
            <w:pPr>
              <w:keepNext/>
              <w:jc w:val="center"/>
              <w:rPr>
                <w:rFonts w:cs="Calibri"/>
                <w:color w:val="000000"/>
                <w:sz w:val="22"/>
                <w:szCs w:val="22"/>
              </w:rPr>
            </w:pPr>
            <w:r w:rsidRPr="0086367A">
              <w:rPr>
                <w:rFonts w:cs="Calibri"/>
                <w:color w:val="000000"/>
                <w:sz w:val="22"/>
                <w:szCs w:val="22"/>
              </w:rPr>
              <w:t>102.0%</w:t>
            </w:r>
          </w:p>
        </w:tc>
      </w:tr>
      <w:tr w:rsidR="005618C3" w:rsidRPr="005618C3" w14:paraId="11E3CD2B" w14:textId="77777777" w:rsidTr="0086367A">
        <w:trPr>
          <w:trHeight w:val="300"/>
          <w:jc w:val="center"/>
        </w:trPr>
        <w:tc>
          <w:tcPr>
            <w:tcW w:w="3600" w:type="dxa"/>
            <w:tcBorders>
              <w:top w:val="nil"/>
              <w:left w:val="single" w:sz="4" w:space="0" w:color="auto"/>
              <w:bottom w:val="nil"/>
              <w:right w:val="single" w:sz="4" w:space="0" w:color="auto"/>
            </w:tcBorders>
            <w:shd w:val="clear" w:color="000000" w:fill="FFFFFF"/>
            <w:noWrap/>
            <w:vAlign w:val="center"/>
            <w:hideMark/>
          </w:tcPr>
          <w:p w14:paraId="514F8C8F" w14:textId="77777777" w:rsidR="005618C3" w:rsidRPr="005618C3" w:rsidRDefault="005618C3" w:rsidP="006B55F6">
            <w:pPr>
              <w:keepNext/>
              <w:rPr>
                <w:rFonts w:ascii="Arial" w:hAnsi="Arial" w:cs="Arial"/>
                <w:color w:val="000000"/>
                <w:sz w:val="20"/>
                <w:szCs w:val="20"/>
              </w:rPr>
            </w:pPr>
            <w:r w:rsidRPr="005618C3">
              <w:rPr>
                <w:rFonts w:ascii="Arial" w:hAnsi="Arial" w:cs="Arial"/>
                <w:color w:val="000000"/>
                <w:sz w:val="20"/>
                <w:szCs w:val="20"/>
              </w:rPr>
              <w:t>2. Manufacturing</w:t>
            </w:r>
          </w:p>
        </w:tc>
        <w:tc>
          <w:tcPr>
            <w:tcW w:w="1260" w:type="dxa"/>
            <w:tcBorders>
              <w:top w:val="nil"/>
              <w:left w:val="nil"/>
              <w:bottom w:val="nil"/>
              <w:right w:val="single" w:sz="4" w:space="0" w:color="auto"/>
            </w:tcBorders>
            <w:shd w:val="clear" w:color="auto" w:fill="auto"/>
            <w:noWrap/>
            <w:vAlign w:val="bottom"/>
            <w:hideMark/>
          </w:tcPr>
          <w:p w14:paraId="73D02249" w14:textId="77777777" w:rsidR="005618C3" w:rsidRPr="0086367A" w:rsidRDefault="005618C3" w:rsidP="006B55F6">
            <w:pPr>
              <w:keepNext/>
              <w:jc w:val="center"/>
              <w:rPr>
                <w:rFonts w:cs="Calibri"/>
                <w:color w:val="000000"/>
                <w:sz w:val="22"/>
                <w:szCs w:val="22"/>
              </w:rPr>
            </w:pPr>
            <w:r w:rsidRPr="0086367A">
              <w:rPr>
                <w:rFonts w:cs="Calibri"/>
                <w:color w:val="000000"/>
                <w:sz w:val="22"/>
                <w:szCs w:val="22"/>
              </w:rPr>
              <w:t>n/a</w:t>
            </w:r>
          </w:p>
        </w:tc>
        <w:tc>
          <w:tcPr>
            <w:tcW w:w="1103" w:type="dxa"/>
            <w:tcBorders>
              <w:top w:val="nil"/>
              <w:left w:val="nil"/>
              <w:bottom w:val="nil"/>
              <w:right w:val="single" w:sz="4" w:space="0" w:color="auto"/>
            </w:tcBorders>
            <w:shd w:val="clear" w:color="auto" w:fill="auto"/>
            <w:noWrap/>
            <w:vAlign w:val="bottom"/>
            <w:hideMark/>
          </w:tcPr>
          <w:p w14:paraId="12C050A5" w14:textId="77777777" w:rsidR="005618C3" w:rsidRPr="0086367A" w:rsidRDefault="005618C3" w:rsidP="006B55F6">
            <w:pPr>
              <w:keepNext/>
              <w:jc w:val="center"/>
              <w:rPr>
                <w:rFonts w:cs="Calibri"/>
                <w:color w:val="000000"/>
                <w:sz w:val="22"/>
                <w:szCs w:val="22"/>
              </w:rPr>
            </w:pPr>
            <w:r w:rsidRPr="0086367A">
              <w:rPr>
                <w:rFonts w:cs="Calibri"/>
                <w:color w:val="000000"/>
                <w:sz w:val="22"/>
                <w:szCs w:val="22"/>
              </w:rPr>
              <w:t>238.7%</w:t>
            </w:r>
          </w:p>
        </w:tc>
        <w:tc>
          <w:tcPr>
            <w:tcW w:w="1080" w:type="dxa"/>
            <w:tcBorders>
              <w:top w:val="nil"/>
              <w:left w:val="nil"/>
              <w:bottom w:val="nil"/>
              <w:right w:val="single" w:sz="4" w:space="0" w:color="auto"/>
            </w:tcBorders>
            <w:shd w:val="clear" w:color="auto" w:fill="auto"/>
            <w:noWrap/>
            <w:vAlign w:val="bottom"/>
            <w:hideMark/>
          </w:tcPr>
          <w:p w14:paraId="76E282CF" w14:textId="77777777" w:rsidR="005618C3" w:rsidRPr="0086367A" w:rsidRDefault="005618C3" w:rsidP="006B55F6">
            <w:pPr>
              <w:keepNext/>
              <w:jc w:val="center"/>
              <w:rPr>
                <w:rFonts w:cs="Calibri"/>
                <w:color w:val="000000"/>
                <w:sz w:val="22"/>
                <w:szCs w:val="22"/>
              </w:rPr>
            </w:pPr>
            <w:r w:rsidRPr="0086367A">
              <w:rPr>
                <w:rFonts w:cs="Calibri"/>
                <w:color w:val="000000"/>
                <w:sz w:val="22"/>
                <w:szCs w:val="22"/>
              </w:rPr>
              <w:t>n/a</w:t>
            </w:r>
          </w:p>
        </w:tc>
        <w:tc>
          <w:tcPr>
            <w:tcW w:w="1140" w:type="dxa"/>
            <w:tcBorders>
              <w:top w:val="nil"/>
              <w:left w:val="nil"/>
              <w:bottom w:val="nil"/>
              <w:right w:val="single" w:sz="4" w:space="0" w:color="auto"/>
            </w:tcBorders>
            <w:shd w:val="clear" w:color="auto" w:fill="auto"/>
            <w:noWrap/>
            <w:vAlign w:val="bottom"/>
            <w:hideMark/>
          </w:tcPr>
          <w:p w14:paraId="6AC13A3B" w14:textId="77777777" w:rsidR="005618C3" w:rsidRPr="0086367A" w:rsidRDefault="005618C3" w:rsidP="006B55F6">
            <w:pPr>
              <w:keepNext/>
              <w:jc w:val="center"/>
              <w:rPr>
                <w:rFonts w:cs="Calibri"/>
                <w:color w:val="000000"/>
                <w:sz w:val="22"/>
                <w:szCs w:val="22"/>
              </w:rPr>
            </w:pPr>
            <w:r w:rsidRPr="0086367A">
              <w:rPr>
                <w:rFonts w:cs="Calibri"/>
                <w:color w:val="000000"/>
                <w:sz w:val="22"/>
                <w:szCs w:val="22"/>
              </w:rPr>
              <w:t>-62.6%</w:t>
            </w:r>
          </w:p>
        </w:tc>
      </w:tr>
      <w:tr w:rsidR="005618C3" w:rsidRPr="005618C3" w14:paraId="1D5DC891" w14:textId="77777777" w:rsidTr="0086367A">
        <w:trPr>
          <w:trHeight w:val="300"/>
          <w:jc w:val="center"/>
        </w:trPr>
        <w:tc>
          <w:tcPr>
            <w:tcW w:w="3600" w:type="dxa"/>
            <w:tcBorders>
              <w:top w:val="nil"/>
              <w:left w:val="single" w:sz="4" w:space="0" w:color="auto"/>
              <w:bottom w:val="single" w:sz="4" w:space="0" w:color="auto"/>
              <w:right w:val="single" w:sz="4" w:space="0" w:color="auto"/>
            </w:tcBorders>
            <w:shd w:val="clear" w:color="000000" w:fill="FFFFFF"/>
            <w:noWrap/>
            <w:vAlign w:val="center"/>
            <w:hideMark/>
          </w:tcPr>
          <w:p w14:paraId="6B429507" w14:textId="77777777" w:rsidR="005618C3" w:rsidRPr="005618C3" w:rsidRDefault="005618C3" w:rsidP="006B55F6">
            <w:pPr>
              <w:keepNext/>
              <w:rPr>
                <w:rFonts w:ascii="Arial" w:hAnsi="Arial" w:cs="Arial"/>
                <w:color w:val="000000"/>
                <w:sz w:val="20"/>
                <w:szCs w:val="20"/>
              </w:rPr>
            </w:pPr>
            <w:r w:rsidRPr="005618C3">
              <w:rPr>
                <w:rFonts w:ascii="Arial" w:hAnsi="Arial" w:cs="Arial"/>
                <w:color w:val="000000"/>
                <w:sz w:val="20"/>
                <w:szCs w:val="20"/>
              </w:rPr>
              <w:t>3. Wholesale, Transportation, Utilities</w:t>
            </w:r>
          </w:p>
        </w:tc>
        <w:tc>
          <w:tcPr>
            <w:tcW w:w="1260" w:type="dxa"/>
            <w:tcBorders>
              <w:top w:val="nil"/>
              <w:left w:val="nil"/>
              <w:bottom w:val="single" w:sz="4" w:space="0" w:color="auto"/>
              <w:right w:val="single" w:sz="4" w:space="0" w:color="auto"/>
            </w:tcBorders>
            <w:shd w:val="clear" w:color="auto" w:fill="auto"/>
            <w:noWrap/>
            <w:vAlign w:val="bottom"/>
            <w:hideMark/>
          </w:tcPr>
          <w:p w14:paraId="745C2666" w14:textId="77777777" w:rsidR="005618C3" w:rsidRPr="0086367A" w:rsidRDefault="005618C3" w:rsidP="006B55F6">
            <w:pPr>
              <w:keepNext/>
              <w:jc w:val="center"/>
              <w:rPr>
                <w:rFonts w:cs="Calibri"/>
                <w:color w:val="000000"/>
                <w:sz w:val="22"/>
                <w:szCs w:val="22"/>
              </w:rPr>
            </w:pPr>
            <w:r w:rsidRPr="0086367A">
              <w:rPr>
                <w:rFonts w:cs="Calibri"/>
                <w:color w:val="000000"/>
                <w:sz w:val="22"/>
                <w:szCs w:val="22"/>
              </w:rPr>
              <w:t>n/a</w:t>
            </w:r>
          </w:p>
        </w:tc>
        <w:tc>
          <w:tcPr>
            <w:tcW w:w="1103" w:type="dxa"/>
            <w:tcBorders>
              <w:top w:val="nil"/>
              <w:left w:val="nil"/>
              <w:bottom w:val="single" w:sz="4" w:space="0" w:color="auto"/>
              <w:right w:val="single" w:sz="4" w:space="0" w:color="auto"/>
            </w:tcBorders>
            <w:shd w:val="clear" w:color="auto" w:fill="auto"/>
            <w:noWrap/>
            <w:vAlign w:val="bottom"/>
            <w:hideMark/>
          </w:tcPr>
          <w:p w14:paraId="0E3A16D0" w14:textId="77777777" w:rsidR="005618C3" w:rsidRPr="0086367A" w:rsidRDefault="005618C3" w:rsidP="006B55F6">
            <w:pPr>
              <w:keepNext/>
              <w:jc w:val="center"/>
              <w:rPr>
                <w:rFonts w:cs="Calibri"/>
                <w:color w:val="000000"/>
                <w:sz w:val="22"/>
                <w:szCs w:val="22"/>
              </w:rPr>
            </w:pPr>
            <w:r w:rsidRPr="0086367A">
              <w:rPr>
                <w:rFonts w:cs="Calibri"/>
                <w:color w:val="000000"/>
                <w:sz w:val="22"/>
                <w:szCs w:val="22"/>
              </w:rPr>
              <w:t>n/a</w:t>
            </w:r>
          </w:p>
        </w:tc>
        <w:tc>
          <w:tcPr>
            <w:tcW w:w="1080" w:type="dxa"/>
            <w:tcBorders>
              <w:top w:val="nil"/>
              <w:left w:val="nil"/>
              <w:bottom w:val="single" w:sz="4" w:space="0" w:color="auto"/>
              <w:right w:val="single" w:sz="4" w:space="0" w:color="auto"/>
            </w:tcBorders>
            <w:shd w:val="clear" w:color="auto" w:fill="auto"/>
            <w:noWrap/>
            <w:vAlign w:val="bottom"/>
            <w:hideMark/>
          </w:tcPr>
          <w:p w14:paraId="6589D17F" w14:textId="77777777" w:rsidR="005618C3" w:rsidRPr="0086367A" w:rsidRDefault="005618C3" w:rsidP="006B55F6">
            <w:pPr>
              <w:keepNext/>
              <w:jc w:val="center"/>
              <w:rPr>
                <w:rFonts w:cs="Calibri"/>
                <w:color w:val="000000"/>
                <w:sz w:val="22"/>
                <w:szCs w:val="22"/>
              </w:rPr>
            </w:pPr>
            <w:r w:rsidRPr="0086367A">
              <w:rPr>
                <w:rFonts w:cs="Calibri"/>
                <w:color w:val="000000"/>
                <w:sz w:val="22"/>
                <w:szCs w:val="22"/>
              </w:rPr>
              <w:t>n/a</w:t>
            </w:r>
          </w:p>
        </w:tc>
        <w:tc>
          <w:tcPr>
            <w:tcW w:w="1140" w:type="dxa"/>
            <w:tcBorders>
              <w:top w:val="nil"/>
              <w:left w:val="nil"/>
              <w:bottom w:val="single" w:sz="4" w:space="0" w:color="auto"/>
              <w:right w:val="single" w:sz="4" w:space="0" w:color="auto"/>
            </w:tcBorders>
            <w:shd w:val="clear" w:color="auto" w:fill="auto"/>
            <w:noWrap/>
            <w:vAlign w:val="bottom"/>
            <w:hideMark/>
          </w:tcPr>
          <w:p w14:paraId="7336EE38" w14:textId="77777777" w:rsidR="005618C3" w:rsidRPr="0086367A" w:rsidRDefault="005618C3" w:rsidP="006B55F6">
            <w:pPr>
              <w:keepNext/>
              <w:jc w:val="center"/>
              <w:rPr>
                <w:rFonts w:cs="Calibri"/>
                <w:color w:val="000000"/>
                <w:sz w:val="22"/>
                <w:szCs w:val="22"/>
              </w:rPr>
            </w:pPr>
            <w:r w:rsidRPr="0086367A">
              <w:rPr>
                <w:rFonts w:cs="Calibri"/>
                <w:color w:val="000000"/>
                <w:sz w:val="22"/>
                <w:szCs w:val="22"/>
              </w:rPr>
              <w:t>n/a</w:t>
            </w:r>
          </w:p>
        </w:tc>
      </w:tr>
    </w:tbl>
    <w:p w14:paraId="2FF661AC" w14:textId="0FFDF6C8" w:rsidR="003935D1" w:rsidRDefault="00A70342" w:rsidP="006B55F6">
      <w:pPr>
        <w:keepNext/>
      </w:pPr>
      <w:r>
        <w:t>(HE11, HE12, HE15</w:t>
      </w:r>
      <w:r w:rsidR="003935D1">
        <w:t>, HE</w:t>
      </w:r>
      <w:r>
        <w:t xml:space="preserve">16 </w:t>
      </w:r>
      <w:r w:rsidR="003935D1">
        <w:t>shown. “n/a” indicates total reference load is below the FSL.)</w:t>
      </w:r>
    </w:p>
    <w:bookmarkEnd w:id="292"/>
    <w:p w14:paraId="0802B656" w14:textId="78961957" w:rsidR="00186DFA" w:rsidRPr="00751406" w:rsidRDefault="00186DFA" w:rsidP="00614D97">
      <w:pPr>
        <w:pStyle w:val="Heading1"/>
      </w:pPr>
    </w:p>
    <w:sectPr w:rsidR="00186DFA" w:rsidRPr="00751406" w:rsidSect="00A4025E">
      <w:footerReference w:type="default" r:id="rId44"/>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4A0531" w14:textId="77777777" w:rsidR="00C143D9" w:rsidRDefault="00C143D9">
      <w:r>
        <w:separator/>
      </w:r>
    </w:p>
  </w:endnote>
  <w:endnote w:type="continuationSeparator" w:id="0">
    <w:p w14:paraId="4AE1752E" w14:textId="77777777" w:rsidR="00C143D9" w:rsidRDefault="00C14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92F77" w14:textId="77777777" w:rsidR="00C143D9" w:rsidRDefault="00C143D9" w:rsidP="000B5A5D">
    <w:pPr>
      <w:pStyle w:val="FootnoteText"/>
      <w:framePr w:wrap="around" w:vAnchor="text" w:hAnchor="margin" w:xAlign="center" w:y="1"/>
      <w:rPr>
        <w:rStyle w:val="FootnoteReference"/>
      </w:rPr>
    </w:pPr>
    <w:r>
      <w:rPr>
        <w:rStyle w:val="FootnoteReference"/>
      </w:rPr>
      <w:fldChar w:fldCharType="begin"/>
    </w:r>
    <w:r>
      <w:rPr>
        <w:rStyle w:val="FootnoteReference"/>
      </w:rPr>
      <w:instrText xml:space="preserve">PAGE  </w:instrText>
    </w:r>
    <w:r>
      <w:rPr>
        <w:rStyle w:val="FootnoteReference"/>
      </w:rPr>
      <w:fldChar w:fldCharType="end"/>
    </w:r>
  </w:p>
  <w:p w14:paraId="6CEEAD03" w14:textId="77777777" w:rsidR="00C143D9" w:rsidRDefault="00C143D9">
    <w:pPr>
      <w:pStyle w:val="FootnoteTex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5FBCE" w14:textId="77777777" w:rsidR="00C143D9" w:rsidRPr="003601DE" w:rsidRDefault="00C143D9" w:rsidP="003601DE">
    <w:pPr>
      <w:pStyle w:val="Footer"/>
      <w:rPr>
        <w:rFonts w:ascii="AvantGarde" w:hAnsi="AvantGarde"/>
        <w:sz w:val="20"/>
        <w:szCs w:val="20"/>
      </w:rPr>
    </w:pPr>
    <w:r w:rsidRPr="003601DE">
      <w:rPr>
        <w:rFonts w:ascii="AvantGarde" w:hAnsi="AvantGarde"/>
        <w:sz w:val="20"/>
        <w:szCs w:val="20"/>
      </w:rPr>
      <w:t>Christensen Associates Energy Consulting, LLC</w:t>
    </w:r>
  </w:p>
  <w:p w14:paraId="2C89ECD9" w14:textId="77777777" w:rsidR="00C143D9" w:rsidRPr="003C0234" w:rsidRDefault="00C143D9" w:rsidP="003601DE">
    <w:pPr>
      <w:pStyle w:val="Footer"/>
      <w:rPr>
        <w:rFonts w:ascii="AvantGarde" w:hAnsi="AvantGarde"/>
        <w:sz w:val="20"/>
        <w:szCs w:val="20"/>
      </w:rPr>
    </w:pPr>
    <w:smartTag w:uri="urn:schemas-microsoft-com:office:smarttags" w:element="Street">
      <w:smartTag w:uri="urn:schemas-microsoft-com:office:smarttags" w:element="address">
        <w:r w:rsidRPr="003C0234">
          <w:rPr>
            <w:rFonts w:ascii="AvantGarde" w:hAnsi="AvantGarde"/>
            <w:sz w:val="20"/>
            <w:szCs w:val="20"/>
          </w:rPr>
          <w:t>800 University Bay Drive, Suite 400</w:t>
        </w:r>
      </w:smartTag>
    </w:smartTag>
  </w:p>
  <w:p w14:paraId="42500099" w14:textId="77777777" w:rsidR="00C143D9" w:rsidRPr="003C0234" w:rsidRDefault="00C143D9" w:rsidP="003601DE">
    <w:pPr>
      <w:pStyle w:val="Footer"/>
      <w:rPr>
        <w:rFonts w:ascii="AvantGarde" w:hAnsi="AvantGarde"/>
        <w:sz w:val="20"/>
        <w:szCs w:val="20"/>
      </w:rPr>
    </w:pPr>
    <w:smartTag w:uri="urn:schemas-microsoft-com:office:smarttags" w:element="place">
      <w:smartTag w:uri="urn:schemas-microsoft-com:office:smarttags" w:element="City">
        <w:r>
          <w:rPr>
            <w:rFonts w:ascii="AvantGarde" w:hAnsi="AvantGarde"/>
            <w:sz w:val="20"/>
            <w:szCs w:val="20"/>
          </w:rPr>
          <w:t>Madison</w:t>
        </w:r>
      </w:smartTag>
      <w:r>
        <w:rPr>
          <w:rFonts w:ascii="AvantGarde" w:hAnsi="AvantGarde"/>
          <w:sz w:val="20"/>
          <w:szCs w:val="20"/>
        </w:rPr>
        <w:t xml:space="preserve">, </w:t>
      </w:r>
      <w:smartTag w:uri="urn:schemas-microsoft-com:office:smarttags" w:element="State">
        <w:r>
          <w:rPr>
            <w:rFonts w:ascii="AvantGarde" w:hAnsi="AvantGarde"/>
            <w:sz w:val="20"/>
            <w:szCs w:val="20"/>
          </w:rPr>
          <w:t>WI</w:t>
        </w:r>
      </w:smartTag>
      <w:r>
        <w:rPr>
          <w:rFonts w:ascii="AvantGarde" w:hAnsi="AvantGarde"/>
          <w:sz w:val="20"/>
          <w:szCs w:val="20"/>
        </w:rPr>
        <w:t xml:space="preserve">  </w:t>
      </w:r>
      <w:smartTag w:uri="urn:schemas-microsoft-com:office:smarttags" w:element="PostalCode">
        <w:r>
          <w:rPr>
            <w:rFonts w:ascii="AvantGarde" w:hAnsi="AvantGarde"/>
            <w:sz w:val="20"/>
            <w:szCs w:val="20"/>
          </w:rPr>
          <w:t>53705-2299</w:t>
        </w:r>
      </w:smartTag>
    </w:smartTag>
  </w:p>
  <w:p w14:paraId="1233B72A" w14:textId="77777777" w:rsidR="00C143D9" w:rsidRPr="003C0234" w:rsidRDefault="00C143D9" w:rsidP="003601DE">
    <w:pPr>
      <w:pStyle w:val="Footer"/>
      <w:rPr>
        <w:rFonts w:ascii="AvantGarde" w:hAnsi="AvantGarde"/>
        <w:sz w:val="20"/>
        <w:szCs w:val="20"/>
      </w:rPr>
    </w:pPr>
  </w:p>
  <w:p w14:paraId="650687F8" w14:textId="77777777" w:rsidR="00C143D9" w:rsidRPr="003601DE" w:rsidRDefault="00C143D9">
    <w:pPr>
      <w:pStyle w:val="Footer"/>
      <w:rPr>
        <w:rFonts w:ascii="AvantGarde" w:hAnsi="AvantGarde"/>
        <w:sz w:val="20"/>
        <w:szCs w:val="20"/>
      </w:rPr>
    </w:pPr>
    <w:r w:rsidRPr="003C0234">
      <w:rPr>
        <w:rFonts w:ascii="AvantGarde" w:hAnsi="AvantGarde"/>
        <w:sz w:val="20"/>
        <w:szCs w:val="20"/>
      </w:rPr>
      <w:t>Voice</w:t>
    </w:r>
    <w:r>
      <w:rPr>
        <w:rFonts w:ascii="AvantGarde" w:hAnsi="AvantGarde"/>
        <w:sz w:val="20"/>
        <w:szCs w:val="20"/>
      </w:rPr>
      <w:t xml:space="preserve"> 608.231.2266  Fax 608.231.2108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82D4A" w14:textId="58E98EAE" w:rsidR="00C143D9" w:rsidRDefault="00C143D9" w:rsidP="00CD37BE">
    <w:pPr>
      <w:pStyle w:val="Footer"/>
      <w:pBdr>
        <w:top w:val="single" w:sz="4" w:space="1" w:color="auto"/>
      </w:pBdr>
      <w:tabs>
        <w:tab w:val="clear" w:pos="8640"/>
        <w:tab w:val="right" w:pos="9360"/>
      </w:tabs>
    </w:pPr>
    <w:r>
      <w:tab/>
    </w:r>
    <w:r>
      <w:rPr>
        <w:rStyle w:val="FootnoteReference"/>
      </w:rPr>
      <w:fldChar w:fldCharType="begin"/>
    </w:r>
    <w:r>
      <w:rPr>
        <w:rStyle w:val="FootnoteReference"/>
      </w:rPr>
      <w:instrText xml:space="preserve"> PAGE </w:instrText>
    </w:r>
    <w:r>
      <w:rPr>
        <w:rStyle w:val="FootnoteReference"/>
      </w:rPr>
      <w:fldChar w:fldCharType="separate"/>
    </w:r>
    <w:r w:rsidR="00720E96">
      <w:rPr>
        <w:rStyle w:val="FootnoteReference"/>
        <w:noProof/>
      </w:rPr>
      <w:t>v</w:t>
    </w:r>
    <w:r>
      <w:rPr>
        <w:rStyle w:val="FootnoteReference"/>
      </w:rPr>
      <w:fldChar w:fldCharType="end"/>
    </w:r>
    <w:r>
      <w:tab/>
    </w:r>
    <w:r w:rsidRPr="00720E96">
      <w:rPr>
        <w:i/>
      </w:rPr>
      <w:t>CA Energy Consulting</w:t>
    </w:r>
  </w:p>
  <w:p w14:paraId="1388FE71" w14:textId="77777777" w:rsidR="00C143D9" w:rsidRDefault="00C143D9" w:rsidP="0010472A">
    <w:pPr>
      <w:pStyle w:val="Footer"/>
      <w:pBdr>
        <w:top w:val="single" w:sz="4" w:space="1" w:color="auto"/>
      </w:pBdr>
      <w:rPr>
        <w:i/>
        <w:sz w:val="16"/>
        <w:szCs w:val="16"/>
      </w:rPr>
    </w:pPr>
  </w:p>
  <w:p w14:paraId="5479B52B" w14:textId="466CDF08" w:rsidR="00C143D9" w:rsidRPr="00EF36A3" w:rsidRDefault="00C143D9" w:rsidP="0010472A">
    <w:pPr>
      <w:pStyle w:val="Footer"/>
      <w:pBdr>
        <w:top w:val="single" w:sz="4" w:space="1" w:color="auto"/>
      </w:pBdr>
      <w:rPr>
        <w: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328D3" w14:textId="29E0087E" w:rsidR="00C143D9" w:rsidRDefault="00C143D9" w:rsidP="003D3D4C">
    <w:pPr>
      <w:pStyle w:val="Footer"/>
      <w:pBdr>
        <w:top w:val="single" w:sz="4" w:space="1" w:color="auto"/>
      </w:pBdr>
      <w:rPr>
        <w:i/>
      </w:rPr>
    </w:pPr>
    <w:r>
      <w:tab/>
    </w:r>
    <w:r>
      <w:rPr>
        <w:rStyle w:val="FootnoteReference"/>
        <w:vertAlign w:val="baseline"/>
      </w:rPr>
      <w:fldChar w:fldCharType="begin"/>
    </w:r>
    <w:r>
      <w:rPr>
        <w:rStyle w:val="FootnoteReference"/>
        <w:vertAlign w:val="baseline"/>
      </w:rPr>
      <w:instrText xml:space="preserve"> PAGE </w:instrText>
    </w:r>
    <w:r>
      <w:rPr>
        <w:rStyle w:val="FootnoteReference"/>
        <w:vertAlign w:val="baseline"/>
      </w:rPr>
      <w:fldChar w:fldCharType="separate"/>
    </w:r>
    <w:r w:rsidR="00720E96">
      <w:rPr>
        <w:rStyle w:val="FootnoteReference"/>
        <w:noProof/>
        <w:vertAlign w:val="baseline"/>
      </w:rPr>
      <w:t>15</w:t>
    </w:r>
    <w:r>
      <w:rPr>
        <w:rStyle w:val="FootnoteReference"/>
        <w:vertAlign w:val="baseline"/>
      </w:rPr>
      <w:fldChar w:fldCharType="end"/>
    </w:r>
    <w:r>
      <w:rPr>
        <w:rStyle w:val="FootnoteReference"/>
        <w:vertAlign w:val="baseline"/>
      </w:rPr>
      <w:tab/>
    </w:r>
    <w:r w:rsidRPr="003D3D4C">
      <w:rPr>
        <w:rStyle w:val="FootnoteReference"/>
        <w:i/>
        <w:vertAlign w:val="baseline"/>
      </w:rPr>
      <w:t>CA Energy Consulting</w:t>
    </w:r>
  </w:p>
  <w:p w14:paraId="6374C89B" w14:textId="77777777" w:rsidR="00C143D9" w:rsidRPr="003D3D4C" w:rsidRDefault="00C143D9" w:rsidP="003D3D4C">
    <w:pPr>
      <w:pStyle w:val="Footer"/>
      <w:pBdr>
        <w:top w:val="single" w:sz="4" w:space="1" w:color="auto"/>
      </w:pBd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A4B53" w14:textId="77777777" w:rsidR="00C143D9" w:rsidRDefault="00C143D9">
      <w:r>
        <w:separator/>
      </w:r>
    </w:p>
  </w:footnote>
  <w:footnote w:type="continuationSeparator" w:id="0">
    <w:p w14:paraId="19C7C348" w14:textId="77777777" w:rsidR="00C143D9" w:rsidRDefault="00C143D9">
      <w:r>
        <w:continuationSeparator/>
      </w:r>
    </w:p>
  </w:footnote>
  <w:footnote w:id="1">
    <w:p w14:paraId="3DF78F9B" w14:textId="77777777" w:rsidR="00C143D9" w:rsidRDefault="00C143D9" w:rsidP="00877D6C">
      <w:pPr>
        <w:pStyle w:val="FootnoteText"/>
      </w:pPr>
      <w:r w:rsidRPr="00497C81">
        <w:rPr>
          <w:rStyle w:val="FootnoteReference"/>
          <w:rFonts w:asciiTheme="minorHAnsi" w:hAnsiTheme="minorHAnsi"/>
        </w:rPr>
        <w:footnoteRef/>
      </w:r>
      <w:r w:rsidRPr="00497C81">
        <w:rPr>
          <w:rFonts w:asciiTheme="minorHAnsi" w:hAnsiTheme="minorHAnsi"/>
        </w:rPr>
        <w:t xml:space="preserve"> </w:t>
      </w:r>
      <w:r>
        <w:rPr>
          <w:rFonts w:ascii="Calibri" w:hAnsi="Calibri"/>
        </w:rPr>
        <w:t>A c</w:t>
      </w:r>
      <w:r w:rsidRPr="00F34148">
        <w:rPr>
          <w:rFonts w:ascii="Calibri" w:hAnsi="Calibri"/>
        </w:rPr>
        <w:t>ustomer</w:t>
      </w:r>
      <w:r>
        <w:rPr>
          <w:rFonts w:ascii="Calibri" w:hAnsi="Calibri"/>
        </w:rPr>
        <w:t xml:space="preserve">’s </w:t>
      </w:r>
      <w:r w:rsidRPr="00F34148">
        <w:rPr>
          <w:rFonts w:ascii="Calibri" w:hAnsi="Calibri"/>
        </w:rPr>
        <w:t>coincident maximum demand</w:t>
      </w:r>
      <w:r>
        <w:rPr>
          <w:rFonts w:ascii="Calibri" w:hAnsi="Calibri"/>
        </w:rPr>
        <w:t xml:space="preserve"> (“Enrolled Load” in Figures ES.1-3)</w:t>
      </w:r>
      <w:r w:rsidRPr="00F34148">
        <w:rPr>
          <w:rFonts w:ascii="Calibri" w:hAnsi="Calibri"/>
        </w:rPr>
        <w:t xml:space="preserve"> </w:t>
      </w:r>
      <w:r>
        <w:rPr>
          <w:rFonts w:ascii="Calibri" w:hAnsi="Calibri"/>
        </w:rPr>
        <w:t>is defined as its demand during the hour with the highest aggregate demand on the typical event day, including the</w:t>
      </w:r>
      <w:r w:rsidRPr="00F34148">
        <w:rPr>
          <w:rFonts w:ascii="Calibri" w:hAnsi="Calibri"/>
        </w:rPr>
        <w:t xml:space="preserve"> estimated load impacts (</w:t>
      </w:r>
      <w:r w:rsidRPr="0011138E">
        <w:rPr>
          <w:rFonts w:ascii="Calibri" w:hAnsi="Calibri"/>
          <w:i/>
        </w:rPr>
        <w:t>i.e.</w:t>
      </w:r>
      <w:r w:rsidRPr="00F34148">
        <w:rPr>
          <w:rFonts w:ascii="Calibri" w:hAnsi="Calibri"/>
        </w:rPr>
        <w:t>, using the reference loads).</w:t>
      </w:r>
    </w:p>
  </w:footnote>
  <w:footnote w:id="2">
    <w:p w14:paraId="1D8B7EFB" w14:textId="54FF0227" w:rsidR="00C143D9" w:rsidRDefault="00C143D9">
      <w:pPr>
        <w:pStyle w:val="FootnoteText"/>
      </w:pPr>
      <w:r>
        <w:rPr>
          <w:rStyle w:val="FootnoteReference"/>
        </w:rPr>
        <w:footnoteRef/>
      </w:r>
      <w:r>
        <w:t xml:space="preserve"> </w:t>
      </w:r>
      <w:r w:rsidRPr="00992729">
        <w:rPr>
          <w:rFonts w:ascii="Calibri" w:hAnsi="Calibri"/>
        </w:rPr>
        <w:t>Previously SDG&amp;E offered a BIP option B which required that participating</w:t>
      </w:r>
      <w:r>
        <w:rPr>
          <w:rFonts w:ascii="Calibri" w:hAnsi="Calibri"/>
        </w:rPr>
        <w:t xml:space="preserve"> customer be notified at least three</w:t>
      </w:r>
      <w:r w:rsidRPr="00992729">
        <w:rPr>
          <w:rFonts w:ascii="Calibri" w:hAnsi="Calibri"/>
        </w:rPr>
        <w:t xml:space="preserve"> hours before the event but SDG&amp;E discontinued this option in 2012.</w:t>
      </w:r>
    </w:p>
  </w:footnote>
  <w:footnote w:id="3">
    <w:p w14:paraId="3102CDA0" w14:textId="77777777" w:rsidR="00C143D9" w:rsidRPr="00F34148" w:rsidRDefault="00C143D9" w:rsidP="008A3E42">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Local Capacity Area (or LCA) refers to a CAISO-designated load pocket or transmission constrained geographic area for which a utility is required to meet a Local Resource Adequacy capacity requirement.</w:t>
      </w:r>
      <w:r>
        <w:t xml:space="preserve"> </w:t>
      </w:r>
      <w:r w:rsidRPr="00F34148">
        <w:rPr>
          <w:rFonts w:ascii="Calibri" w:hAnsi="Calibri"/>
        </w:rPr>
        <w:t>There are currently seven LCAs within PG&amp;E’s service area, 3 in SCE’s service territory, and 1 representing SDG&amp;E’s entire service territory. In addition, PG&amp;E has many accounts that are not located within any specific LCA.</w:t>
      </w:r>
    </w:p>
  </w:footnote>
  <w:footnote w:id="4">
    <w:p w14:paraId="6A79BF0D" w14:textId="7A4F7263" w:rsidR="00C143D9" w:rsidRPr="00F34148" w:rsidRDefault="00C143D9">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"Enrollment" is defined as the </w:t>
      </w:r>
      <w:r>
        <w:rPr>
          <w:rFonts w:ascii="Calibri" w:hAnsi="Calibri"/>
        </w:rPr>
        <w:t>enroll</w:t>
      </w:r>
      <w:r w:rsidRPr="00F34148">
        <w:rPr>
          <w:rFonts w:ascii="Calibri" w:hAnsi="Calibri"/>
        </w:rPr>
        <w:t xml:space="preserve">ment on </w:t>
      </w:r>
      <w:r>
        <w:rPr>
          <w:rFonts w:ascii="Calibri" w:hAnsi="Calibri"/>
        </w:rPr>
        <w:t xml:space="preserve">the May 3, 2017 </w:t>
      </w:r>
      <w:r w:rsidRPr="00F34148">
        <w:rPr>
          <w:rFonts w:ascii="Calibri" w:hAnsi="Calibri"/>
        </w:rPr>
        <w:t>event day</w:t>
      </w:r>
      <w:r>
        <w:rPr>
          <w:rFonts w:ascii="Calibri" w:hAnsi="Calibri"/>
        </w:rPr>
        <w:t xml:space="preserve"> for PG&amp;E and SCE; and the August 31, 2017 event day for SDG&amp;E</w:t>
      </w:r>
      <w:r w:rsidRPr="00F34148">
        <w:rPr>
          <w:rFonts w:ascii="Calibri" w:hAnsi="Calibri"/>
        </w:rPr>
        <w:t>.</w:t>
      </w:r>
    </w:p>
  </w:footnote>
  <w:footnote w:id="5">
    <w:p w14:paraId="5BA35267" w14:textId="19717C90" w:rsidR="00C143D9" w:rsidRPr="00F34148" w:rsidRDefault="00C143D9" w:rsidP="008A3E42">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Customer-level demand (“Sum of Max MW” in the tables) is calculated as the coincident maximum demand </w:t>
      </w:r>
      <w:r>
        <w:rPr>
          <w:rFonts w:ascii="Calibri" w:hAnsi="Calibri"/>
        </w:rPr>
        <w:t xml:space="preserve">on the event days listed in footnote 4—demand during the hour with the highest aggregate demand that day—including </w:t>
      </w:r>
      <w:r w:rsidRPr="00F34148">
        <w:rPr>
          <w:rFonts w:ascii="Calibri" w:hAnsi="Calibri"/>
        </w:rPr>
        <w:t>the estimated load impacts (</w:t>
      </w:r>
      <w:r w:rsidRPr="00BE3CCE">
        <w:rPr>
          <w:rFonts w:ascii="Calibri" w:hAnsi="Calibri"/>
          <w:i/>
        </w:rPr>
        <w:t>i.e.</w:t>
      </w:r>
      <w:r w:rsidRPr="00F34148">
        <w:rPr>
          <w:rFonts w:ascii="Calibri" w:hAnsi="Calibri"/>
        </w:rPr>
        <w:t>, using the reference loads).</w:t>
      </w:r>
    </w:p>
  </w:footnote>
  <w:footnote w:id="6">
    <w:p w14:paraId="3A126EE6" w14:textId="77777777" w:rsidR="00C143D9" w:rsidRDefault="00C143D9" w:rsidP="00D95593">
      <w:pPr>
        <w:pStyle w:val="FootnoteText"/>
      </w:pPr>
      <w:r>
        <w:rPr>
          <w:rStyle w:val="FootnoteReference"/>
        </w:rPr>
        <w:footnoteRef/>
      </w:r>
      <w:r>
        <w:t xml:space="preserve"> </w:t>
      </w:r>
      <w:r w:rsidRPr="00F34148">
        <w:rPr>
          <w:rFonts w:ascii="Calibri" w:hAnsi="Calibri"/>
        </w:rPr>
        <w:t xml:space="preserve">"Sum of Max MW" is defined as the sum </w:t>
      </w:r>
      <w:r>
        <w:rPr>
          <w:rFonts w:ascii="Calibri" w:hAnsi="Calibri"/>
        </w:rPr>
        <w:t>of the event-day coincident maximum</w:t>
      </w:r>
      <w:r w:rsidRPr="00F34148">
        <w:rPr>
          <w:rFonts w:ascii="Calibri" w:hAnsi="Calibri"/>
        </w:rPr>
        <w:t xml:space="preserve"> demands across service accounts. The reported values include the estimated load impacts.</w:t>
      </w:r>
    </w:p>
  </w:footnote>
  <w:footnote w:id="7">
    <w:p w14:paraId="3B8D16D7" w14:textId="6BF3489E" w:rsidR="00C143D9" w:rsidRDefault="00C143D9">
      <w:pPr>
        <w:pStyle w:val="FootnoteText"/>
      </w:pPr>
      <w:r>
        <w:rPr>
          <w:rStyle w:val="FootnoteReference"/>
        </w:rPr>
        <w:footnoteRef/>
      </w:r>
      <w:r>
        <w:t xml:space="preserve"> </w:t>
      </w:r>
      <w:r w:rsidRPr="00F34148">
        <w:rPr>
          <w:rFonts w:ascii="Calibri" w:hAnsi="Calibri"/>
        </w:rPr>
        <w:t>"Ave. Max MW" is calculated as "Sum of Max MW" divided by the "# of Service Accounts."</w:t>
      </w:r>
    </w:p>
  </w:footnote>
  <w:footnote w:id="8">
    <w:p w14:paraId="5CD845D8" w14:textId="3E65BE3A" w:rsidR="00C143D9" w:rsidRPr="00F34148" w:rsidRDefault="00C143D9" w:rsidP="00BE6F16">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Including weekends and holidays would require the addition of variables to capture the fact that load levels and patterns on weekends and holidays can differ greatly from those of non-holiday weekdays. Because event days d</w:t>
      </w:r>
      <w:r>
        <w:rPr>
          <w:rFonts w:ascii="Calibri" w:hAnsi="Calibri"/>
        </w:rPr>
        <w:t>id</w:t>
      </w:r>
      <w:r w:rsidRPr="00F34148">
        <w:rPr>
          <w:rFonts w:ascii="Calibri" w:hAnsi="Calibri"/>
        </w:rPr>
        <w:t xml:space="preserve"> not occur on weekends or holidays, the exclusion of these data does not affect the model’s ability to estimate </w:t>
      </w:r>
      <w:r w:rsidRPr="00E26325">
        <w:rPr>
          <w:rFonts w:ascii="Calibri" w:hAnsi="Calibri"/>
          <w:i/>
        </w:rPr>
        <w:t>ex</w:t>
      </w:r>
      <w:r>
        <w:rPr>
          <w:rFonts w:ascii="Calibri" w:hAnsi="Calibri"/>
          <w:i/>
        </w:rPr>
        <w:t>-</w:t>
      </w:r>
      <w:r w:rsidRPr="00E26325">
        <w:rPr>
          <w:rFonts w:ascii="Calibri" w:hAnsi="Calibri"/>
          <w:i/>
        </w:rPr>
        <w:t>post</w:t>
      </w:r>
      <w:r w:rsidRPr="00F34148">
        <w:rPr>
          <w:rFonts w:ascii="Calibri" w:hAnsi="Calibri"/>
        </w:rPr>
        <w:t xml:space="preserve"> load impacts. </w:t>
      </w:r>
    </w:p>
  </w:footnote>
  <w:footnote w:id="9">
    <w:p w14:paraId="7015B8BD" w14:textId="0053F777" w:rsidR="00C143D9" w:rsidRPr="00F34148" w:rsidRDefault="00C143D9">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The summer pricing season is Ju</w:t>
      </w:r>
      <w:r>
        <w:rPr>
          <w:rFonts w:ascii="Calibri" w:hAnsi="Calibri"/>
        </w:rPr>
        <w:t>ne</w:t>
      </w:r>
      <w:r w:rsidRPr="00F34148">
        <w:rPr>
          <w:rFonts w:ascii="Calibri" w:hAnsi="Calibri"/>
        </w:rPr>
        <w:t xml:space="preserve"> through September for SCE, </w:t>
      </w:r>
      <w:r>
        <w:rPr>
          <w:rFonts w:ascii="Calibri" w:hAnsi="Calibri"/>
        </w:rPr>
        <w:t>June</w:t>
      </w:r>
      <w:r w:rsidRPr="00F34148">
        <w:rPr>
          <w:rFonts w:ascii="Calibri" w:hAnsi="Calibri"/>
        </w:rPr>
        <w:t xml:space="preserve"> through </w:t>
      </w:r>
      <w:r>
        <w:rPr>
          <w:rFonts w:ascii="Calibri" w:hAnsi="Calibri"/>
        </w:rPr>
        <w:t>October</w:t>
      </w:r>
      <w:r w:rsidRPr="00F34148">
        <w:rPr>
          <w:rFonts w:ascii="Calibri" w:hAnsi="Calibri"/>
        </w:rPr>
        <w:t xml:space="preserve"> for SDG&amp;E, and May through October for PG&amp;E.</w:t>
      </w:r>
    </w:p>
  </w:footnote>
  <w:footnote w:id="10">
    <w:p w14:paraId="60D6B888" w14:textId="63E7B4F0" w:rsidR="00C143D9" w:rsidRPr="00A40E8E" w:rsidRDefault="00C143D9">
      <w:pPr>
        <w:pStyle w:val="FootnoteText"/>
        <w:rPr>
          <w:rFonts w:asciiTheme="minorHAnsi" w:hAnsiTheme="minorHAnsi" w:cstheme="minorHAnsi"/>
        </w:rPr>
      </w:pPr>
      <w:r w:rsidRPr="00A40E8E">
        <w:rPr>
          <w:rStyle w:val="FootnoteReference"/>
          <w:rFonts w:asciiTheme="minorHAnsi" w:hAnsiTheme="minorHAnsi" w:cstheme="minorHAnsi"/>
        </w:rPr>
        <w:footnoteRef/>
      </w:r>
      <w:r w:rsidRPr="00A40E8E">
        <w:rPr>
          <w:rFonts w:asciiTheme="minorHAnsi" w:hAnsiTheme="minorHAnsi" w:cstheme="minorHAnsi"/>
        </w:rPr>
        <w:t xml:space="preserve"> The May 3, 2017 event day was called from 8:00 to 9:25 p.m., so the second hour of the average load impact for that event day corresponds to a partial event hour. However, the estimated load impact during that hour is actually higher than the estimated load impact during the full event hour that preceded it.</w:t>
      </w:r>
    </w:p>
  </w:footnote>
  <w:footnote w:id="11">
    <w:p w14:paraId="3A3B4406" w14:textId="47E34DA9" w:rsidR="00C143D9" w:rsidRPr="008975C3" w:rsidRDefault="00C143D9">
      <w:pPr>
        <w:pStyle w:val="FootnoteText"/>
        <w:rPr>
          <w:rFonts w:asciiTheme="minorHAnsi" w:hAnsiTheme="minorHAnsi" w:cstheme="minorHAnsi"/>
        </w:rPr>
      </w:pPr>
      <w:r w:rsidRPr="008975C3">
        <w:rPr>
          <w:rStyle w:val="FootnoteReference"/>
          <w:rFonts w:asciiTheme="minorHAnsi" w:hAnsiTheme="minorHAnsi" w:cstheme="minorHAnsi"/>
        </w:rPr>
        <w:footnoteRef/>
      </w:r>
      <w:r w:rsidRPr="008975C3">
        <w:rPr>
          <w:rFonts w:asciiTheme="minorHAnsi" w:hAnsiTheme="minorHAnsi" w:cstheme="minorHAnsi"/>
        </w:rPr>
        <w:t xml:space="preserve"> </w:t>
      </w:r>
      <w:r w:rsidR="007357E6" w:rsidRPr="007357E6">
        <w:rPr>
          <w:rFonts w:asciiTheme="minorHAnsi" w:hAnsiTheme="minorHAnsi" w:cstheme="minorHAnsi"/>
          <w:highlight w:val="black"/>
        </w:rPr>
        <w:t>-------------------------------------------------------------------------------------------------------------------------------------------------------------------------------------------------------------------------------------</w:t>
      </w:r>
    </w:p>
  </w:footnote>
  <w:footnote w:id="12">
    <w:p w14:paraId="0099C465" w14:textId="762D9954" w:rsidR="00C143D9" w:rsidRDefault="00C143D9">
      <w:pPr>
        <w:pStyle w:val="FootnoteText"/>
      </w:pPr>
      <w:r w:rsidRPr="00667C2A">
        <w:rPr>
          <w:rStyle w:val="FootnoteReference"/>
          <w:rFonts w:asciiTheme="minorHAnsi" w:hAnsiTheme="minorHAnsi"/>
        </w:rPr>
        <w:footnoteRef/>
      </w:r>
      <w:r w:rsidRPr="00667C2A">
        <w:rPr>
          <w:rFonts w:asciiTheme="minorHAnsi" w:hAnsiTheme="minorHAnsi"/>
        </w:rPr>
        <w:t xml:space="preserve"> Note that customers were notified at </w:t>
      </w:r>
      <w:r>
        <w:rPr>
          <w:rFonts w:asciiTheme="minorHAnsi" w:hAnsiTheme="minorHAnsi"/>
        </w:rPr>
        <w:t xml:space="preserve">6:58 </w:t>
      </w:r>
      <w:r w:rsidRPr="00667C2A">
        <w:rPr>
          <w:rFonts w:asciiTheme="minorHAnsi" w:hAnsiTheme="minorHAnsi"/>
        </w:rPr>
        <w:t>p</w:t>
      </w:r>
      <w:r>
        <w:rPr>
          <w:rFonts w:asciiTheme="minorHAnsi" w:hAnsiTheme="minorHAnsi"/>
        </w:rPr>
        <w:t>.</w:t>
      </w:r>
      <w:r w:rsidRPr="00667C2A">
        <w:rPr>
          <w:rFonts w:asciiTheme="minorHAnsi" w:hAnsiTheme="minorHAnsi"/>
        </w:rPr>
        <w:t>m</w:t>
      </w:r>
      <w:r>
        <w:rPr>
          <w:rFonts w:asciiTheme="minorHAnsi" w:hAnsiTheme="minorHAnsi"/>
        </w:rPr>
        <w:t>.</w:t>
      </w:r>
      <w:r w:rsidRPr="00667C2A">
        <w:rPr>
          <w:rFonts w:asciiTheme="minorHAnsi" w:hAnsiTheme="minorHAnsi"/>
        </w:rPr>
        <w:t xml:space="preserve"> but not required to meet their FSLs until </w:t>
      </w:r>
      <w:r>
        <w:rPr>
          <w:rFonts w:asciiTheme="minorHAnsi" w:hAnsiTheme="minorHAnsi"/>
        </w:rPr>
        <w:t>15 to 30 minutes later</w:t>
      </w:r>
      <w:r w:rsidRPr="00667C2A">
        <w:rPr>
          <w:rFonts w:asciiTheme="minorHAnsi" w:hAnsiTheme="minorHAnsi"/>
        </w:rPr>
        <w:t xml:space="preserve">, and the event ended at </w:t>
      </w:r>
      <w:r>
        <w:rPr>
          <w:rFonts w:asciiTheme="minorHAnsi" w:hAnsiTheme="minorHAnsi"/>
        </w:rPr>
        <w:t>9</w:t>
      </w:r>
      <w:r w:rsidRPr="00667C2A">
        <w:rPr>
          <w:rFonts w:asciiTheme="minorHAnsi" w:hAnsiTheme="minorHAnsi"/>
        </w:rPr>
        <w:t>:</w:t>
      </w:r>
      <w:r>
        <w:rPr>
          <w:rFonts w:asciiTheme="minorHAnsi" w:hAnsiTheme="minorHAnsi"/>
        </w:rPr>
        <w:t xml:space="preserve">25 </w:t>
      </w:r>
      <w:r w:rsidRPr="00667C2A">
        <w:rPr>
          <w:rFonts w:asciiTheme="minorHAnsi" w:hAnsiTheme="minorHAnsi"/>
        </w:rPr>
        <w:t>p</w:t>
      </w:r>
      <w:r>
        <w:rPr>
          <w:rFonts w:asciiTheme="minorHAnsi" w:hAnsiTheme="minorHAnsi"/>
        </w:rPr>
        <w:t>.</w:t>
      </w:r>
      <w:r w:rsidRPr="00667C2A">
        <w:rPr>
          <w:rFonts w:asciiTheme="minorHAnsi" w:hAnsiTheme="minorHAnsi"/>
        </w:rPr>
        <w:t>m</w:t>
      </w:r>
      <w:r>
        <w:rPr>
          <w:rFonts w:asciiTheme="minorHAnsi" w:hAnsiTheme="minorHAnsi"/>
        </w:rPr>
        <w:t>.</w:t>
      </w:r>
      <w:r w:rsidRPr="00667C2A">
        <w:rPr>
          <w:rFonts w:asciiTheme="minorHAnsi" w:hAnsiTheme="minorHAnsi"/>
        </w:rPr>
        <w:t xml:space="preserve"> </w:t>
      </w:r>
      <w:r>
        <w:rPr>
          <w:rFonts w:asciiTheme="minorHAnsi" w:hAnsiTheme="minorHAnsi"/>
        </w:rPr>
        <w:t xml:space="preserve">Therefore, </w:t>
      </w:r>
      <w:r w:rsidRPr="00667C2A">
        <w:rPr>
          <w:rFonts w:asciiTheme="minorHAnsi" w:hAnsiTheme="minorHAnsi"/>
        </w:rPr>
        <w:t>hour</w:t>
      </w:r>
      <w:r>
        <w:rPr>
          <w:rFonts w:asciiTheme="minorHAnsi" w:hAnsiTheme="minorHAnsi"/>
        </w:rPr>
        <w:t>-ending</w:t>
      </w:r>
      <w:r w:rsidRPr="00667C2A">
        <w:rPr>
          <w:rFonts w:asciiTheme="minorHAnsi" w:hAnsiTheme="minorHAnsi"/>
        </w:rPr>
        <w:t xml:space="preserve"> </w:t>
      </w:r>
      <w:r>
        <w:rPr>
          <w:rFonts w:asciiTheme="minorHAnsi" w:hAnsiTheme="minorHAnsi"/>
        </w:rPr>
        <w:t>21 (8:00 to 9:00 p.m.)</w:t>
      </w:r>
      <w:r w:rsidRPr="00667C2A">
        <w:rPr>
          <w:rFonts w:asciiTheme="minorHAnsi" w:hAnsiTheme="minorHAnsi"/>
        </w:rPr>
        <w:t xml:space="preserve"> is the only hour for which customers were required to meet their FSLs during the entire hour. For this reason, hour</w:t>
      </w:r>
      <w:r>
        <w:rPr>
          <w:rFonts w:asciiTheme="minorHAnsi" w:hAnsiTheme="minorHAnsi"/>
        </w:rPr>
        <w:t>-ending</w:t>
      </w:r>
      <w:r w:rsidRPr="00667C2A">
        <w:rPr>
          <w:rFonts w:asciiTheme="minorHAnsi" w:hAnsiTheme="minorHAnsi"/>
        </w:rPr>
        <w:t xml:space="preserve"> </w:t>
      </w:r>
      <w:r>
        <w:rPr>
          <w:rFonts w:asciiTheme="minorHAnsi" w:hAnsiTheme="minorHAnsi"/>
        </w:rPr>
        <w:t>21</w:t>
      </w:r>
      <w:r w:rsidRPr="00667C2A">
        <w:rPr>
          <w:rFonts w:asciiTheme="minorHAnsi" w:hAnsiTheme="minorHAnsi"/>
        </w:rPr>
        <w:t xml:space="preserve"> alone is used to calculate all event-hour summary measures for SCE’s one event.</w:t>
      </w:r>
    </w:p>
  </w:footnote>
  <w:footnote w:id="13">
    <w:p w14:paraId="2ABAEDDB" w14:textId="32811563" w:rsidR="00C143D9" w:rsidRPr="008F55A9" w:rsidRDefault="00C143D9">
      <w:pPr>
        <w:pStyle w:val="FootnoteText"/>
        <w:rPr>
          <w:rFonts w:asciiTheme="minorHAnsi" w:hAnsiTheme="minorHAnsi"/>
        </w:rPr>
      </w:pPr>
      <w:r w:rsidRPr="008F55A9">
        <w:rPr>
          <w:rStyle w:val="FootnoteReference"/>
          <w:rFonts w:asciiTheme="minorHAnsi" w:hAnsiTheme="minorHAnsi"/>
        </w:rPr>
        <w:footnoteRef/>
      </w:r>
      <w:r w:rsidRPr="008F55A9">
        <w:rPr>
          <w:rFonts w:asciiTheme="minorHAnsi" w:hAnsiTheme="minorHAnsi"/>
        </w:rPr>
        <w:t xml:space="preserve"> In particular, where CDH60 and CDH60_MA24, the 24-hour moving average of CDH60, are used together for summer </w:t>
      </w:r>
      <w:r w:rsidRPr="00C35C2F">
        <w:rPr>
          <w:rFonts w:asciiTheme="minorHAnsi" w:hAnsiTheme="minorHAnsi"/>
          <w:i/>
        </w:rPr>
        <w:t>ex-post</w:t>
      </w:r>
      <w:r w:rsidRPr="008F55A9">
        <w:rPr>
          <w:rFonts w:asciiTheme="minorHAnsi" w:hAnsiTheme="minorHAnsi"/>
        </w:rPr>
        <w:t xml:space="preserve"> regressions, only CDH60 is used for the </w:t>
      </w:r>
      <w:r w:rsidRPr="00C35C2F">
        <w:rPr>
          <w:rFonts w:asciiTheme="minorHAnsi" w:hAnsiTheme="minorHAnsi"/>
          <w:i/>
        </w:rPr>
        <w:t>ex-ante</w:t>
      </w:r>
      <w:r w:rsidRPr="008F55A9">
        <w:rPr>
          <w:rFonts w:asciiTheme="minorHAnsi" w:hAnsiTheme="minorHAnsi"/>
        </w:rPr>
        <w:t xml:space="preserve"> models. Similarly, where CDH60_MA3, the three-hour moving average, is used for </w:t>
      </w:r>
      <w:r w:rsidRPr="00C35C2F">
        <w:rPr>
          <w:rFonts w:asciiTheme="minorHAnsi" w:hAnsiTheme="minorHAnsi"/>
          <w:i/>
        </w:rPr>
        <w:t>ex-post</w:t>
      </w:r>
      <w:r w:rsidRPr="008F55A9">
        <w:rPr>
          <w:rFonts w:asciiTheme="minorHAnsi" w:hAnsiTheme="minorHAnsi"/>
        </w:rPr>
        <w:t xml:space="preserve"> regressions, CDH60 is used for the </w:t>
      </w:r>
      <w:r w:rsidRPr="00C35C2F">
        <w:rPr>
          <w:rFonts w:asciiTheme="minorHAnsi" w:hAnsiTheme="minorHAnsi"/>
          <w:i/>
        </w:rPr>
        <w:t>ex-ante</w:t>
      </w:r>
      <w:r w:rsidRPr="008F55A9">
        <w:rPr>
          <w:rFonts w:asciiTheme="minorHAnsi" w:hAnsiTheme="minorHAnsi"/>
        </w:rPr>
        <w:t xml:space="preserve"> analysis. See Appendix A for weather variable details.</w:t>
      </w:r>
    </w:p>
  </w:footnote>
  <w:footnote w:id="14">
    <w:p w14:paraId="2981621D" w14:textId="4F409D97" w:rsidR="00C143D9" w:rsidRPr="008F55A9" w:rsidRDefault="00C143D9">
      <w:pPr>
        <w:pStyle w:val="FootnoteText"/>
        <w:rPr>
          <w:rFonts w:asciiTheme="minorHAnsi" w:hAnsiTheme="minorHAnsi"/>
        </w:rPr>
      </w:pPr>
      <w:r w:rsidRPr="008F55A9">
        <w:rPr>
          <w:rStyle w:val="FootnoteReference"/>
          <w:rFonts w:asciiTheme="minorHAnsi" w:hAnsiTheme="minorHAnsi"/>
        </w:rPr>
        <w:footnoteRef/>
      </w:r>
      <w:r w:rsidRPr="008F55A9">
        <w:rPr>
          <w:rFonts w:asciiTheme="minorHAnsi" w:hAnsiTheme="minorHAnsi"/>
        </w:rPr>
        <w:t xml:space="preserve"> It is not possible to calculate an achievement rate for customers with reference loads below their FSLs throughout an event period—the event effectively has no </w:t>
      </w:r>
      <w:r>
        <w:rPr>
          <w:rFonts w:asciiTheme="minorHAnsi" w:hAnsiTheme="minorHAnsi"/>
        </w:rPr>
        <w:t>effect</w:t>
      </w:r>
      <w:r w:rsidRPr="008F55A9">
        <w:rPr>
          <w:rFonts w:asciiTheme="minorHAnsi" w:hAnsiTheme="minorHAnsi"/>
        </w:rPr>
        <w:t xml:space="preserve"> on them.</w:t>
      </w:r>
    </w:p>
  </w:footnote>
  <w:footnote w:id="15">
    <w:p w14:paraId="5799D039" w14:textId="0C0C031E" w:rsidR="00C143D9" w:rsidRPr="00794FB6" w:rsidRDefault="00C143D9">
      <w:pPr>
        <w:pStyle w:val="FootnoteText"/>
        <w:rPr>
          <w:rFonts w:asciiTheme="minorHAnsi" w:hAnsiTheme="minorHAnsi" w:cstheme="minorHAnsi"/>
        </w:rPr>
      </w:pPr>
      <w:r w:rsidRPr="00794FB6">
        <w:rPr>
          <w:rStyle w:val="FootnoteReference"/>
          <w:rFonts w:asciiTheme="minorHAnsi" w:hAnsiTheme="minorHAnsi" w:cstheme="minorHAnsi"/>
        </w:rPr>
        <w:footnoteRef/>
      </w:r>
      <w:r w:rsidRPr="00794FB6">
        <w:rPr>
          <w:rFonts w:asciiTheme="minorHAnsi" w:hAnsiTheme="minorHAnsi" w:cstheme="minorHAnsi"/>
        </w:rPr>
        <w:t xml:space="preserve"> Recall that the </w:t>
      </w:r>
      <w:r w:rsidRPr="00794FB6">
        <w:rPr>
          <w:rFonts w:asciiTheme="minorHAnsi" w:hAnsiTheme="minorHAnsi" w:cstheme="minorHAnsi"/>
          <w:i/>
        </w:rPr>
        <w:t xml:space="preserve">ex-ante </w:t>
      </w:r>
      <w:r w:rsidRPr="00794FB6">
        <w:rPr>
          <w:rFonts w:asciiTheme="minorHAnsi" w:hAnsiTheme="minorHAnsi" w:cstheme="minorHAnsi"/>
        </w:rPr>
        <w:t>set of specifications eliminate the use of morning load variables as well as weather variables using information from prior days.</w:t>
      </w:r>
    </w:p>
  </w:footnote>
  <w:footnote w:id="16">
    <w:p w14:paraId="107923D3" w14:textId="77777777" w:rsidR="00C143D9" w:rsidRPr="007772B0" w:rsidRDefault="00C143D9" w:rsidP="00614D97">
      <w:pPr>
        <w:pStyle w:val="FootnoteText"/>
        <w:rPr>
          <w:rFonts w:asciiTheme="minorHAnsi" w:hAnsiTheme="minorHAnsi"/>
        </w:rPr>
      </w:pPr>
      <w:r w:rsidRPr="007772B0">
        <w:rPr>
          <w:rStyle w:val="FootnoteReference"/>
          <w:rFonts w:asciiTheme="minorHAnsi" w:hAnsiTheme="minorHAnsi"/>
        </w:rPr>
        <w:footnoteRef/>
      </w:r>
      <w:r w:rsidRPr="007772B0">
        <w:rPr>
          <w:rFonts w:asciiTheme="minorHAnsi" w:hAnsiTheme="minorHAnsi"/>
        </w:rPr>
        <w:t xml:space="preserve"> THI = </w:t>
      </w:r>
      <w:r w:rsidRPr="007772B0">
        <w:rPr>
          <w:rFonts w:asciiTheme="minorHAnsi" w:hAnsiTheme="minorHAnsi"/>
          <w:i/>
        </w:rPr>
        <w:t>T</w:t>
      </w:r>
      <w:r w:rsidRPr="007772B0">
        <w:rPr>
          <w:rFonts w:asciiTheme="minorHAnsi" w:hAnsiTheme="minorHAnsi"/>
        </w:rPr>
        <w:t xml:space="preserve"> – 0.55 x (1 – </w:t>
      </w:r>
      <w:r w:rsidRPr="007772B0">
        <w:rPr>
          <w:rFonts w:asciiTheme="minorHAnsi" w:hAnsiTheme="minorHAnsi"/>
          <w:i/>
        </w:rPr>
        <w:t>HUM</w:t>
      </w:r>
      <w:r w:rsidRPr="007772B0">
        <w:rPr>
          <w:rFonts w:asciiTheme="minorHAnsi" w:hAnsiTheme="minorHAnsi"/>
        </w:rPr>
        <w:t>) x (</w:t>
      </w:r>
      <w:r w:rsidRPr="007772B0">
        <w:rPr>
          <w:rFonts w:asciiTheme="minorHAnsi" w:hAnsiTheme="minorHAnsi"/>
          <w:i/>
        </w:rPr>
        <w:t>T</w:t>
      </w:r>
      <w:r w:rsidRPr="007772B0">
        <w:rPr>
          <w:rFonts w:asciiTheme="minorHAnsi" w:hAnsiTheme="minorHAnsi"/>
        </w:rPr>
        <w:t xml:space="preserve"> – 58) if </w:t>
      </w:r>
      <w:r w:rsidRPr="007772B0">
        <w:rPr>
          <w:rFonts w:asciiTheme="minorHAnsi" w:hAnsiTheme="minorHAnsi"/>
          <w:i/>
        </w:rPr>
        <w:t>T</w:t>
      </w:r>
      <w:r w:rsidRPr="007772B0">
        <w:rPr>
          <w:rFonts w:asciiTheme="minorHAnsi" w:hAnsiTheme="minorHAnsi"/>
        </w:rPr>
        <w:t xml:space="preserve">&gt;=58 or THI = </w:t>
      </w:r>
      <w:r w:rsidRPr="007772B0">
        <w:rPr>
          <w:rFonts w:asciiTheme="minorHAnsi" w:hAnsiTheme="minorHAnsi"/>
          <w:i/>
        </w:rPr>
        <w:t>T</w:t>
      </w:r>
      <w:r w:rsidRPr="007772B0">
        <w:rPr>
          <w:rFonts w:asciiTheme="minorHAnsi" w:hAnsiTheme="minorHAnsi"/>
        </w:rPr>
        <w:t xml:space="preserve"> if </w:t>
      </w:r>
      <w:r w:rsidRPr="007772B0">
        <w:rPr>
          <w:rFonts w:asciiTheme="minorHAnsi" w:hAnsiTheme="minorHAnsi"/>
          <w:i/>
        </w:rPr>
        <w:t>T</w:t>
      </w:r>
      <w:r w:rsidRPr="007772B0">
        <w:rPr>
          <w:rFonts w:asciiTheme="minorHAnsi" w:hAnsiTheme="minorHAnsi"/>
        </w:rPr>
        <w:t xml:space="preserve">&lt;58, where </w:t>
      </w:r>
      <w:r w:rsidRPr="007772B0">
        <w:rPr>
          <w:rFonts w:asciiTheme="minorHAnsi" w:hAnsiTheme="minorHAnsi"/>
          <w:i/>
        </w:rPr>
        <w:t>T</w:t>
      </w:r>
      <w:r w:rsidRPr="007772B0">
        <w:rPr>
          <w:rFonts w:asciiTheme="minorHAnsi" w:hAnsiTheme="minorHAnsi"/>
        </w:rPr>
        <w:t xml:space="preserve"> = ambient dry-bulb temperature in degrees Fahrenheit and </w:t>
      </w:r>
      <w:r w:rsidRPr="007772B0">
        <w:rPr>
          <w:rFonts w:asciiTheme="minorHAnsi" w:hAnsiTheme="minorHAnsi"/>
          <w:i/>
        </w:rPr>
        <w:t>HUM</w:t>
      </w:r>
      <w:r w:rsidRPr="007772B0">
        <w:rPr>
          <w:rFonts w:asciiTheme="minorHAnsi" w:hAnsiTheme="minorHAnsi"/>
        </w:rPr>
        <w:t xml:space="preserve"> = relative humidity (where 10 percent is expressed as “0.10”).</w:t>
      </w:r>
    </w:p>
  </w:footnote>
  <w:footnote w:id="17">
    <w:p w14:paraId="125FFD71" w14:textId="77777777" w:rsidR="00C143D9" w:rsidRPr="007772B0" w:rsidRDefault="00C143D9" w:rsidP="00614D97">
      <w:pPr>
        <w:pStyle w:val="FootnoteText"/>
        <w:rPr>
          <w:rFonts w:asciiTheme="minorHAnsi" w:hAnsiTheme="minorHAnsi"/>
        </w:rPr>
      </w:pPr>
      <w:r w:rsidRPr="007772B0">
        <w:rPr>
          <w:rStyle w:val="FootnoteReference"/>
          <w:rFonts w:asciiTheme="minorHAnsi" w:hAnsiTheme="minorHAnsi"/>
        </w:rPr>
        <w:footnoteRef/>
      </w:r>
      <w:r w:rsidRPr="007772B0">
        <w:rPr>
          <w:rFonts w:asciiTheme="minorHAnsi" w:hAnsiTheme="minorHAnsi"/>
        </w:rPr>
        <w:t xml:space="preserve"> HI = </w:t>
      </w:r>
      <w:r w:rsidRPr="007772B0">
        <w:rPr>
          <w:rFonts w:asciiTheme="minorHAnsi" w:hAnsiTheme="minorHAnsi"/>
          <w:i/>
        </w:rPr>
        <w:t>c</w:t>
      </w:r>
      <w:r w:rsidRPr="007772B0">
        <w:rPr>
          <w:rFonts w:asciiTheme="minorHAnsi" w:hAnsiTheme="minorHAnsi"/>
          <w:vertAlign w:val="subscript"/>
        </w:rPr>
        <w:t>1</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2</w:t>
      </w:r>
      <w:r w:rsidRPr="007772B0">
        <w:rPr>
          <w:rFonts w:asciiTheme="minorHAnsi" w:hAnsiTheme="minorHAnsi"/>
          <w:i/>
        </w:rPr>
        <w:t>T</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3</w:t>
      </w:r>
      <w:r w:rsidRPr="007772B0">
        <w:rPr>
          <w:rFonts w:asciiTheme="minorHAnsi" w:hAnsiTheme="minorHAnsi"/>
          <w:i/>
        </w:rPr>
        <w:t>R</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4</w:t>
      </w:r>
      <w:r w:rsidRPr="007772B0">
        <w:rPr>
          <w:rFonts w:asciiTheme="minorHAnsi" w:hAnsiTheme="minorHAnsi"/>
          <w:i/>
        </w:rPr>
        <w:t>TR</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5</w:t>
      </w:r>
      <w:r w:rsidRPr="007772B0">
        <w:rPr>
          <w:rFonts w:asciiTheme="minorHAnsi" w:hAnsiTheme="minorHAnsi"/>
          <w:i/>
        </w:rPr>
        <w:t>T</w:t>
      </w:r>
      <w:r w:rsidRPr="007772B0">
        <w:rPr>
          <w:rFonts w:asciiTheme="minorHAnsi" w:hAnsiTheme="minorHAnsi"/>
          <w:vertAlign w:val="superscript"/>
        </w:rPr>
        <w:t>2</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6</w:t>
      </w:r>
      <w:r w:rsidRPr="007772B0">
        <w:rPr>
          <w:rFonts w:asciiTheme="minorHAnsi" w:hAnsiTheme="minorHAnsi"/>
          <w:i/>
        </w:rPr>
        <w:t>R</w:t>
      </w:r>
      <w:r w:rsidRPr="007772B0">
        <w:rPr>
          <w:rFonts w:asciiTheme="minorHAnsi" w:hAnsiTheme="minorHAnsi"/>
          <w:vertAlign w:val="superscript"/>
        </w:rPr>
        <w:t>2</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7</w:t>
      </w:r>
      <w:r w:rsidRPr="007772B0">
        <w:rPr>
          <w:rFonts w:asciiTheme="minorHAnsi" w:hAnsiTheme="minorHAnsi"/>
          <w:i/>
        </w:rPr>
        <w:t>T</w:t>
      </w:r>
      <w:r w:rsidRPr="007772B0">
        <w:rPr>
          <w:rFonts w:asciiTheme="minorHAnsi" w:hAnsiTheme="minorHAnsi"/>
          <w:vertAlign w:val="superscript"/>
        </w:rPr>
        <w:t>2</w:t>
      </w:r>
      <w:r w:rsidRPr="007772B0">
        <w:rPr>
          <w:rFonts w:asciiTheme="minorHAnsi" w:hAnsiTheme="minorHAnsi"/>
          <w:i/>
        </w:rPr>
        <w:t>R</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8</w:t>
      </w:r>
      <w:r w:rsidRPr="007772B0">
        <w:rPr>
          <w:rFonts w:asciiTheme="minorHAnsi" w:hAnsiTheme="minorHAnsi"/>
          <w:i/>
        </w:rPr>
        <w:t>TR</w:t>
      </w:r>
      <w:r w:rsidRPr="007772B0">
        <w:rPr>
          <w:rFonts w:asciiTheme="minorHAnsi" w:hAnsiTheme="minorHAnsi"/>
          <w:vertAlign w:val="superscript"/>
        </w:rPr>
        <w:t>2</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9</w:t>
      </w:r>
      <w:r w:rsidRPr="007772B0">
        <w:rPr>
          <w:rFonts w:asciiTheme="minorHAnsi" w:hAnsiTheme="minorHAnsi"/>
          <w:i/>
        </w:rPr>
        <w:t>T</w:t>
      </w:r>
      <w:r w:rsidRPr="007772B0">
        <w:rPr>
          <w:rFonts w:asciiTheme="minorHAnsi" w:hAnsiTheme="minorHAnsi"/>
          <w:vertAlign w:val="superscript"/>
        </w:rPr>
        <w:t>2</w:t>
      </w:r>
      <w:r w:rsidRPr="007772B0">
        <w:rPr>
          <w:rFonts w:asciiTheme="minorHAnsi" w:hAnsiTheme="minorHAnsi"/>
          <w:i/>
        </w:rPr>
        <w:t>R</w:t>
      </w:r>
      <w:r w:rsidRPr="007772B0">
        <w:rPr>
          <w:rFonts w:asciiTheme="minorHAnsi" w:hAnsiTheme="minorHAnsi"/>
          <w:vertAlign w:val="superscript"/>
        </w:rPr>
        <w:t>2</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10</w:t>
      </w:r>
      <w:r w:rsidRPr="007772B0">
        <w:rPr>
          <w:rFonts w:asciiTheme="minorHAnsi" w:hAnsiTheme="minorHAnsi"/>
          <w:i/>
        </w:rPr>
        <w:t>T</w:t>
      </w:r>
      <w:r w:rsidRPr="007772B0">
        <w:rPr>
          <w:rFonts w:asciiTheme="minorHAnsi" w:hAnsiTheme="minorHAnsi"/>
          <w:vertAlign w:val="superscript"/>
        </w:rPr>
        <w:t>3</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11</w:t>
      </w:r>
      <w:r w:rsidRPr="007772B0">
        <w:rPr>
          <w:rFonts w:asciiTheme="minorHAnsi" w:hAnsiTheme="minorHAnsi"/>
          <w:i/>
        </w:rPr>
        <w:t>R</w:t>
      </w:r>
      <w:r w:rsidRPr="007772B0">
        <w:rPr>
          <w:rFonts w:asciiTheme="minorHAnsi" w:hAnsiTheme="minorHAnsi"/>
          <w:vertAlign w:val="superscript"/>
        </w:rPr>
        <w:t>3</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12</w:t>
      </w:r>
      <w:r w:rsidRPr="007772B0">
        <w:rPr>
          <w:rFonts w:asciiTheme="minorHAnsi" w:hAnsiTheme="minorHAnsi"/>
          <w:i/>
        </w:rPr>
        <w:t>T</w:t>
      </w:r>
      <w:r w:rsidRPr="007772B0">
        <w:rPr>
          <w:rFonts w:asciiTheme="minorHAnsi" w:hAnsiTheme="minorHAnsi"/>
          <w:vertAlign w:val="superscript"/>
        </w:rPr>
        <w:t>3</w:t>
      </w:r>
      <w:r w:rsidRPr="007772B0">
        <w:rPr>
          <w:rFonts w:asciiTheme="minorHAnsi" w:hAnsiTheme="minorHAnsi"/>
          <w:i/>
        </w:rPr>
        <w:t>R</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13</w:t>
      </w:r>
      <w:r w:rsidRPr="007772B0">
        <w:rPr>
          <w:rFonts w:asciiTheme="minorHAnsi" w:hAnsiTheme="minorHAnsi"/>
          <w:i/>
        </w:rPr>
        <w:t>TR</w:t>
      </w:r>
      <w:r w:rsidRPr="007772B0">
        <w:rPr>
          <w:rFonts w:asciiTheme="minorHAnsi" w:hAnsiTheme="minorHAnsi"/>
          <w:vertAlign w:val="superscript"/>
        </w:rPr>
        <w:t>3</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14</w:t>
      </w:r>
      <w:r w:rsidRPr="007772B0">
        <w:rPr>
          <w:rFonts w:asciiTheme="minorHAnsi" w:hAnsiTheme="minorHAnsi"/>
          <w:i/>
        </w:rPr>
        <w:t>T</w:t>
      </w:r>
      <w:r w:rsidRPr="007772B0">
        <w:rPr>
          <w:rFonts w:asciiTheme="minorHAnsi" w:hAnsiTheme="minorHAnsi"/>
          <w:vertAlign w:val="superscript"/>
        </w:rPr>
        <w:t>3</w:t>
      </w:r>
      <w:r w:rsidRPr="007772B0">
        <w:rPr>
          <w:rFonts w:asciiTheme="minorHAnsi" w:hAnsiTheme="minorHAnsi"/>
          <w:i/>
        </w:rPr>
        <w:t>R</w:t>
      </w:r>
      <w:r w:rsidRPr="007772B0">
        <w:rPr>
          <w:rFonts w:asciiTheme="minorHAnsi" w:hAnsiTheme="minorHAnsi"/>
          <w:vertAlign w:val="superscript"/>
        </w:rPr>
        <w:t>2</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15</w:t>
      </w:r>
      <w:r w:rsidRPr="007772B0">
        <w:rPr>
          <w:rFonts w:asciiTheme="minorHAnsi" w:hAnsiTheme="minorHAnsi"/>
          <w:i/>
        </w:rPr>
        <w:t>T</w:t>
      </w:r>
      <w:r w:rsidRPr="007772B0">
        <w:rPr>
          <w:rFonts w:asciiTheme="minorHAnsi" w:hAnsiTheme="minorHAnsi"/>
          <w:vertAlign w:val="superscript"/>
        </w:rPr>
        <w:t>2</w:t>
      </w:r>
      <w:r w:rsidRPr="007772B0">
        <w:rPr>
          <w:rFonts w:asciiTheme="minorHAnsi" w:hAnsiTheme="minorHAnsi"/>
          <w:i/>
        </w:rPr>
        <w:t>R</w:t>
      </w:r>
      <w:r w:rsidRPr="007772B0">
        <w:rPr>
          <w:rFonts w:asciiTheme="minorHAnsi" w:hAnsiTheme="minorHAnsi"/>
          <w:vertAlign w:val="superscript"/>
        </w:rPr>
        <w:t>3</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16</w:t>
      </w:r>
      <w:r w:rsidRPr="007772B0">
        <w:rPr>
          <w:rFonts w:asciiTheme="minorHAnsi" w:hAnsiTheme="minorHAnsi"/>
          <w:i/>
        </w:rPr>
        <w:t>T</w:t>
      </w:r>
      <w:r w:rsidRPr="007772B0">
        <w:rPr>
          <w:rFonts w:asciiTheme="minorHAnsi" w:hAnsiTheme="minorHAnsi"/>
          <w:vertAlign w:val="superscript"/>
        </w:rPr>
        <w:t>3</w:t>
      </w:r>
      <w:r w:rsidRPr="007772B0">
        <w:rPr>
          <w:rFonts w:asciiTheme="minorHAnsi" w:hAnsiTheme="minorHAnsi"/>
          <w:i/>
        </w:rPr>
        <w:t>R</w:t>
      </w:r>
      <w:r w:rsidRPr="007772B0">
        <w:rPr>
          <w:rFonts w:asciiTheme="minorHAnsi" w:hAnsiTheme="minorHAnsi"/>
          <w:vertAlign w:val="superscript"/>
        </w:rPr>
        <w:t>3</w:t>
      </w:r>
      <w:r w:rsidRPr="007772B0">
        <w:rPr>
          <w:rFonts w:asciiTheme="minorHAnsi" w:hAnsiTheme="minorHAnsi"/>
        </w:rPr>
        <w:t xml:space="preserve">, where </w:t>
      </w:r>
      <w:r w:rsidRPr="007772B0">
        <w:rPr>
          <w:rFonts w:asciiTheme="minorHAnsi" w:hAnsiTheme="minorHAnsi"/>
          <w:i/>
        </w:rPr>
        <w:t>T</w:t>
      </w:r>
      <w:r w:rsidRPr="007772B0">
        <w:rPr>
          <w:rFonts w:asciiTheme="minorHAnsi" w:hAnsiTheme="minorHAnsi"/>
        </w:rPr>
        <w:t xml:space="preserve"> = ambient dry-bulb temperature in degrees Fahrenheit and </w:t>
      </w:r>
      <w:r w:rsidRPr="007772B0">
        <w:rPr>
          <w:rFonts w:asciiTheme="minorHAnsi" w:hAnsiTheme="minorHAnsi"/>
          <w:i/>
        </w:rPr>
        <w:t>R</w:t>
      </w:r>
      <w:r w:rsidRPr="007772B0">
        <w:rPr>
          <w:rFonts w:asciiTheme="minorHAnsi" w:hAnsiTheme="minorHAnsi"/>
        </w:rPr>
        <w:t xml:space="preserve"> = relative humidity (where 10 percent is expressed as “10”). The values for the various </w:t>
      </w:r>
      <w:r w:rsidRPr="007772B0">
        <w:rPr>
          <w:rFonts w:asciiTheme="minorHAnsi" w:hAnsiTheme="minorHAnsi"/>
          <w:i/>
        </w:rPr>
        <w:t>c</w:t>
      </w:r>
      <w:r w:rsidRPr="007772B0">
        <w:rPr>
          <w:rFonts w:asciiTheme="minorHAnsi" w:hAnsiTheme="minorHAnsi"/>
        </w:rPr>
        <w:t xml:space="preserve">’s may be found here: </w:t>
      </w:r>
      <w:hyperlink r:id="rId1" w:history="1">
        <w:r w:rsidRPr="007772B0">
          <w:rPr>
            <w:rStyle w:val="Hyperlink"/>
            <w:rFonts w:asciiTheme="minorHAnsi" w:hAnsiTheme="minorHAnsi"/>
          </w:rPr>
          <w:t>http://en.wikipedia.org/wiki/Heat_index</w:t>
        </w:r>
      </w:hyperlink>
      <w:r w:rsidRPr="007772B0">
        <w:rPr>
          <w:rFonts w:asciiTheme="minorHAnsi" w:hAnsiTheme="minorHAnsi"/>
        </w:rPr>
        <w:t>.</w:t>
      </w:r>
    </w:p>
  </w:footnote>
  <w:footnote w:id="18">
    <w:p w14:paraId="078A9CD7" w14:textId="77777777" w:rsidR="00C143D9" w:rsidRPr="007772B0" w:rsidRDefault="00C143D9" w:rsidP="00614D97">
      <w:pPr>
        <w:pStyle w:val="FootnoteText"/>
        <w:rPr>
          <w:rFonts w:asciiTheme="minorHAnsi" w:hAnsiTheme="minorHAnsi"/>
        </w:rPr>
      </w:pPr>
      <w:r w:rsidRPr="007772B0">
        <w:rPr>
          <w:rStyle w:val="FootnoteReference"/>
          <w:rFonts w:asciiTheme="minorHAnsi" w:hAnsiTheme="minorHAnsi"/>
        </w:rPr>
        <w:footnoteRef/>
      </w:r>
      <w:r w:rsidRPr="007772B0">
        <w:rPr>
          <w:rFonts w:asciiTheme="minorHAnsi" w:hAnsiTheme="minorHAnsi"/>
        </w:rPr>
        <w:t xml:space="preserve"> Cooling degree hours (CDH) was defined as MAX[0, Temperature – Threshold], where Temperature is the hourly temperature in degrees Fahrenheit and Threshold is either 60 or 65 degrees Fahrenheit. Customer-specific CDH values are calculated using data from the most appropriate weather station.</w:t>
      </w:r>
    </w:p>
  </w:footnote>
  <w:footnote w:id="19">
    <w:p w14:paraId="6BAF8DD7" w14:textId="77777777" w:rsidR="00C143D9" w:rsidRPr="007772B0" w:rsidRDefault="00C143D9" w:rsidP="00614D97">
      <w:pPr>
        <w:pStyle w:val="FootnoteText"/>
        <w:rPr>
          <w:rFonts w:asciiTheme="minorHAnsi" w:hAnsiTheme="minorHAnsi"/>
        </w:rPr>
      </w:pPr>
      <w:r w:rsidRPr="007772B0">
        <w:rPr>
          <w:rStyle w:val="FootnoteReference"/>
          <w:rFonts w:asciiTheme="minorHAnsi" w:hAnsiTheme="minorHAnsi"/>
        </w:rPr>
        <w:footnoteRef/>
      </w:r>
      <w:r w:rsidRPr="007772B0">
        <w:rPr>
          <w:rFonts w:asciiTheme="minorHAnsi" w:hAnsiTheme="minorHAnsi"/>
        </w:rPr>
        <w:t xml:space="preserve"> Cooling degree days (CDD) are defined as MAX[0, (Max Temp + Min Temp) / 2 – 60], where Max Temp is the daily maximum temperature in degrees Fahrenheit and Min Temp is the daily minimum temperature. Customer-specific CDD values are calculated using data from the most appropriate weather station.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A6D2D" w14:textId="69B836B4" w:rsidR="00C143D9" w:rsidRDefault="00C143D9">
    <w:pPr>
      <w:pStyle w:val="Header"/>
    </w:pPr>
    <w:r w:rsidRPr="005C41C9">
      <w:rPr>
        <w:rFonts w:ascii="AvantGarde" w:hAnsi="AvantGarde"/>
        <w:noProof/>
      </w:rPr>
      <mc:AlternateContent>
        <mc:Choice Requires="wps">
          <w:drawing>
            <wp:anchor distT="0" distB="0" distL="114300" distR="114300" simplePos="0" relativeHeight="251659264" behindDoc="0" locked="0" layoutInCell="1" allowOverlap="1" wp14:anchorId="5B177679" wp14:editId="75CDC946">
              <wp:simplePos x="0" y="0"/>
              <wp:positionH relativeFrom="page">
                <wp:align>center</wp:align>
              </wp:positionH>
              <wp:positionV relativeFrom="paragraph">
                <wp:posOffset>-1619250</wp:posOffset>
              </wp:positionV>
              <wp:extent cx="6057900" cy="1403985"/>
              <wp:effectExtent l="0" t="0" r="19050" b="1968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403985"/>
                      </a:xfrm>
                      <a:prstGeom prst="rect">
                        <a:avLst/>
                      </a:prstGeom>
                      <a:solidFill>
                        <a:srgbClr val="FFFFFF"/>
                      </a:solidFill>
                      <a:ln w="9525">
                        <a:solidFill>
                          <a:srgbClr val="000000"/>
                        </a:solidFill>
                        <a:miter lim="800000"/>
                        <a:headEnd/>
                        <a:tailEnd/>
                      </a:ln>
                    </wps:spPr>
                    <wps:txbx>
                      <w:txbxContent>
                        <w:p w14:paraId="696F3103" w14:textId="77777777" w:rsidR="00C143D9" w:rsidRDefault="00C143D9" w:rsidP="0010472A">
                          <w:r>
                            <w:rPr>
                              <w:sz w:val="20"/>
                              <w:szCs w:val="20"/>
                            </w:rPr>
                            <w:t>Public Version. Redactions in “2017 Load Impact Evaluation of California Statewide Base Interruptible Programs (BIP) for Non-Residential Customers” and appendices.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B177679" id="_x0000_t202" coordsize="21600,21600" o:spt="202" path="m,l,21600r21600,l21600,xe">
              <v:stroke joinstyle="miter"/>
              <v:path gradientshapeok="t" o:connecttype="rect"/>
            </v:shapetype>
            <v:shape id="_x0000_s1027" type="#_x0000_t202" style="position:absolute;margin-left:0;margin-top:-127.5pt;width:477pt;height:110.55pt;z-index:251659264;visibility:visible;mso-wrap-style:square;mso-width-percent:0;mso-height-percent:200;mso-wrap-distance-left:9pt;mso-wrap-distance-top:0;mso-wrap-distance-right:9pt;mso-wrap-distance-bottom:0;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">
              <v:textbox style="mso-fit-shape-to-text:t">
                <w:txbxContent>
                  <w:p w14:paraId="696F3103" w14:textId="77777777" w:rsidR="00C143D9" w:rsidRDefault="00C143D9" w:rsidP="0010472A">
                    <w:r>
                      <w:rPr>
                        <w:sz w:val="20"/>
                        <w:szCs w:val="20"/>
                      </w:rPr>
                      <w:t>Public Version. Redactions in “2017 Load Impact Evaluation of California Statewide Base Interruptible Programs (BIP) for Non-Residential Customers” and appendices.</w:t>
                    </w:r>
                  </w:p>
                </w:txbxContent>
              </v:textbox>
              <w10:wrap anchorx="page"/>
            </v:shape>
          </w:pict>
        </mc:Fallback>
      </mc:AlternateContent>
    </w:r>
    <w:r>
      <w:rPr>
        <w:noProof/>
      </w:rPr>
      <w:drawing>
        <wp:inline distT="0" distB="0" distL="0" distR="0" wp14:anchorId="6265FF2B" wp14:editId="7DFAFF04">
          <wp:extent cx="3267075" cy="1009650"/>
          <wp:effectExtent l="0" t="0" r="9525" b="0"/>
          <wp:docPr id="7" name="Picture 10" descr="CA Energy Consul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 Energy Consulting"/>
                  <pic:cNvPicPr>
                    <a:picLocks noChangeAspect="1" noChangeArrowheads="1"/>
                  </pic:cNvPicPr>
                </pic:nvPicPr>
                <pic:blipFill>
                  <a:blip r:embed="rId1">
                    <a:extLst>
                      <a:ext uri="{28A0092B-C50C-407E-A947-70E740481C1C}">
                        <a14:useLocalDpi xmlns:a14="http://schemas.microsoft.com/office/drawing/2010/main" val="0"/>
                      </a:ext>
                    </a:extLst>
                  </a:blip>
                  <a:srcRect l="12318"/>
                  <a:stretch>
                    <a:fillRect/>
                  </a:stretch>
                </pic:blipFill>
                <pic:spPr bwMode="auto">
                  <a:xfrm>
                    <a:off x="0" y="0"/>
                    <a:ext cx="3267075" cy="10096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C1613" w14:textId="4CCC3A2D" w:rsidR="00C143D9" w:rsidRPr="002C05C0" w:rsidRDefault="00C143D9" w:rsidP="0010472A">
    <w:pPr>
      <w:pStyle w:val="Header"/>
      <w:rPr>
        <w:i/>
        <w:sz w:val="20"/>
        <w:szCs w:val="20"/>
      </w:rPr>
    </w:pPr>
  </w:p>
  <w:p w14:paraId="475084B6" w14:textId="77777777" w:rsidR="00C143D9" w:rsidRDefault="00C143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C1335"/>
    <w:multiLevelType w:val="hybridMultilevel"/>
    <w:tmpl w:val="FD1834B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54202"/>
    <w:multiLevelType w:val="hybridMultilevel"/>
    <w:tmpl w:val="085E45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868DA"/>
    <w:multiLevelType w:val="hybridMultilevel"/>
    <w:tmpl w:val="856AA9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934BEB"/>
    <w:multiLevelType w:val="hybridMultilevel"/>
    <w:tmpl w:val="5B124B2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00523B1"/>
    <w:multiLevelType w:val="hybridMultilevel"/>
    <w:tmpl w:val="3BAC8910"/>
    <w:lvl w:ilvl="0" w:tplc="77800714">
      <w:start w:val="1"/>
      <w:numFmt w:val="decimal"/>
      <w:lvlText w:val="%1."/>
      <w:lvlJc w:val="left"/>
      <w:pPr>
        <w:ind w:left="360" w:hanging="360"/>
      </w:pPr>
      <w:rPr>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1E752C9"/>
    <w:multiLevelType w:val="hybridMultilevel"/>
    <w:tmpl w:val="7BCE21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1F74B7C"/>
    <w:multiLevelType w:val="hybridMultilevel"/>
    <w:tmpl w:val="1DC68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1A7A8B"/>
    <w:multiLevelType w:val="hybridMultilevel"/>
    <w:tmpl w:val="BA049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8B2B9E"/>
    <w:multiLevelType w:val="hybridMultilevel"/>
    <w:tmpl w:val="0C7EA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29036A5"/>
    <w:multiLevelType w:val="hybridMultilevel"/>
    <w:tmpl w:val="2220AF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030CA"/>
    <w:multiLevelType w:val="hybridMultilevel"/>
    <w:tmpl w:val="04FA4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5A7E60"/>
    <w:multiLevelType w:val="hybridMultilevel"/>
    <w:tmpl w:val="0F1E4E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5D57457"/>
    <w:multiLevelType w:val="hybridMultilevel"/>
    <w:tmpl w:val="119E261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742164F1"/>
    <w:multiLevelType w:val="hybridMultilevel"/>
    <w:tmpl w:val="0C7EA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8355E45"/>
    <w:multiLevelType w:val="hybridMultilevel"/>
    <w:tmpl w:val="9F1437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E14889"/>
    <w:multiLevelType w:val="hybridMultilevel"/>
    <w:tmpl w:val="75AE3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
  </w:num>
  <w:num w:numId="4">
    <w:abstractNumId w:val="14"/>
  </w:num>
  <w:num w:numId="5">
    <w:abstractNumId w:val="11"/>
  </w:num>
  <w:num w:numId="6">
    <w:abstractNumId w:val="0"/>
  </w:num>
  <w:num w:numId="7">
    <w:abstractNumId w:val="5"/>
  </w:num>
  <w:num w:numId="8">
    <w:abstractNumId w:val="2"/>
  </w:num>
  <w:num w:numId="9">
    <w:abstractNumId w:val="8"/>
  </w:num>
  <w:num w:numId="10">
    <w:abstractNumId w:val="10"/>
  </w:num>
  <w:num w:numId="11">
    <w:abstractNumId w:val="4"/>
  </w:num>
  <w:num w:numId="12">
    <w:abstractNumId w:val="7"/>
  </w:num>
  <w:num w:numId="13">
    <w:abstractNumId w:val="15"/>
  </w:num>
  <w:num w:numId="14">
    <w:abstractNumId w:val="12"/>
  </w:num>
  <w:num w:numId="15">
    <w:abstractNumId w:val="6"/>
  </w:num>
  <w:num w:numId="16">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US" w:vendorID="64" w:dllVersion="6" w:nlCheck="1" w:checkStyle="0"/>
  <w:activeWritingStyle w:appName="MSWord" w:lang="en-US"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152"/>
    <w:rsid w:val="000003F4"/>
    <w:rsid w:val="00000F1D"/>
    <w:rsid w:val="00000F64"/>
    <w:rsid w:val="00001114"/>
    <w:rsid w:val="0000185B"/>
    <w:rsid w:val="0000204E"/>
    <w:rsid w:val="000020F2"/>
    <w:rsid w:val="00002343"/>
    <w:rsid w:val="0000252B"/>
    <w:rsid w:val="00002762"/>
    <w:rsid w:val="0000300C"/>
    <w:rsid w:val="00003581"/>
    <w:rsid w:val="00003F3D"/>
    <w:rsid w:val="00004546"/>
    <w:rsid w:val="0000593B"/>
    <w:rsid w:val="00005BFB"/>
    <w:rsid w:val="00006EAE"/>
    <w:rsid w:val="000072E1"/>
    <w:rsid w:val="00010ABB"/>
    <w:rsid w:val="0001103F"/>
    <w:rsid w:val="000126F6"/>
    <w:rsid w:val="00012890"/>
    <w:rsid w:val="00012EAE"/>
    <w:rsid w:val="0001399D"/>
    <w:rsid w:val="00013CF1"/>
    <w:rsid w:val="000150AF"/>
    <w:rsid w:val="0001546C"/>
    <w:rsid w:val="00015F7C"/>
    <w:rsid w:val="0001645B"/>
    <w:rsid w:val="00016547"/>
    <w:rsid w:val="000166D4"/>
    <w:rsid w:val="00016824"/>
    <w:rsid w:val="00016871"/>
    <w:rsid w:val="00017104"/>
    <w:rsid w:val="0001729D"/>
    <w:rsid w:val="0001773B"/>
    <w:rsid w:val="00017E85"/>
    <w:rsid w:val="00020A68"/>
    <w:rsid w:val="00020B08"/>
    <w:rsid w:val="00020B85"/>
    <w:rsid w:val="00021A32"/>
    <w:rsid w:val="00022101"/>
    <w:rsid w:val="000228FB"/>
    <w:rsid w:val="000236E4"/>
    <w:rsid w:val="00023781"/>
    <w:rsid w:val="00023B81"/>
    <w:rsid w:val="00023EB0"/>
    <w:rsid w:val="000266B6"/>
    <w:rsid w:val="00026948"/>
    <w:rsid w:val="00027555"/>
    <w:rsid w:val="0002766D"/>
    <w:rsid w:val="00027862"/>
    <w:rsid w:val="000278A7"/>
    <w:rsid w:val="00027B68"/>
    <w:rsid w:val="00027D93"/>
    <w:rsid w:val="00030F74"/>
    <w:rsid w:val="000317AB"/>
    <w:rsid w:val="0003244D"/>
    <w:rsid w:val="000334AA"/>
    <w:rsid w:val="00033523"/>
    <w:rsid w:val="00033B2D"/>
    <w:rsid w:val="00033BE8"/>
    <w:rsid w:val="00033EBC"/>
    <w:rsid w:val="000346C2"/>
    <w:rsid w:val="00034D36"/>
    <w:rsid w:val="00036433"/>
    <w:rsid w:val="000367FE"/>
    <w:rsid w:val="00037539"/>
    <w:rsid w:val="00037AE7"/>
    <w:rsid w:val="00040B1B"/>
    <w:rsid w:val="00040CDD"/>
    <w:rsid w:val="00041055"/>
    <w:rsid w:val="00042286"/>
    <w:rsid w:val="000432C5"/>
    <w:rsid w:val="000434F4"/>
    <w:rsid w:val="00044F79"/>
    <w:rsid w:val="000452FA"/>
    <w:rsid w:val="0004544A"/>
    <w:rsid w:val="0004679B"/>
    <w:rsid w:val="00047B5B"/>
    <w:rsid w:val="00050370"/>
    <w:rsid w:val="00050B8A"/>
    <w:rsid w:val="0005199B"/>
    <w:rsid w:val="00052CFC"/>
    <w:rsid w:val="00053455"/>
    <w:rsid w:val="00053AAD"/>
    <w:rsid w:val="00053DF3"/>
    <w:rsid w:val="00053E81"/>
    <w:rsid w:val="00054B50"/>
    <w:rsid w:val="00055160"/>
    <w:rsid w:val="0005535F"/>
    <w:rsid w:val="000564F2"/>
    <w:rsid w:val="00056855"/>
    <w:rsid w:val="00056990"/>
    <w:rsid w:val="00060718"/>
    <w:rsid w:val="00060B4B"/>
    <w:rsid w:val="00061320"/>
    <w:rsid w:val="00061547"/>
    <w:rsid w:val="00061C89"/>
    <w:rsid w:val="00061E03"/>
    <w:rsid w:val="00061FC5"/>
    <w:rsid w:val="00062D9B"/>
    <w:rsid w:val="0006471C"/>
    <w:rsid w:val="000651C0"/>
    <w:rsid w:val="000652FF"/>
    <w:rsid w:val="0006560A"/>
    <w:rsid w:val="00066545"/>
    <w:rsid w:val="00067329"/>
    <w:rsid w:val="000700BB"/>
    <w:rsid w:val="00070607"/>
    <w:rsid w:val="00070D46"/>
    <w:rsid w:val="00071339"/>
    <w:rsid w:val="00071849"/>
    <w:rsid w:val="0007241B"/>
    <w:rsid w:val="00072751"/>
    <w:rsid w:val="0007282E"/>
    <w:rsid w:val="00072937"/>
    <w:rsid w:val="00072D51"/>
    <w:rsid w:val="00073710"/>
    <w:rsid w:val="00074828"/>
    <w:rsid w:val="000752DD"/>
    <w:rsid w:val="000758C4"/>
    <w:rsid w:val="0007646E"/>
    <w:rsid w:val="00076CA1"/>
    <w:rsid w:val="0007751F"/>
    <w:rsid w:val="00077AF3"/>
    <w:rsid w:val="00077BB9"/>
    <w:rsid w:val="00080278"/>
    <w:rsid w:val="0008198D"/>
    <w:rsid w:val="00082B32"/>
    <w:rsid w:val="00082E39"/>
    <w:rsid w:val="00083537"/>
    <w:rsid w:val="0008397B"/>
    <w:rsid w:val="00083A7E"/>
    <w:rsid w:val="00083F91"/>
    <w:rsid w:val="00084917"/>
    <w:rsid w:val="000854B4"/>
    <w:rsid w:val="00085A1E"/>
    <w:rsid w:val="00086A3F"/>
    <w:rsid w:val="00086C15"/>
    <w:rsid w:val="000871BA"/>
    <w:rsid w:val="000875F2"/>
    <w:rsid w:val="000877C4"/>
    <w:rsid w:val="00087B03"/>
    <w:rsid w:val="00087F32"/>
    <w:rsid w:val="00087FBB"/>
    <w:rsid w:val="00090823"/>
    <w:rsid w:val="00090C1B"/>
    <w:rsid w:val="00092448"/>
    <w:rsid w:val="000937B3"/>
    <w:rsid w:val="00093A20"/>
    <w:rsid w:val="00093DE0"/>
    <w:rsid w:val="00094ED8"/>
    <w:rsid w:val="000953AB"/>
    <w:rsid w:val="000978C2"/>
    <w:rsid w:val="000A1100"/>
    <w:rsid w:val="000A159F"/>
    <w:rsid w:val="000A1B9B"/>
    <w:rsid w:val="000A20E4"/>
    <w:rsid w:val="000A271C"/>
    <w:rsid w:val="000A2934"/>
    <w:rsid w:val="000A30CE"/>
    <w:rsid w:val="000A3212"/>
    <w:rsid w:val="000A3F03"/>
    <w:rsid w:val="000A3F28"/>
    <w:rsid w:val="000A4078"/>
    <w:rsid w:val="000A4DD9"/>
    <w:rsid w:val="000A5415"/>
    <w:rsid w:val="000A5C9F"/>
    <w:rsid w:val="000A709E"/>
    <w:rsid w:val="000A774B"/>
    <w:rsid w:val="000B0C9B"/>
    <w:rsid w:val="000B0F3A"/>
    <w:rsid w:val="000B223E"/>
    <w:rsid w:val="000B246D"/>
    <w:rsid w:val="000B26CD"/>
    <w:rsid w:val="000B35D6"/>
    <w:rsid w:val="000B3C39"/>
    <w:rsid w:val="000B3E40"/>
    <w:rsid w:val="000B4FFE"/>
    <w:rsid w:val="000B5063"/>
    <w:rsid w:val="000B5A5D"/>
    <w:rsid w:val="000B5F71"/>
    <w:rsid w:val="000C0049"/>
    <w:rsid w:val="000C0369"/>
    <w:rsid w:val="000C05A8"/>
    <w:rsid w:val="000C2DD5"/>
    <w:rsid w:val="000C3E81"/>
    <w:rsid w:val="000C4500"/>
    <w:rsid w:val="000C538A"/>
    <w:rsid w:val="000C72E7"/>
    <w:rsid w:val="000C7BA3"/>
    <w:rsid w:val="000D0681"/>
    <w:rsid w:val="000D06FE"/>
    <w:rsid w:val="000D1A07"/>
    <w:rsid w:val="000D1BFC"/>
    <w:rsid w:val="000D1C75"/>
    <w:rsid w:val="000D3801"/>
    <w:rsid w:val="000D4772"/>
    <w:rsid w:val="000D4C10"/>
    <w:rsid w:val="000D4D5C"/>
    <w:rsid w:val="000D65CE"/>
    <w:rsid w:val="000E113A"/>
    <w:rsid w:val="000E16FE"/>
    <w:rsid w:val="000E177C"/>
    <w:rsid w:val="000E20AC"/>
    <w:rsid w:val="000E211A"/>
    <w:rsid w:val="000E2230"/>
    <w:rsid w:val="000E22F3"/>
    <w:rsid w:val="000E3091"/>
    <w:rsid w:val="000E32E6"/>
    <w:rsid w:val="000E35C3"/>
    <w:rsid w:val="000E38E8"/>
    <w:rsid w:val="000E553B"/>
    <w:rsid w:val="000E5ADF"/>
    <w:rsid w:val="000E6034"/>
    <w:rsid w:val="000F08B5"/>
    <w:rsid w:val="000F0B22"/>
    <w:rsid w:val="000F1539"/>
    <w:rsid w:val="000F1678"/>
    <w:rsid w:val="000F1DAF"/>
    <w:rsid w:val="000F2EAB"/>
    <w:rsid w:val="000F2F8E"/>
    <w:rsid w:val="000F4111"/>
    <w:rsid w:val="000F493B"/>
    <w:rsid w:val="000F4FA7"/>
    <w:rsid w:val="000F5952"/>
    <w:rsid w:val="000F5EF4"/>
    <w:rsid w:val="000F6635"/>
    <w:rsid w:val="000F694E"/>
    <w:rsid w:val="000F6E31"/>
    <w:rsid w:val="000F7408"/>
    <w:rsid w:val="000F75A8"/>
    <w:rsid w:val="000F77A4"/>
    <w:rsid w:val="000F7C62"/>
    <w:rsid w:val="00101116"/>
    <w:rsid w:val="0010166C"/>
    <w:rsid w:val="00101808"/>
    <w:rsid w:val="00103591"/>
    <w:rsid w:val="00103D54"/>
    <w:rsid w:val="0010472A"/>
    <w:rsid w:val="001047CE"/>
    <w:rsid w:val="00104D21"/>
    <w:rsid w:val="001078BE"/>
    <w:rsid w:val="001101A4"/>
    <w:rsid w:val="0011138E"/>
    <w:rsid w:val="00111550"/>
    <w:rsid w:val="00111784"/>
    <w:rsid w:val="001117C2"/>
    <w:rsid w:val="001119A8"/>
    <w:rsid w:val="00111A6E"/>
    <w:rsid w:val="00111E69"/>
    <w:rsid w:val="00111FB1"/>
    <w:rsid w:val="00112F67"/>
    <w:rsid w:val="00113ECB"/>
    <w:rsid w:val="001140E5"/>
    <w:rsid w:val="00114823"/>
    <w:rsid w:val="0011560E"/>
    <w:rsid w:val="001159CD"/>
    <w:rsid w:val="00115BC1"/>
    <w:rsid w:val="00115BFC"/>
    <w:rsid w:val="00115C9B"/>
    <w:rsid w:val="00116D31"/>
    <w:rsid w:val="00116EEB"/>
    <w:rsid w:val="001208EF"/>
    <w:rsid w:val="00120C50"/>
    <w:rsid w:val="00120F3A"/>
    <w:rsid w:val="00122B24"/>
    <w:rsid w:val="001249A4"/>
    <w:rsid w:val="00124B33"/>
    <w:rsid w:val="00125195"/>
    <w:rsid w:val="001253E3"/>
    <w:rsid w:val="0012548E"/>
    <w:rsid w:val="00125A72"/>
    <w:rsid w:val="00125E01"/>
    <w:rsid w:val="00127A10"/>
    <w:rsid w:val="00130284"/>
    <w:rsid w:val="00130EA2"/>
    <w:rsid w:val="001310E7"/>
    <w:rsid w:val="00131108"/>
    <w:rsid w:val="00131131"/>
    <w:rsid w:val="00131574"/>
    <w:rsid w:val="00131683"/>
    <w:rsid w:val="0013181E"/>
    <w:rsid w:val="00131A27"/>
    <w:rsid w:val="00133091"/>
    <w:rsid w:val="00136593"/>
    <w:rsid w:val="00136CF3"/>
    <w:rsid w:val="0013701C"/>
    <w:rsid w:val="001401B3"/>
    <w:rsid w:val="00140892"/>
    <w:rsid w:val="001408A6"/>
    <w:rsid w:val="00142887"/>
    <w:rsid w:val="00142E2B"/>
    <w:rsid w:val="00142FAC"/>
    <w:rsid w:val="00143366"/>
    <w:rsid w:val="0014645D"/>
    <w:rsid w:val="00146E50"/>
    <w:rsid w:val="00146FDB"/>
    <w:rsid w:val="001473A3"/>
    <w:rsid w:val="00147504"/>
    <w:rsid w:val="00147F60"/>
    <w:rsid w:val="00151450"/>
    <w:rsid w:val="0015173F"/>
    <w:rsid w:val="00152B65"/>
    <w:rsid w:val="00152D63"/>
    <w:rsid w:val="00152F96"/>
    <w:rsid w:val="001530A9"/>
    <w:rsid w:val="001531FF"/>
    <w:rsid w:val="00153203"/>
    <w:rsid w:val="0015403B"/>
    <w:rsid w:val="0015489E"/>
    <w:rsid w:val="00154C99"/>
    <w:rsid w:val="00154E17"/>
    <w:rsid w:val="001551FC"/>
    <w:rsid w:val="001557DB"/>
    <w:rsid w:val="00155870"/>
    <w:rsid w:val="0015637E"/>
    <w:rsid w:val="00156F79"/>
    <w:rsid w:val="0015715C"/>
    <w:rsid w:val="00161AEF"/>
    <w:rsid w:val="0016236F"/>
    <w:rsid w:val="001629ED"/>
    <w:rsid w:val="00162E24"/>
    <w:rsid w:val="0016376A"/>
    <w:rsid w:val="00163A47"/>
    <w:rsid w:val="0016489A"/>
    <w:rsid w:val="00165413"/>
    <w:rsid w:val="00165620"/>
    <w:rsid w:val="001660AF"/>
    <w:rsid w:val="00166CD4"/>
    <w:rsid w:val="00166F7C"/>
    <w:rsid w:val="00167140"/>
    <w:rsid w:val="00167853"/>
    <w:rsid w:val="001678F9"/>
    <w:rsid w:val="001709C4"/>
    <w:rsid w:val="001710A9"/>
    <w:rsid w:val="0017163E"/>
    <w:rsid w:val="001718A7"/>
    <w:rsid w:val="001729A0"/>
    <w:rsid w:val="00172D95"/>
    <w:rsid w:val="00173469"/>
    <w:rsid w:val="00173834"/>
    <w:rsid w:val="001744E6"/>
    <w:rsid w:val="001746CA"/>
    <w:rsid w:val="00174CFD"/>
    <w:rsid w:val="001753F1"/>
    <w:rsid w:val="00175B80"/>
    <w:rsid w:val="00175EEA"/>
    <w:rsid w:val="00175FA8"/>
    <w:rsid w:val="001761B0"/>
    <w:rsid w:val="00176C49"/>
    <w:rsid w:val="001771A0"/>
    <w:rsid w:val="001773CE"/>
    <w:rsid w:val="00180C13"/>
    <w:rsid w:val="00180EC6"/>
    <w:rsid w:val="00181404"/>
    <w:rsid w:val="00182CD6"/>
    <w:rsid w:val="001832DE"/>
    <w:rsid w:val="00183BAE"/>
    <w:rsid w:val="00183C04"/>
    <w:rsid w:val="00184634"/>
    <w:rsid w:val="00185ED9"/>
    <w:rsid w:val="00186058"/>
    <w:rsid w:val="0018656A"/>
    <w:rsid w:val="00186A8C"/>
    <w:rsid w:val="00186B86"/>
    <w:rsid w:val="00186DFA"/>
    <w:rsid w:val="00187C3A"/>
    <w:rsid w:val="00187D14"/>
    <w:rsid w:val="00190015"/>
    <w:rsid w:val="001903D2"/>
    <w:rsid w:val="0019190A"/>
    <w:rsid w:val="00191975"/>
    <w:rsid w:val="00191E4D"/>
    <w:rsid w:val="00191EC6"/>
    <w:rsid w:val="0019201F"/>
    <w:rsid w:val="001921B3"/>
    <w:rsid w:val="001932A2"/>
    <w:rsid w:val="00194793"/>
    <w:rsid w:val="00194B30"/>
    <w:rsid w:val="00194CA7"/>
    <w:rsid w:val="0019591D"/>
    <w:rsid w:val="00195A83"/>
    <w:rsid w:val="001964C6"/>
    <w:rsid w:val="001968CD"/>
    <w:rsid w:val="00197099"/>
    <w:rsid w:val="001978D4"/>
    <w:rsid w:val="00197BDA"/>
    <w:rsid w:val="001A0377"/>
    <w:rsid w:val="001A04EA"/>
    <w:rsid w:val="001A0B8C"/>
    <w:rsid w:val="001A1817"/>
    <w:rsid w:val="001A207D"/>
    <w:rsid w:val="001A21C5"/>
    <w:rsid w:val="001A2B05"/>
    <w:rsid w:val="001A32D8"/>
    <w:rsid w:val="001A4911"/>
    <w:rsid w:val="001A561F"/>
    <w:rsid w:val="001B06A2"/>
    <w:rsid w:val="001B32EE"/>
    <w:rsid w:val="001B4F37"/>
    <w:rsid w:val="001B53F1"/>
    <w:rsid w:val="001B5C74"/>
    <w:rsid w:val="001B5F53"/>
    <w:rsid w:val="001B611F"/>
    <w:rsid w:val="001B68E7"/>
    <w:rsid w:val="001B768E"/>
    <w:rsid w:val="001B7BBB"/>
    <w:rsid w:val="001C0903"/>
    <w:rsid w:val="001C090F"/>
    <w:rsid w:val="001C0C48"/>
    <w:rsid w:val="001C17B6"/>
    <w:rsid w:val="001C27AE"/>
    <w:rsid w:val="001C3116"/>
    <w:rsid w:val="001C3AF5"/>
    <w:rsid w:val="001C3EDC"/>
    <w:rsid w:val="001C5048"/>
    <w:rsid w:val="001C63DA"/>
    <w:rsid w:val="001C66E9"/>
    <w:rsid w:val="001C6908"/>
    <w:rsid w:val="001C6A3B"/>
    <w:rsid w:val="001C74C8"/>
    <w:rsid w:val="001C75E0"/>
    <w:rsid w:val="001C7D45"/>
    <w:rsid w:val="001D020A"/>
    <w:rsid w:val="001D0A56"/>
    <w:rsid w:val="001D0ABA"/>
    <w:rsid w:val="001D0ABC"/>
    <w:rsid w:val="001D1814"/>
    <w:rsid w:val="001D1F4D"/>
    <w:rsid w:val="001D22CB"/>
    <w:rsid w:val="001D2423"/>
    <w:rsid w:val="001D276D"/>
    <w:rsid w:val="001D29E0"/>
    <w:rsid w:val="001D29F7"/>
    <w:rsid w:val="001D2BA7"/>
    <w:rsid w:val="001D3191"/>
    <w:rsid w:val="001D3348"/>
    <w:rsid w:val="001D3D48"/>
    <w:rsid w:val="001D4ED4"/>
    <w:rsid w:val="001D4F2E"/>
    <w:rsid w:val="001D5427"/>
    <w:rsid w:val="001D5951"/>
    <w:rsid w:val="001D6450"/>
    <w:rsid w:val="001D6FA1"/>
    <w:rsid w:val="001D7921"/>
    <w:rsid w:val="001E0054"/>
    <w:rsid w:val="001E060E"/>
    <w:rsid w:val="001E1B3C"/>
    <w:rsid w:val="001E1E8C"/>
    <w:rsid w:val="001E272B"/>
    <w:rsid w:val="001E2E50"/>
    <w:rsid w:val="001E312F"/>
    <w:rsid w:val="001E35CE"/>
    <w:rsid w:val="001E3C21"/>
    <w:rsid w:val="001E4A1D"/>
    <w:rsid w:val="001E4DF3"/>
    <w:rsid w:val="001E535C"/>
    <w:rsid w:val="001E546D"/>
    <w:rsid w:val="001E54C2"/>
    <w:rsid w:val="001E6247"/>
    <w:rsid w:val="001E75B6"/>
    <w:rsid w:val="001E76C8"/>
    <w:rsid w:val="001E794E"/>
    <w:rsid w:val="001F00B0"/>
    <w:rsid w:val="001F0D7D"/>
    <w:rsid w:val="001F1990"/>
    <w:rsid w:val="001F2F5D"/>
    <w:rsid w:val="001F334D"/>
    <w:rsid w:val="001F44B2"/>
    <w:rsid w:val="001F51BA"/>
    <w:rsid w:val="001F603C"/>
    <w:rsid w:val="001F61B5"/>
    <w:rsid w:val="001F625B"/>
    <w:rsid w:val="001F65E7"/>
    <w:rsid w:val="001F6DE4"/>
    <w:rsid w:val="001F6F6A"/>
    <w:rsid w:val="001F7B26"/>
    <w:rsid w:val="0020029B"/>
    <w:rsid w:val="00200840"/>
    <w:rsid w:val="002038A8"/>
    <w:rsid w:val="002042BC"/>
    <w:rsid w:val="00204733"/>
    <w:rsid w:val="0020484C"/>
    <w:rsid w:val="00204881"/>
    <w:rsid w:val="0020493B"/>
    <w:rsid w:val="00205D5C"/>
    <w:rsid w:val="0020601E"/>
    <w:rsid w:val="002069A9"/>
    <w:rsid w:val="00207080"/>
    <w:rsid w:val="002070F1"/>
    <w:rsid w:val="00207799"/>
    <w:rsid w:val="00210528"/>
    <w:rsid w:val="002106E1"/>
    <w:rsid w:val="002114B4"/>
    <w:rsid w:val="00211C0C"/>
    <w:rsid w:val="00211EA3"/>
    <w:rsid w:val="00211FB2"/>
    <w:rsid w:val="00213223"/>
    <w:rsid w:val="00213669"/>
    <w:rsid w:val="00213D89"/>
    <w:rsid w:val="00214534"/>
    <w:rsid w:val="002149D8"/>
    <w:rsid w:val="00215EC1"/>
    <w:rsid w:val="002177EE"/>
    <w:rsid w:val="00217EF8"/>
    <w:rsid w:val="00220128"/>
    <w:rsid w:val="002211F2"/>
    <w:rsid w:val="002234C5"/>
    <w:rsid w:val="002238F6"/>
    <w:rsid w:val="002242DC"/>
    <w:rsid w:val="00224EF7"/>
    <w:rsid w:val="00225179"/>
    <w:rsid w:val="00225C2F"/>
    <w:rsid w:val="00226605"/>
    <w:rsid w:val="0022673D"/>
    <w:rsid w:val="0022675C"/>
    <w:rsid w:val="0022708D"/>
    <w:rsid w:val="002272E1"/>
    <w:rsid w:val="002302C9"/>
    <w:rsid w:val="00231284"/>
    <w:rsid w:val="00231E46"/>
    <w:rsid w:val="00232B2B"/>
    <w:rsid w:val="00233627"/>
    <w:rsid w:val="00233748"/>
    <w:rsid w:val="00233D04"/>
    <w:rsid w:val="00234324"/>
    <w:rsid w:val="0023436F"/>
    <w:rsid w:val="002345EA"/>
    <w:rsid w:val="00234E9F"/>
    <w:rsid w:val="0023506A"/>
    <w:rsid w:val="0023640D"/>
    <w:rsid w:val="002366EC"/>
    <w:rsid w:val="002367AB"/>
    <w:rsid w:val="002372FA"/>
    <w:rsid w:val="0023754E"/>
    <w:rsid w:val="00241599"/>
    <w:rsid w:val="002423D3"/>
    <w:rsid w:val="0024297A"/>
    <w:rsid w:val="00242996"/>
    <w:rsid w:val="00242A61"/>
    <w:rsid w:val="0024365E"/>
    <w:rsid w:val="00244664"/>
    <w:rsid w:val="002459F5"/>
    <w:rsid w:val="002463DB"/>
    <w:rsid w:val="002475D9"/>
    <w:rsid w:val="00247C06"/>
    <w:rsid w:val="0025105F"/>
    <w:rsid w:val="00252015"/>
    <w:rsid w:val="0025275F"/>
    <w:rsid w:val="0025350D"/>
    <w:rsid w:val="0025461A"/>
    <w:rsid w:val="00254E79"/>
    <w:rsid w:val="002552D4"/>
    <w:rsid w:val="00255626"/>
    <w:rsid w:val="0025583C"/>
    <w:rsid w:val="0025748C"/>
    <w:rsid w:val="00257A58"/>
    <w:rsid w:val="00257B5A"/>
    <w:rsid w:val="00260150"/>
    <w:rsid w:val="002607FF"/>
    <w:rsid w:val="0026083E"/>
    <w:rsid w:val="00260BC0"/>
    <w:rsid w:val="00261AB5"/>
    <w:rsid w:val="00261D5B"/>
    <w:rsid w:val="00261EBC"/>
    <w:rsid w:val="00262D55"/>
    <w:rsid w:val="00262E23"/>
    <w:rsid w:val="002645C6"/>
    <w:rsid w:val="00264A3C"/>
    <w:rsid w:val="00264B54"/>
    <w:rsid w:val="002657A9"/>
    <w:rsid w:val="00265B5B"/>
    <w:rsid w:val="00265B9F"/>
    <w:rsid w:val="00265E70"/>
    <w:rsid w:val="002664B4"/>
    <w:rsid w:val="00266543"/>
    <w:rsid w:val="0026739A"/>
    <w:rsid w:val="0026770D"/>
    <w:rsid w:val="00267CEA"/>
    <w:rsid w:val="002712E7"/>
    <w:rsid w:val="00271F06"/>
    <w:rsid w:val="00275172"/>
    <w:rsid w:val="002751E1"/>
    <w:rsid w:val="002754FD"/>
    <w:rsid w:val="0027601F"/>
    <w:rsid w:val="002761E9"/>
    <w:rsid w:val="002767BD"/>
    <w:rsid w:val="00276B4A"/>
    <w:rsid w:val="00277061"/>
    <w:rsid w:val="0027718A"/>
    <w:rsid w:val="00277675"/>
    <w:rsid w:val="00277C87"/>
    <w:rsid w:val="0028156D"/>
    <w:rsid w:val="0028232D"/>
    <w:rsid w:val="00283592"/>
    <w:rsid w:val="00283810"/>
    <w:rsid w:val="00285AB1"/>
    <w:rsid w:val="00286570"/>
    <w:rsid w:val="00286B5E"/>
    <w:rsid w:val="0028708F"/>
    <w:rsid w:val="002870B7"/>
    <w:rsid w:val="0028741C"/>
    <w:rsid w:val="00287626"/>
    <w:rsid w:val="0029004A"/>
    <w:rsid w:val="00290B5F"/>
    <w:rsid w:val="00290B6A"/>
    <w:rsid w:val="00290C49"/>
    <w:rsid w:val="00290F08"/>
    <w:rsid w:val="0029118D"/>
    <w:rsid w:val="00291D0E"/>
    <w:rsid w:val="002921BB"/>
    <w:rsid w:val="0029259B"/>
    <w:rsid w:val="00292968"/>
    <w:rsid w:val="00292F35"/>
    <w:rsid w:val="00294C20"/>
    <w:rsid w:val="00294E49"/>
    <w:rsid w:val="00294F97"/>
    <w:rsid w:val="002955B5"/>
    <w:rsid w:val="00295A23"/>
    <w:rsid w:val="00295E9B"/>
    <w:rsid w:val="002964D3"/>
    <w:rsid w:val="00296733"/>
    <w:rsid w:val="00297B1B"/>
    <w:rsid w:val="00297F25"/>
    <w:rsid w:val="002A04AD"/>
    <w:rsid w:val="002A07A9"/>
    <w:rsid w:val="002A17C1"/>
    <w:rsid w:val="002A2AF0"/>
    <w:rsid w:val="002A2EB0"/>
    <w:rsid w:val="002A2FD4"/>
    <w:rsid w:val="002A341D"/>
    <w:rsid w:val="002A342D"/>
    <w:rsid w:val="002A4A62"/>
    <w:rsid w:val="002A69BC"/>
    <w:rsid w:val="002A6ECF"/>
    <w:rsid w:val="002A7556"/>
    <w:rsid w:val="002A7C6E"/>
    <w:rsid w:val="002B0174"/>
    <w:rsid w:val="002B0393"/>
    <w:rsid w:val="002B076B"/>
    <w:rsid w:val="002B0E14"/>
    <w:rsid w:val="002B153C"/>
    <w:rsid w:val="002B2138"/>
    <w:rsid w:val="002B25B5"/>
    <w:rsid w:val="002B51F6"/>
    <w:rsid w:val="002B5330"/>
    <w:rsid w:val="002B74D3"/>
    <w:rsid w:val="002B75EE"/>
    <w:rsid w:val="002C1B6B"/>
    <w:rsid w:val="002C1E33"/>
    <w:rsid w:val="002C259A"/>
    <w:rsid w:val="002C2664"/>
    <w:rsid w:val="002C2984"/>
    <w:rsid w:val="002C2B44"/>
    <w:rsid w:val="002C2B90"/>
    <w:rsid w:val="002C2FB2"/>
    <w:rsid w:val="002C309A"/>
    <w:rsid w:val="002C31CE"/>
    <w:rsid w:val="002C3B3B"/>
    <w:rsid w:val="002C417F"/>
    <w:rsid w:val="002C48D8"/>
    <w:rsid w:val="002C51D7"/>
    <w:rsid w:val="002C599C"/>
    <w:rsid w:val="002C5FCB"/>
    <w:rsid w:val="002C6B1B"/>
    <w:rsid w:val="002C760E"/>
    <w:rsid w:val="002C7F8A"/>
    <w:rsid w:val="002D0A81"/>
    <w:rsid w:val="002D2A36"/>
    <w:rsid w:val="002D2FD9"/>
    <w:rsid w:val="002D3035"/>
    <w:rsid w:val="002D3452"/>
    <w:rsid w:val="002D39E4"/>
    <w:rsid w:val="002D50DA"/>
    <w:rsid w:val="002D5672"/>
    <w:rsid w:val="002D6150"/>
    <w:rsid w:val="002D66CA"/>
    <w:rsid w:val="002D6819"/>
    <w:rsid w:val="002D7DBB"/>
    <w:rsid w:val="002E0161"/>
    <w:rsid w:val="002E033B"/>
    <w:rsid w:val="002E1733"/>
    <w:rsid w:val="002E2F5A"/>
    <w:rsid w:val="002E3452"/>
    <w:rsid w:val="002E37CC"/>
    <w:rsid w:val="002E38E6"/>
    <w:rsid w:val="002E44A1"/>
    <w:rsid w:val="002E5323"/>
    <w:rsid w:val="002E7436"/>
    <w:rsid w:val="002F0762"/>
    <w:rsid w:val="002F0EE6"/>
    <w:rsid w:val="002F16B5"/>
    <w:rsid w:val="002F1A73"/>
    <w:rsid w:val="002F29FA"/>
    <w:rsid w:val="002F3349"/>
    <w:rsid w:val="002F4B17"/>
    <w:rsid w:val="002F58C0"/>
    <w:rsid w:val="002F5CE4"/>
    <w:rsid w:val="002F62E4"/>
    <w:rsid w:val="002F6A10"/>
    <w:rsid w:val="002F744C"/>
    <w:rsid w:val="002F7583"/>
    <w:rsid w:val="00300F62"/>
    <w:rsid w:val="00301615"/>
    <w:rsid w:val="0030162C"/>
    <w:rsid w:val="00302E41"/>
    <w:rsid w:val="003031D1"/>
    <w:rsid w:val="003037F1"/>
    <w:rsid w:val="00303891"/>
    <w:rsid w:val="0030549A"/>
    <w:rsid w:val="00305791"/>
    <w:rsid w:val="0030595A"/>
    <w:rsid w:val="00305DDF"/>
    <w:rsid w:val="00306499"/>
    <w:rsid w:val="00306976"/>
    <w:rsid w:val="0030717F"/>
    <w:rsid w:val="00307FDD"/>
    <w:rsid w:val="00311267"/>
    <w:rsid w:val="00312499"/>
    <w:rsid w:val="003126A4"/>
    <w:rsid w:val="003127BD"/>
    <w:rsid w:val="00313AAF"/>
    <w:rsid w:val="0031484F"/>
    <w:rsid w:val="00315582"/>
    <w:rsid w:val="00315762"/>
    <w:rsid w:val="00315F13"/>
    <w:rsid w:val="003176F6"/>
    <w:rsid w:val="0031778A"/>
    <w:rsid w:val="00317EA6"/>
    <w:rsid w:val="00320302"/>
    <w:rsid w:val="0032096C"/>
    <w:rsid w:val="00321E09"/>
    <w:rsid w:val="00322173"/>
    <w:rsid w:val="00322DFF"/>
    <w:rsid w:val="00323117"/>
    <w:rsid w:val="00323D2C"/>
    <w:rsid w:val="00323E2C"/>
    <w:rsid w:val="003242DE"/>
    <w:rsid w:val="003257F7"/>
    <w:rsid w:val="00326344"/>
    <w:rsid w:val="00327240"/>
    <w:rsid w:val="00327A22"/>
    <w:rsid w:val="00327B12"/>
    <w:rsid w:val="003324B3"/>
    <w:rsid w:val="00332D79"/>
    <w:rsid w:val="003330C8"/>
    <w:rsid w:val="00333282"/>
    <w:rsid w:val="00333379"/>
    <w:rsid w:val="00333C87"/>
    <w:rsid w:val="00334041"/>
    <w:rsid w:val="00334A94"/>
    <w:rsid w:val="003353D9"/>
    <w:rsid w:val="00335C46"/>
    <w:rsid w:val="003403C0"/>
    <w:rsid w:val="00340459"/>
    <w:rsid w:val="0034059C"/>
    <w:rsid w:val="00340989"/>
    <w:rsid w:val="0034216D"/>
    <w:rsid w:val="00342A1E"/>
    <w:rsid w:val="003436A8"/>
    <w:rsid w:val="00343ACC"/>
    <w:rsid w:val="00343E08"/>
    <w:rsid w:val="0034461D"/>
    <w:rsid w:val="003447FB"/>
    <w:rsid w:val="00345A7F"/>
    <w:rsid w:val="00346DF7"/>
    <w:rsid w:val="00346E79"/>
    <w:rsid w:val="00347DA7"/>
    <w:rsid w:val="00347EF7"/>
    <w:rsid w:val="0035050B"/>
    <w:rsid w:val="0035077D"/>
    <w:rsid w:val="00351B11"/>
    <w:rsid w:val="003529D2"/>
    <w:rsid w:val="00354A34"/>
    <w:rsid w:val="00354AD4"/>
    <w:rsid w:val="0035504B"/>
    <w:rsid w:val="0035606C"/>
    <w:rsid w:val="00357044"/>
    <w:rsid w:val="003576B2"/>
    <w:rsid w:val="003601DE"/>
    <w:rsid w:val="0036048B"/>
    <w:rsid w:val="0036050E"/>
    <w:rsid w:val="00361B4B"/>
    <w:rsid w:val="00361CA8"/>
    <w:rsid w:val="0036226C"/>
    <w:rsid w:val="00362870"/>
    <w:rsid w:val="003634CB"/>
    <w:rsid w:val="00363778"/>
    <w:rsid w:val="00363B84"/>
    <w:rsid w:val="00363C63"/>
    <w:rsid w:val="003643E3"/>
    <w:rsid w:val="00364BF7"/>
    <w:rsid w:val="00365214"/>
    <w:rsid w:val="00365B1F"/>
    <w:rsid w:val="00365BBA"/>
    <w:rsid w:val="00365CF2"/>
    <w:rsid w:val="00366340"/>
    <w:rsid w:val="00366591"/>
    <w:rsid w:val="003706B0"/>
    <w:rsid w:val="00370767"/>
    <w:rsid w:val="00371062"/>
    <w:rsid w:val="003722B3"/>
    <w:rsid w:val="00372CA5"/>
    <w:rsid w:val="0037380B"/>
    <w:rsid w:val="00373E7C"/>
    <w:rsid w:val="00374398"/>
    <w:rsid w:val="00374900"/>
    <w:rsid w:val="00374B92"/>
    <w:rsid w:val="00374BF6"/>
    <w:rsid w:val="0037665A"/>
    <w:rsid w:val="00376A41"/>
    <w:rsid w:val="00376F46"/>
    <w:rsid w:val="00377A09"/>
    <w:rsid w:val="00377DF7"/>
    <w:rsid w:val="00380730"/>
    <w:rsid w:val="00382B60"/>
    <w:rsid w:val="00383F4F"/>
    <w:rsid w:val="00384084"/>
    <w:rsid w:val="00384698"/>
    <w:rsid w:val="00384EC2"/>
    <w:rsid w:val="00385A50"/>
    <w:rsid w:val="00386440"/>
    <w:rsid w:val="0038682C"/>
    <w:rsid w:val="00390205"/>
    <w:rsid w:val="00390750"/>
    <w:rsid w:val="0039083D"/>
    <w:rsid w:val="00391C6E"/>
    <w:rsid w:val="00392955"/>
    <w:rsid w:val="00392C79"/>
    <w:rsid w:val="003935D1"/>
    <w:rsid w:val="0039374C"/>
    <w:rsid w:val="003941A4"/>
    <w:rsid w:val="0039454F"/>
    <w:rsid w:val="003945C4"/>
    <w:rsid w:val="00394DEA"/>
    <w:rsid w:val="00396230"/>
    <w:rsid w:val="00397023"/>
    <w:rsid w:val="003A21B0"/>
    <w:rsid w:val="003A3AC6"/>
    <w:rsid w:val="003A3CA6"/>
    <w:rsid w:val="003A42D6"/>
    <w:rsid w:val="003A4CAF"/>
    <w:rsid w:val="003A6203"/>
    <w:rsid w:val="003A6A99"/>
    <w:rsid w:val="003A76AD"/>
    <w:rsid w:val="003A7F7E"/>
    <w:rsid w:val="003B00BF"/>
    <w:rsid w:val="003B0C84"/>
    <w:rsid w:val="003B3240"/>
    <w:rsid w:val="003B360A"/>
    <w:rsid w:val="003B38F2"/>
    <w:rsid w:val="003B45BC"/>
    <w:rsid w:val="003B6BE9"/>
    <w:rsid w:val="003B739B"/>
    <w:rsid w:val="003B7602"/>
    <w:rsid w:val="003B7A38"/>
    <w:rsid w:val="003C0234"/>
    <w:rsid w:val="003C094B"/>
    <w:rsid w:val="003C1088"/>
    <w:rsid w:val="003C23C9"/>
    <w:rsid w:val="003C262F"/>
    <w:rsid w:val="003C30AC"/>
    <w:rsid w:val="003C3559"/>
    <w:rsid w:val="003C4BC1"/>
    <w:rsid w:val="003C4CC8"/>
    <w:rsid w:val="003C5070"/>
    <w:rsid w:val="003C544C"/>
    <w:rsid w:val="003C5558"/>
    <w:rsid w:val="003C65DA"/>
    <w:rsid w:val="003C675C"/>
    <w:rsid w:val="003C6CBB"/>
    <w:rsid w:val="003C6CFC"/>
    <w:rsid w:val="003C78C4"/>
    <w:rsid w:val="003C79CA"/>
    <w:rsid w:val="003D0014"/>
    <w:rsid w:val="003D04C5"/>
    <w:rsid w:val="003D063B"/>
    <w:rsid w:val="003D0685"/>
    <w:rsid w:val="003D071A"/>
    <w:rsid w:val="003D0BEA"/>
    <w:rsid w:val="003D1FFD"/>
    <w:rsid w:val="003D27AE"/>
    <w:rsid w:val="003D2DE7"/>
    <w:rsid w:val="003D2FF8"/>
    <w:rsid w:val="003D35F9"/>
    <w:rsid w:val="003D365D"/>
    <w:rsid w:val="003D36CB"/>
    <w:rsid w:val="003D3BE0"/>
    <w:rsid w:val="003D3D4C"/>
    <w:rsid w:val="003D41E1"/>
    <w:rsid w:val="003D4E7C"/>
    <w:rsid w:val="003E0BC0"/>
    <w:rsid w:val="003E1414"/>
    <w:rsid w:val="003E1856"/>
    <w:rsid w:val="003E2934"/>
    <w:rsid w:val="003E36F9"/>
    <w:rsid w:val="003E4188"/>
    <w:rsid w:val="003E430D"/>
    <w:rsid w:val="003E485E"/>
    <w:rsid w:val="003E4D82"/>
    <w:rsid w:val="003E5A7D"/>
    <w:rsid w:val="003E5DFD"/>
    <w:rsid w:val="003E6C40"/>
    <w:rsid w:val="003E718A"/>
    <w:rsid w:val="003F0152"/>
    <w:rsid w:val="003F046F"/>
    <w:rsid w:val="003F07D5"/>
    <w:rsid w:val="003F1568"/>
    <w:rsid w:val="003F2391"/>
    <w:rsid w:val="003F2BC2"/>
    <w:rsid w:val="003F35EC"/>
    <w:rsid w:val="003F442E"/>
    <w:rsid w:val="003F4A9B"/>
    <w:rsid w:val="003F4DA0"/>
    <w:rsid w:val="003F5A8F"/>
    <w:rsid w:val="003F5B71"/>
    <w:rsid w:val="004008CB"/>
    <w:rsid w:val="00400A19"/>
    <w:rsid w:val="004019D0"/>
    <w:rsid w:val="00403824"/>
    <w:rsid w:val="004043B2"/>
    <w:rsid w:val="004049B3"/>
    <w:rsid w:val="00404DEF"/>
    <w:rsid w:val="00404FEC"/>
    <w:rsid w:val="00405802"/>
    <w:rsid w:val="00405F30"/>
    <w:rsid w:val="004061BB"/>
    <w:rsid w:val="004073ED"/>
    <w:rsid w:val="004073F7"/>
    <w:rsid w:val="00407E74"/>
    <w:rsid w:val="00410A9A"/>
    <w:rsid w:val="00411FC1"/>
    <w:rsid w:val="00412726"/>
    <w:rsid w:val="00412C5E"/>
    <w:rsid w:val="00412D1E"/>
    <w:rsid w:val="004138E1"/>
    <w:rsid w:val="0041396A"/>
    <w:rsid w:val="00413FAA"/>
    <w:rsid w:val="00414097"/>
    <w:rsid w:val="00414137"/>
    <w:rsid w:val="00414515"/>
    <w:rsid w:val="00414B31"/>
    <w:rsid w:val="00415857"/>
    <w:rsid w:val="00415B48"/>
    <w:rsid w:val="00415EC9"/>
    <w:rsid w:val="00416098"/>
    <w:rsid w:val="00417387"/>
    <w:rsid w:val="00417A1B"/>
    <w:rsid w:val="00420A8C"/>
    <w:rsid w:val="00420B3C"/>
    <w:rsid w:val="00420E96"/>
    <w:rsid w:val="00421519"/>
    <w:rsid w:val="004215B5"/>
    <w:rsid w:val="004215B8"/>
    <w:rsid w:val="00421999"/>
    <w:rsid w:val="00421ACC"/>
    <w:rsid w:val="00421E09"/>
    <w:rsid w:val="00423149"/>
    <w:rsid w:val="00423754"/>
    <w:rsid w:val="00424229"/>
    <w:rsid w:val="0042428D"/>
    <w:rsid w:val="004242ED"/>
    <w:rsid w:val="00424EEE"/>
    <w:rsid w:val="004251A8"/>
    <w:rsid w:val="00425DE5"/>
    <w:rsid w:val="00426602"/>
    <w:rsid w:val="00426B4D"/>
    <w:rsid w:val="00426EEF"/>
    <w:rsid w:val="0042776C"/>
    <w:rsid w:val="00427C68"/>
    <w:rsid w:val="0043000B"/>
    <w:rsid w:val="00430E9F"/>
    <w:rsid w:val="004318D4"/>
    <w:rsid w:val="004319C2"/>
    <w:rsid w:val="004327B6"/>
    <w:rsid w:val="004332F3"/>
    <w:rsid w:val="00433724"/>
    <w:rsid w:val="00433EA6"/>
    <w:rsid w:val="004342DF"/>
    <w:rsid w:val="004353B5"/>
    <w:rsid w:val="00435763"/>
    <w:rsid w:val="00437D06"/>
    <w:rsid w:val="00440A18"/>
    <w:rsid w:val="00440DAD"/>
    <w:rsid w:val="00440EA5"/>
    <w:rsid w:val="00441052"/>
    <w:rsid w:val="004410F7"/>
    <w:rsid w:val="0044242D"/>
    <w:rsid w:val="0044261B"/>
    <w:rsid w:val="00443127"/>
    <w:rsid w:val="00443EE0"/>
    <w:rsid w:val="0044448B"/>
    <w:rsid w:val="004449F7"/>
    <w:rsid w:val="00444B32"/>
    <w:rsid w:val="00444F7D"/>
    <w:rsid w:val="004465B3"/>
    <w:rsid w:val="00447980"/>
    <w:rsid w:val="00450B62"/>
    <w:rsid w:val="00453579"/>
    <w:rsid w:val="004536E0"/>
    <w:rsid w:val="00454234"/>
    <w:rsid w:val="004553C8"/>
    <w:rsid w:val="00455563"/>
    <w:rsid w:val="004557DD"/>
    <w:rsid w:val="0045626B"/>
    <w:rsid w:val="004563B0"/>
    <w:rsid w:val="0045649E"/>
    <w:rsid w:val="00456884"/>
    <w:rsid w:val="004569F7"/>
    <w:rsid w:val="0045763F"/>
    <w:rsid w:val="004577D2"/>
    <w:rsid w:val="00460119"/>
    <w:rsid w:val="00461295"/>
    <w:rsid w:val="00461302"/>
    <w:rsid w:val="004625E6"/>
    <w:rsid w:val="00463DCB"/>
    <w:rsid w:val="00465F49"/>
    <w:rsid w:val="00466216"/>
    <w:rsid w:val="0046769B"/>
    <w:rsid w:val="00467BD7"/>
    <w:rsid w:val="00467C13"/>
    <w:rsid w:val="00467FA8"/>
    <w:rsid w:val="00470F93"/>
    <w:rsid w:val="00472699"/>
    <w:rsid w:val="00472B28"/>
    <w:rsid w:val="00472DBC"/>
    <w:rsid w:val="004746D6"/>
    <w:rsid w:val="004749FD"/>
    <w:rsid w:val="00474DB4"/>
    <w:rsid w:val="00475DD0"/>
    <w:rsid w:val="00476FE9"/>
    <w:rsid w:val="004771BB"/>
    <w:rsid w:val="00477222"/>
    <w:rsid w:val="00480222"/>
    <w:rsid w:val="00480455"/>
    <w:rsid w:val="00480675"/>
    <w:rsid w:val="00480F24"/>
    <w:rsid w:val="00482132"/>
    <w:rsid w:val="0048227B"/>
    <w:rsid w:val="00484164"/>
    <w:rsid w:val="00484365"/>
    <w:rsid w:val="00484E2A"/>
    <w:rsid w:val="00486045"/>
    <w:rsid w:val="004873CE"/>
    <w:rsid w:val="00487EF7"/>
    <w:rsid w:val="00487F7D"/>
    <w:rsid w:val="0049317A"/>
    <w:rsid w:val="00493E2D"/>
    <w:rsid w:val="004941FB"/>
    <w:rsid w:val="0049467F"/>
    <w:rsid w:val="00496592"/>
    <w:rsid w:val="004965EF"/>
    <w:rsid w:val="004968C7"/>
    <w:rsid w:val="00496D63"/>
    <w:rsid w:val="004972F9"/>
    <w:rsid w:val="00497C81"/>
    <w:rsid w:val="004A0683"/>
    <w:rsid w:val="004A0722"/>
    <w:rsid w:val="004A190E"/>
    <w:rsid w:val="004A1A65"/>
    <w:rsid w:val="004A2298"/>
    <w:rsid w:val="004A2336"/>
    <w:rsid w:val="004A2A67"/>
    <w:rsid w:val="004A2E77"/>
    <w:rsid w:val="004A325D"/>
    <w:rsid w:val="004A330A"/>
    <w:rsid w:val="004A3454"/>
    <w:rsid w:val="004A35A7"/>
    <w:rsid w:val="004A36A0"/>
    <w:rsid w:val="004A3911"/>
    <w:rsid w:val="004A3953"/>
    <w:rsid w:val="004A403E"/>
    <w:rsid w:val="004A4590"/>
    <w:rsid w:val="004A4DAC"/>
    <w:rsid w:val="004A5FCA"/>
    <w:rsid w:val="004A7168"/>
    <w:rsid w:val="004A777F"/>
    <w:rsid w:val="004B1941"/>
    <w:rsid w:val="004B1F67"/>
    <w:rsid w:val="004B2368"/>
    <w:rsid w:val="004B26A0"/>
    <w:rsid w:val="004B2EAE"/>
    <w:rsid w:val="004B4E07"/>
    <w:rsid w:val="004B4F31"/>
    <w:rsid w:val="004B53F8"/>
    <w:rsid w:val="004C12B9"/>
    <w:rsid w:val="004C14FF"/>
    <w:rsid w:val="004C1BC9"/>
    <w:rsid w:val="004C1CE5"/>
    <w:rsid w:val="004C20A0"/>
    <w:rsid w:val="004C2509"/>
    <w:rsid w:val="004C2641"/>
    <w:rsid w:val="004C26D3"/>
    <w:rsid w:val="004C2D19"/>
    <w:rsid w:val="004C2FE0"/>
    <w:rsid w:val="004C31D7"/>
    <w:rsid w:val="004C3EB8"/>
    <w:rsid w:val="004C3EC5"/>
    <w:rsid w:val="004C40FA"/>
    <w:rsid w:val="004C5304"/>
    <w:rsid w:val="004C60FB"/>
    <w:rsid w:val="004C6632"/>
    <w:rsid w:val="004C6700"/>
    <w:rsid w:val="004C6895"/>
    <w:rsid w:val="004C7577"/>
    <w:rsid w:val="004C7E57"/>
    <w:rsid w:val="004D0776"/>
    <w:rsid w:val="004D0D9F"/>
    <w:rsid w:val="004D10E8"/>
    <w:rsid w:val="004D1997"/>
    <w:rsid w:val="004D227E"/>
    <w:rsid w:val="004D2284"/>
    <w:rsid w:val="004D27D5"/>
    <w:rsid w:val="004D316F"/>
    <w:rsid w:val="004D3236"/>
    <w:rsid w:val="004D3937"/>
    <w:rsid w:val="004D4C93"/>
    <w:rsid w:val="004D629C"/>
    <w:rsid w:val="004D63DF"/>
    <w:rsid w:val="004D65F6"/>
    <w:rsid w:val="004D664F"/>
    <w:rsid w:val="004D706B"/>
    <w:rsid w:val="004D7354"/>
    <w:rsid w:val="004E0097"/>
    <w:rsid w:val="004E045A"/>
    <w:rsid w:val="004E07C7"/>
    <w:rsid w:val="004E0BA4"/>
    <w:rsid w:val="004E0BDB"/>
    <w:rsid w:val="004E0BE6"/>
    <w:rsid w:val="004E1050"/>
    <w:rsid w:val="004E124A"/>
    <w:rsid w:val="004E146B"/>
    <w:rsid w:val="004E1CBC"/>
    <w:rsid w:val="004E1DA9"/>
    <w:rsid w:val="004E350F"/>
    <w:rsid w:val="004E3C47"/>
    <w:rsid w:val="004E445E"/>
    <w:rsid w:val="004E4BCD"/>
    <w:rsid w:val="004E4EB5"/>
    <w:rsid w:val="004E55D3"/>
    <w:rsid w:val="004E6640"/>
    <w:rsid w:val="004E7953"/>
    <w:rsid w:val="004E7BDB"/>
    <w:rsid w:val="004F02C6"/>
    <w:rsid w:val="004F09A7"/>
    <w:rsid w:val="004F15DC"/>
    <w:rsid w:val="004F1AC8"/>
    <w:rsid w:val="004F1BFB"/>
    <w:rsid w:val="004F1CAC"/>
    <w:rsid w:val="004F1E55"/>
    <w:rsid w:val="004F6104"/>
    <w:rsid w:val="004F6FF9"/>
    <w:rsid w:val="004F7ADE"/>
    <w:rsid w:val="004F7CDA"/>
    <w:rsid w:val="004F7D98"/>
    <w:rsid w:val="00500806"/>
    <w:rsid w:val="005009D2"/>
    <w:rsid w:val="00500BCF"/>
    <w:rsid w:val="00501287"/>
    <w:rsid w:val="005013F5"/>
    <w:rsid w:val="00502116"/>
    <w:rsid w:val="00505A22"/>
    <w:rsid w:val="00505FC6"/>
    <w:rsid w:val="0050603E"/>
    <w:rsid w:val="005061E0"/>
    <w:rsid w:val="0050734B"/>
    <w:rsid w:val="005077E2"/>
    <w:rsid w:val="0051181F"/>
    <w:rsid w:val="00511A52"/>
    <w:rsid w:val="00511AEF"/>
    <w:rsid w:val="00511E19"/>
    <w:rsid w:val="00512FA4"/>
    <w:rsid w:val="0051406B"/>
    <w:rsid w:val="005145FF"/>
    <w:rsid w:val="00514D45"/>
    <w:rsid w:val="0051510D"/>
    <w:rsid w:val="005157E6"/>
    <w:rsid w:val="00516550"/>
    <w:rsid w:val="005165C4"/>
    <w:rsid w:val="00516E88"/>
    <w:rsid w:val="00516EA6"/>
    <w:rsid w:val="00517856"/>
    <w:rsid w:val="0051786A"/>
    <w:rsid w:val="00520449"/>
    <w:rsid w:val="00520A67"/>
    <w:rsid w:val="00520D50"/>
    <w:rsid w:val="00520D5D"/>
    <w:rsid w:val="00521D3E"/>
    <w:rsid w:val="00521E7A"/>
    <w:rsid w:val="005221FA"/>
    <w:rsid w:val="0052255A"/>
    <w:rsid w:val="00523540"/>
    <w:rsid w:val="00523822"/>
    <w:rsid w:val="00523ACB"/>
    <w:rsid w:val="00524450"/>
    <w:rsid w:val="005250BE"/>
    <w:rsid w:val="005258B9"/>
    <w:rsid w:val="00530476"/>
    <w:rsid w:val="00530CCC"/>
    <w:rsid w:val="005314AC"/>
    <w:rsid w:val="0053165C"/>
    <w:rsid w:val="00531723"/>
    <w:rsid w:val="00531940"/>
    <w:rsid w:val="00531B76"/>
    <w:rsid w:val="00531C44"/>
    <w:rsid w:val="00531E04"/>
    <w:rsid w:val="005327EB"/>
    <w:rsid w:val="00532D99"/>
    <w:rsid w:val="00533155"/>
    <w:rsid w:val="005335FE"/>
    <w:rsid w:val="005338D2"/>
    <w:rsid w:val="00534B96"/>
    <w:rsid w:val="00534E72"/>
    <w:rsid w:val="00535535"/>
    <w:rsid w:val="00535690"/>
    <w:rsid w:val="00536281"/>
    <w:rsid w:val="00536AC2"/>
    <w:rsid w:val="0053752F"/>
    <w:rsid w:val="00537B90"/>
    <w:rsid w:val="00540803"/>
    <w:rsid w:val="00540995"/>
    <w:rsid w:val="00540C38"/>
    <w:rsid w:val="00541742"/>
    <w:rsid w:val="00541EB7"/>
    <w:rsid w:val="0054288B"/>
    <w:rsid w:val="00542CD6"/>
    <w:rsid w:val="00543131"/>
    <w:rsid w:val="005436C2"/>
    <w:rsid w:val="00543A2D"/>
    <w:rsid w:val="00546574"/>
    <w:rsid w:val="005470B0"/>
    <w:rsid w:val="00547720"/>
    <w:rsid w:val="005508EA"/>
    <w:rsid w:val="00550E7D"/>
    <w:rsid w:val="005520E6"/>
    <w:rsid w:val="0055216D"/>
    <w:rsid w:val="00552803"/>
    <w:rsid w:val="005530CA"/>
    <w:rsid w:val="00553411"/>
    <w:rsid w:val="00553B68"/>
    <w:rsid w:val="0055473F"/>
    <w:rsid w:val="0055489A"/>
    <w:rsid w:val="00555419"/>
    <w:rsid w:val="00555F15"/>
    <w:rsid w:val="00556DEE"/>
    <w:rsid w:val="0055791E"/>
    <w:rsid w:val="00557D1E"/>
    <w:rsid w:val="00557F18"/>
    <w:rsid w:val="0056000D"/>
    <w:rsid w:val="005602A7"/>
    <w:rsid w:val="00560472"/>
    <w:rsid w:val="0056062E"/>
    <w:rsid w:val="00560DCC"/>
    <w:rsid w:val="00560F47"/>
    <w:rsid w:val="00561167"/>
    <w:rsid w:val="00561743"/>
    <w:rsid w:val="005618C3"/>
    <w:rsid w:val="005619B8"/>
    <w:rsid w:val="00561E3D"/>
    <w:rsid w:val="00562D70"/>
    <w:rsid w:val="00563152"/>
    <w:rsid w:val="005644EE"/>
    <w:rsid w:val="0056464C"/>
    <w:rsid w:val="005651D3"/>
    <w:rsid w:val="00565A22"/>
    <w:rsid w:val="005661F2"/>
    <w:rsid w:val="00566B64"/>
    <w:rsid w:val="0056752E"/>
    <w:rsid w:val="005713D3"/>
    <w:rsid w:val="0057144F"/>
    <w:rsid w:val="00571793"/>
    <w:rsid w:val="0057344A"/>
    <w:rsid w:val="00573D41"/>
    <w:rsid w:val="00574CC4"/>
    <w:rsid w:val="00574EC7"/>
    <w:rsid w:val="00575D38"/>
    <w:rsid w:val="00575DCC"/>
    <w:rsid w:val="005766EA"/>
    <w:rsid w:val="005767A7"/>
    <w:rsid w:val="0057689E"/>
    <w:rsid w:val="00577317"/>
    <w:rsid w:val="005778BF"/>
    <w:rsid w:val="00577E0E"/>
    <w:rsid w:val="00580D21"/>
    <w:rsid w:val="005811F6"/>
    <w:rsid w:val="005812AA"/>
    <w:rsid w:val="00581316"/>
    <w:rsid w:val="005817E2"/>
    <w:rsid w:val="00583475"/>
    <w:rsid w:val="005835D0"/>
    <w:rsid w:val="00583741"/>
    <w:rsid w:val="0058386F"/>
    <w:rsid w:val="005839AE"/>
    <w:rsid w:val="00583AFD"/>
    <w:rsid w:val="00583E48"/>
    <w:rsid w:val="00583E68"/>
    <w:rsid w:val="00584265"/>
    <w:rsid w:val="00585067"/>
    <w:rsid w:val="005852F0"/>
    <w:rsid w:val="00587180"/>
    <w:rsid w:val="00591162"/>
    <w:rsid w:val="00591F29"/>
    <w:rsid w:val="005926F0"/>
    <w:rsid w:val="00592DC6"/>
    <w:rsid w:val="0059342F"/>
    <w:rsid w:val="00593D24"/>
    <w:rsid w:val="005942A1"/>
    <w:rsid w:val="005949BC"/>
    <w:rsid w:val="005A095B"/>
    <w:rsid w:val="005A0ABF"/>
    <w:rsid w:val="005A1241"/>
    <w:rsid w:val="005A13A1"/>
    <w:rsid w:val="005A15FD"/>
    <w:rsid w:val="005A1B06"/>
    <w:rsid w:val="005A2564"/>
    <w:rsid w:val="005A3000"/>
    <w:rsid w:val="005A323A"/>
    <w:rsid w:val="005A34C4"/>
    <w:rsid w:val="005A3B1E"/>
    <w:rsid w:val="005A4D79"/>
    <w:rsid w:val="005A4EA1"/>
    <w:rsid w:val="005A5664"/>
    <w:rsid w:val="005A5724"/>
    <w:rsid w:val="005A625A"/>
    <w:rsid w:val="005A62CA"/>
    <w:rsid w:val="005A725D"/>
    <w:rsid w:val="005A743F"/>
    <w:rsid w:val="005A7A98"/>
    <w:rsid w:val="005A7F10"/>
    <w:rsid w:val="005B07AB"/>
    <w:rsid w:val="005B0B10"/>
    <w:rsid w:val="005B0E0F"/>
    <w:rsid w:val="005B1009"/>
    <w:rsid w:val="005B206D"/>
    <w:rsid w:val="005B22A1"/>
    <w:rsid w:val="005B265C"/>
    <w:rsid w:val="005B2B15"/>
    <w:rsid w:val="005B2E98"/>
    <w:rsid w:val="005B3640"/>
    <w:rsid w:val="005B3FC5"/>
    <w:rsid w:val="005B52EF"/>
    <w:rsid w:val="005B5596"/>
    <w:rsid w:val="005B5C13"/>
    <w:rsid w:val="005B5E6E"/>
    <w:rsid w:val="005B6B49"/>
    <w:rsid w:val="005B6CB9"/>
    <w:rsid w:val="005B6D3B"/>
    <w:rsid w:val="005B6F94"/>
    <w:rsid w:val="005B778B"/>
    <w:rsid w:val="005B7EAD"/>
    <w:rsid w:val="005B7F75"/>
    <w:rsid w:val="005C05A1"/>
    <w:rsid w:val="005C0C87"/>
    <w:rsid w:val="005C0FAA"/>
    <w:rsid w:val="005C1219"/>
    <w:rsid w:val="005C3B15"/>
    <w:rsid w:val="005C4A84"/>
    <w:rsid w:val="005C5ABF"/>
    <w:rsid w:val="005C6264"/>
    <w:rsid w:val="005C6328"/>
    <w:rsid w:val="005C64B7"/>
    <w:rsid w:val="005C654D"/>
    <w:rsid w:val="005C6777"/>
    <w:rsid w:val="005C6F80"/>
    <w:rsid w:val="005C7266"/>
    <w:rsid w:val="005C7CF7"/>
    <w:rsid w:val="005D103A"/>
    <w:rsid w:val="005D19B0"/>
    <w:rsid w:val="005D1DF6"/>
    <w:rsid w:val="005D1ED0"/>
    <w:rsid w:val="005D28F7"/>
    <w:rsid w:val="005D2F3D"/>
    <w:rsid w:val="005D3168"/>
    <w:rsid w:val="005D31B4"/>
    <w:rsid w:val="005D3995"/>
    <w:rsid w:val="005D3A63"/>
    <w:rsid w:val="005D3E87"/>
    <w:rsid w:val="005D7287"/>
    <w:rsid w:val="005D7DE1"/>
    <w:rsid w:val="005E007C"/>
    <w:rsid w:val="005E0287"/>
    <w:rsid w:val="005E0771"/>
    <w:rsid w:val="005E12D0"/>
    <w:rsid w:val="005E2E06"/>
    <w:rsid w:val="005E3E51"/>
    <w:rsid w:val="005E4933"/>
    <w:rsid w:val="005E68AA"/>
    <w:rsid w:val="005E715C"/>
    <w:rsid w:val="005E72D1"/>
    <w:rsid w:val="005E78F6"/>
    <w:rsid w:val="005F1D8B"/>
    <w:rsid w:val="005F27E8"/>
    <w:rsid w:val="005F2BA0"/>
    <w:rsid w:val="005F3468"/>
    <w:rsid w:val="005F3677"/>
    <w:rsid w:val="005F387F"/>
    <w:rsid w:val="005F4230"/>
    <w:rsid w:val="005F4AA0"/>
    <w:rsid w:val="005F4F6A"/>
    <w:rsid w:val="005F5317"/>
    <w:rsid w:val="005F534F"/>
    <w:rsid w:val="005F5494"/>
    <w:rsid w:val="005F55AF"/>
    <w:rsid w:val="005F61E2"/>
    <w:rsid w:val="005F65C7"/>
    <w:rsid w:val="005F6753"/>
    <w:rsid w:val="005F6B51"/>
    <w:rsid w:val="005F7288"/>
    <w:rsid w:val="005F7C50"/>
    <w:rsid w:val="00600B12"/>
    <w:rsid w:val="00600D83"/>
    <w:rsid w:val="00600F5D"/>
    <w:rsid w:val="0060218F"/>
    <w:rsid w:val="0060221F"/>
    <w:rsid w:val="00602EBB"/>
    <w:rsid w:val="006039F5"/>
    <w:rsid w:val="00604A99"/>
    <w:rsid w:val="00604F1A"/>
    <w:rsid w:val="00605144"/>
    <w:rsid w:val="0060582C"/>
    <w:rsid w:val="00605A46"/>
    <w:rsid w:val="00605B52"/>
    <w:rsid w:val="00605D1D"/>
    <w:rsid w:val="00605D3A"/>
    <w:rsid w:val="00605E64"/>
    <w:rsid w:val="0060632D"/>
    <w:rsid w:val="0060689E"/>
    <w:rsid w:val="00606B04"/>
    <w:rsid w:val="00606F5B"/>
    <w:rsid w:val="0060747B"/>
    <w:rsid w:val="0061065A"/>
    <w:rsid w:val="00610765"/>
    <w:rsid w:val="00610DFA"/>
    <w:rsid w:val="00612698"/>
    <w:rsid w:val="00612AC1"/>
    <w:rsid w:val="00612D24"/>
    <w:rsid w:val="00612EBE"/>
    <w:rsid w:val="00613154"/>
    <w:rsid w:val="00614112"/>
    <w:rsid w:val="00614931"/>
    <w:rsid w:val="00614BDF"/>
    <w:rsid w:val="00614D97"/>
    <w:rsid w:val="00614FEE"/>
    <w:rsid w:val="0061514E"/>
    <w:rsid w:val="0061584A"/>
    <w:rsid w:val="00615D11"/>
    <w:rsid w:val="006165F6"/>
    <w:rsid w:val="006169CA"/>
    <w:rsid w:val="0061729E"/>
    <w:rsid w:val="00617376"/>
    <w:rsid w:val="006177B1"/>
    <w:rsid w:val="006178A2"/>
    <w:rsid w:val="006209CD"/>
    <w:rsid w:val="00620E54"/>
    <w:rsid w:val="00621595"/>
    <w:rsid w:val="00621E3E"/>
    <w:rsid w:val="00622BF5"/>
    <w:rsid w:val="00622E57"/>
    <w:rsid w:val="0062315B"/>
    <w:rsid w:val="006233BC"/>
    <w:rsid w:val="006236D9"/>
    <w:rsid w:val="00623B09"/>
    <w:rsid w:val="00624096"/>
    <w:rsid w:val="00624639"/>
    <w:rsid w:val="00624938"/>
    <w:rsid w:val="00624A65"/>
    <w:rsid w:val="00624FDE"/>
    <w:rsid w:val="0062597E"/>
    <w:rsid w:val="00626A01"/>
    <w:rsid w:val="006275AB"/>
    <w:rsid w:val="0062768B"/>
    <w:rsid w:val="00627B10"/>
    <w:rsid w:val="006305FC"/>
    <w:rsid w:val="0063082C"/>
    <w:rsid w:val="00630F1F"/>
    <w:rsid w:val="00631A57"/>
    <w:rsid w:val="00632C52"/>
    <w:rsid w:val="00634641"/>
    <w:rsid w:val="00634940"/>
    <w:rsid w:val="00635BD0"/>
    <w:rsid w:val="00636614"/>
    <w:rsid w:val="006367F4"/>
    <w:rsid w:val="00636F57"/>
    <w:rsid w:val="0063779E"/>
    <w:rsid w:val="00637D1B"/>
    <w:rsid w:val="00641356"/>
    <w:rsid w:val="00642585"/>
    <w:rsid w:val="006427B8"/>
    <w:rsid w:val="006431D8"/>
    <w:rsid w:val="006432B4"/>
    <w:rsid w:val="006443DA"/>
    <w:rsid w:val="006450A4"/>
    <w:rsid w:val="00645180"/>
    <w:rsid w:val="00645288"/>
    <w:rsid w:val="00645693"/>
    <w:rsid w:val="00645E18"/>
    <w:rsid w:val="00646912"/>
    <w:rsid w:val="00647824"/>
    <w:rsid w:val="00647B00"/>
    <w:rsid w:val="006502C3"/>
    <w:rsid w:val="0065145C"/>
    <w:rsid w:val="0065215B"/>
    <w:rsid w:val="00652B07"/>
    <w:rsid w:val="006537DB"/>
    <w:rsid w:val="0065499A"/>
    <w:rsid w:val="00654E60"/>
    <w:rsid w:val="006556EC"/>
    <w:rsid w:val="006556FA"/>
    <w:rsid w:val="00655C85"/>
    <w:rsid w:val="0065617D"/>
    <w:rsid w:val="00656BC0"/>
    <w:rsid w:val="00656C04"/>
    <w:rsid w:val="006602B2"/>
    <w:rsid w:val="006607F7"/>
    <w:rsid w:val="00660AD8"/>
    <w:rsid w:val="00660B9D"/>
    <w:rsid w:val="00660FD4"/>
    <w:rsid w:val="00662B8A"/>
    <w:rsid w:val="006643B3"/>
    <w:rsid w:val="00664E4F"/>
    <w:rsid w:val="006651AD"/>
    <w:rsid w:val="006651E7"/>
    <w:rsid w:val="00666C85"/>
    <w:rsid w:val="0066778D"/>
    <w:rsid w:val="006679C1"/>
    <w:rsid w:val="00667C2A"/>
    <w:rsid w:val="00670145"/>
    <w:rsid w:val="00670A76"/>
    <w:rsid w:val="00670AE7"/>
    <w:rsid w:val="00670FE7"/>
    <w:rsid w:val="00674265"/>
    <w:rsid w:val="0067532C"/>
    <w:rsid w:val="006753ED"/>
    <w:rsid w:val="00675B05"/>
    <w:rsid w:val="0067622A"/>
    <w:rsid w:val="00676B75"/>
    <w:rsid w:val="00677599"/>
    <w:rsid w:val="00677951"/>
    <w:rsid w:val="00677B2C"/>
    <w:rsid w:val="00681C96"/>
    <w:rsid w:val="006821A7"/>
    <w:rsid w:val="0068281C"/>
    <w:rsid w:val="006829DC"/>
    <w:rsid w:val="0068305E"/>
    <w:rsid w:val="0068315F"/>
    <w:rsid w:val="006831A9"/>
    <w:rsid w:val="006834DC"/>
    <w:rsid w:val="006835C0"/>
    <w:rsid w:val="006837E8"/>
    <w:rsid w:val="00684207"/>
    <w:rsid w:val="00684423"/>
    <w:rsid w:val="00684B19"/>
    <w:rsid w:val="00684C15"/>
    <w:rsid w:val="006866CB"/>
    <w:rsid w:val="00686B6A"/>
    <w:rsid w:val="00686F12"/>
    <w:rsid w:val="00687052"/>
    <w:rsid w:val="00690746"/>
    <w:rsid w:val="00690888"/>
    <w:rsid w:val="0069107D"/>
    <w:rsid w:val="00692488"/>
    <w:rsid w:val="006936CA"/>
    <w:rsid w:val="00693A6A"/>
    <w:rsid w:val="006948A6"/>
    <w:rsid w:val="0069491D"/>
    <w:rsid w:val="006955AE"/>
    <w:rsid w:val="00696A1B"/>
    <w:rsid w:val="00696DA4"/>
    <w:rsid w:val="00697C91"/>
    <w:rsid w:val="006A00FD"/>
    <w:rsid w:val="006A1C45"/>
    <w:rsid w:val="006A406F"/>
    <w:rsid w:val="006A4795"/>
    <w:rsid w:val="006A5398"/>
    <w:rsid w:val="006A554F"/>
    <w:rsid w:val="006A60CE"/>
    <w:rsid w:val="006A6AE3"/>
    <w:rsid w:val="006A791B"/>
    <w:rsid w:val="006A7927"/>
    <w:rsid w:val="006A7B0D"/>
    <w:rsid w:val="006A7D43"/>
    <w:rsid w:val="006A7E52"/>
    <w:rsid w:val="006A7FB1"/>
    <w:rsid w:val="006B067E"/>
    <w:rsid w:val="006B2224"/>
    <w:rsid w:val="006B2ECC"/>
    <w:rsid w:val="006B3188"/>
    <w:rsid w:val="006B3C1D"/>
    <w:rsid w:val="006B4B4D"/>
    <w:rsid w:val="006B53FE"/>
    <w:rsid w:val="006B55F6"/>
    <w:rsid w:val="006B577B"/>
    <w:rsid w:val="006B644C"/>
    <w:rsid w:val="006B6630"/>
    <w:rsid w:val="006B6BF7"/>
    <w:rsid w:val="006B77F5"/>
    <w:rsid w:val="006B7E93"/>
    <w:rsid w:val="006B7F07"/>
    <w:rsid w:val="006C064E"/>
    <w:rsid w:val="006C0719"/>
    <w:rsid w:val="006C0787"/>
    <w:rsid w:val="006C0996"/>
    <w:rsid w:val="006C0BBF"/>
    <w:rsid w:val="006C1073"/>
    <w:rsid w:val="006C20F2"/>
    <w:rsid w:val="006C2445"/>
    <w:rsid w:val="006C30AA"/>
    <w:rsid w:val="006C367E"/>
    <w:rsid w:val="006C5484"/>
    <w:rsid w:val="006C5A0D"/>
    <w:rsid w:val="006C662B"/>
    <w:rsid w:val="006C7761"/>
    <w:rsid w:val="006C7836"/>
    <w:rsid w:val="006C7E7C"/>
    <w:rsid w:val="006D0215"/>
    <w:rsid w:val="006D0370"/>
    <w:rsid w:val="006D0AC1"/>
    <w:rsid w:val="006D0B0C"/>
    <w:rsid w:val="006D21D7"/>
    <w:rsid w:val="006D3A77"/>
    <w:rsid w:val="006D3B25"/>
    <w:rsid w:val="006D3DA6"/>
    <w:rsid w:val="006D62C4"/>
    <w:rsid w:val="006D68FB"/>
    <w:rsid w:val="006D6B26"/>
    <w:rsid w:val="006E08EC"/>
    <w:rsid w:val="006E34D1"/>
    <w:rsid w:val="006E367D"/>
    <w:rsid w:val="006E64FA"/>
    <w:rsid w:val="006E7224"/>
    <w:rsid w:val="006E79D3"/>
    <w:rsid w:val="006F02FD"/>
    <w:rsid w:val="006F0561"/>
    <w:rsid w:val="006F1688"/>
    <w:rsid w:val="006F2071"/>
    <w:rsid w:val="006F24DA"/>
    <w:rsid w:val="006F2A15"/>
    <w:rsid w:val="006F547A"/>
    <w:rsid w:val="006F621C"/>
    <w:rsid w:val="006F6D54"/>
    <w:rsid w:val="006F6DCC"/>
    <w:rsid w:val="00700291"/>
    <w:rsid w:val="00700751"/>
    <w:rsid w:val="00702F46"/>
    <w:rsid w:val="007030CD"/>
    <w:rsid w:val="0070359D"/>
    <w:rsid w:val="00703876"/>
    <w:rsid w:val="00703C83"/>
    <w:rsid w:val="00703C86"/>
    <w:rsid w:val="0070443A"/>
    <w:rsid w:val="00704470"/>
    <w:rsid w:val="00705303"/>
    <w:rsid w:val="0070662B"/>
    <w:rsid w:val="007068DF"/>
    <w:rsid w:val="00707297"/>
    <w:rsid w:val="0070770E"/>
    <w:rsid w:val="0071083D"/>
    <w:rsid w:val="00710F70"/>
    <w:rsid w:val="00711475"/>
    <w:rsid w:val="00711B3C"/>
    <w:rsid w:val="007129E8"/>
    <w:rsid w:val="00712BEE"/>
    <w:rsid w:val="00712CDB"/>
    <w:rsid w:val="00713DDC"/>
    <w:rsid w:val="007151CF"/>
    <w:rsid w:val="007157D6"/>
    <w:rsid w:val="00715CAA"/>
    <w:rsid w:val="0071667F"/>
    <w:rsid w:val="00716A04"/>
    <w:rsid w:val="00716A19"/>
    <w:rsid w:val="00716EE2"/>
    <w:rsid w:val="00716EF7"/>
    <w:rsid w:val="00717B33"/>
    <w:rsid w:val="0072025D"/>
    <w:rsid w:val="00720B0C"/>
    <w:rsid w:val="00720E96"/>
    <w:rsid w:val="00721C6B"/>
    <w:rsid w:val="00721CA5"/>
    <w:rsid w:val="0072217B"/>
    <w:rsid w:val="00722253"/>
    <w:rsid w:val="00722A90"/>
    <w:rsid w:val="00723133"/>
    <w:rsid w:val="00724F7B"/>
    <w:rsid w:val="00726B26"/>
    <w:rsid w:val="00727B15"/>
    <w:rsid w:val="00727C72"/>
    <w:rsid w:val="007302F0"/>
    <w:rsid w:val="007314F0"/>
    <w:rsid w:val="00731CA9"/>
    <w:rsid w:val="00731D0B"/>
    <w:rsid w:val="00731FAA"/>
    <w:rsid w:val="00732632"/>
    <w:rsid w:val="007339CE"/>
    <w:rsid w:val="00735204"/>
    <w:rsid w:val="007357E6"/>
    <w:rsid w:val="00736BCF"/>
    <w:rsid w:val="007370D6"/>
    <w:rsid w:val="00737652"/>
    <w:rsid w:val="007402D7"/>
    <w:rsid w:val="00740441"/>
    <w:rsid w:val="0074109A"/>
    <w:rsid w:val="00741256"/>
    <w:rsid w:val="00741970"/>
    <w:rsid w:val="00742A4F"/>
    <w:rsid w:val="00742C1B"/>
    <w:rsid w:val="00742E10"/>
    <w:rsid w:val="00742ED8"/>
    <w:rsid w:val="00743B10"/>
    <w:rsid w:val="0074499A"/>
    <w:rsid w:val="007459DB"/>
    <w:rsid w:val="00745C3F"/>
    <w:rsid w:val="007469E5"/>
    <w:rsid w:val="00746CAA"/>
    <w:rsid w:val="00747186"/>
    <w:rsid w:val="0074725D"/>
    <w:rsid w:val="00747803"/>
    <w:rsid w:val="00747BEF"/>
    <w:rsid w:val="00750215"/>
    <w:rsid w:val="00750B6E"/>
    <w:rsid w:val="00750C1D"/>
    <w:rsid w:val="00751406"/>
    <w:rsid w:val="00751A8A"/>
    <w:rsid w:val="0075241B"/>
    <w:rsid w:val="0075321F"/>
    <w:rsid w:val="00754356"/>
    <w:rsid w:val="007552A7"/>
    <w:rsid w:val="0075595A"/>
    <w:rsid w:val="00756121"/>
    <w:rsid w:val="00756FAB"/>
    <w:rsid w:val="0075778D"/>
    <w:rsid w:val="00757F36"/>
    <w:rsid w:val="007600C5"/>
    <w:rsid w:val="00760A3D"/>
    <w:rsid w:val="007613F9"/>
    <w:rsid w:val="00761B4D"/>
    <w:rsid w:val="00761C5E"/>
    <w:rsid w:val="00761F9E"/>
    <w:rsid w:val="00763154"/>
    <w:rsid w:val="00763357"/>
    <w:rsid w:val="007639EB"/>
    <w:rsid w:val="00763DC4"/>
    <w:rsid w:val="00763F4F"/>
    <w:rsid w:val="007640ED"/>
    <w:rsid w:val="007641FF"/>
    <w:rsid w:val="007645AD"/>
    <w:rsid w:val="007647E5"/>
    <w:rsid w:val="00764BD3"/>
    <w:rsid w:val="00765079"/>
    <w:rsid w:val="0076511F"/>
    <w:rsid w:val="0076533C"/>
    <w:rsid w:val="007654A2"/>
    <w:rsid w:val="007656A6"/>
    <w:rsid w:val="00765A39"/>
    <w:rsid w:val="00766771"/>
    <w:rsid w:val="00767136"/>
    <w:rsid w:val="00770A8C"/>
    <w:rsid w:val="0077130D"/>
    <w:rsid w:val="0077185C"/>
    <w:rsid w:val="007723A1"/>
    <w:rsid w:val="007725CA"/>
    <w:rsid w:val="00772AF9"/>
    <w:rsid w:val="00772D6C"/>
    <w:rsid w:val="00773141"/>
    <w:rsid w:val="007731CF"/>
    <w:rsid w:val="0077324D"/>
    <w:rsid w:val="00773BB4"/>
    <w:rsid w:val="00773FF3"/>
    <w:rsid w:val="007740C2"/>
    <w:rsid w:val="00774686"/>
    <w:rsid w:val="00774912"/>
    <w:rsid w:val="00776EDD"/>
    <w:rsid w:val="007772B0"/>
    <w:rsid w:val="0078063E"/>
    <w:rsid w:val="00780711"/>
    <w:rsid w:val="007812C5"/>
    <w:rsid w:val="007822B8"/>
    <w:rsid w:val="00782E76"/>
    <w:rsid w:val="00783B00"/>
    <w:rsid w:val="00784245"/>
    <w:rsid w:val="00785E81"/>
    <w:rsid w:val="00786108"/>
    <w:rsid w:val="0078642D"/>
    <w:rsid w:val="00787497"/>
    <w:rsid w:val="007905BB"/>
    <w:rsid w:val="007918A5"/>
    <w:rsid w:val="007919B1"/>
    <w:rsid w:val="00791DCB"/>
    <w:rsid w:val="00791E2F"/>
    <w:rsid w:val="00792D09"/>
    <w:rsid w:val="007933BB"/>
    <w:rsid w:val="007933F8"/>
    <w:rsid w:val="00793AD8"/>
    <w:rsid w:val="0079449C"/>
    <w:rsid w:val="007949DE"/>
    <w:rsid w:val="00794AF3"/>
    <w:rsid w:val="00794FB6"/>
    <w:rsid w:val="00795C36"/>
    <w:rsid w:val="007960E2"/>
    <w:rsid w:val="00796F7D"/>
    <w:rsid w:val="00797BA5"/>
    <w:rsid w:val="007A00BA"/>
    <w:rsid w:val="007A04E3"/>
    <w:rsid w:val="007A0716"/>
    <w:rsid w:val="007A136F"/>
    <w:rsid w:val="007A1A67"/>
    <w:rsid w:val="007A201D"/>
    <w:rsid w:val="007A246D"/>
    <w:rsid w:val="007A311D"/>
    <w:rsid w:val="007A3259"/>
    <w:rsid w:val="007A36E4"/>
    <w:rsid w:val="007A4239"/>
    <w:rsid w:val="007A6069"/>
    <w:rsid w:val="007A6906"/>
    <w:rsid w:val="007A7258"/>
    <w:rsid w:val="007A7306"/>
    <w:rsid w:val="007B041F"/>
    <w:rsid w:val="007B0488"/>
    <w:rsid w:val="007B05B9"/>
    <w:rsid w:val="007B0E42"/>
    <w:rsid w:val="007B0FE2"/>
    <w:rsid w:val="007B36F7"/>
    <w:rsid w:val="007B4269"/>
    <w:rsid w:val="007B458E"/>
    <w:rsid w:val="007B522F"/>
    <w:rsid w:val="007B5601"/>
    <w:rsid w:val="007B64A7"/>
    <w:rsid w:val="007B7101"/>
    <w:rsid w:val="007C019C"/>
    <w:rsid w:val="007C032B"/>
    <w:rsid w:val="007C03CE"/>
    <w:rsid w:val="007C03D3"/>
    <w:rsid w:val="007C1AC7"/>
    <w:rsid w:val="007C28F4"/>
    <w:rsid w:val="007C3CBD"/>
    <w:rsid w:val="007C3DF5"/>
    <w:rsid w:val="007C48E0"/>
    <w:rsid w:val="007C5EAD"/>
    <w:rsid w:val="007C6367"/>
    <w:rsid w:val="007C63C0"/>
    <w:rsid w:val="007C6C58"/>
    <w:rsid w:val="007D0365"/>
    <w:rsid w:val="007D08D0"/>
    <w:rsid w:val="007D0D32"/>
    <w:rsid w:val="007D1462"/>
    <w:rsid w:val="007D18BE"/>
    <w:rsid w:val="007D3A85"/>
    <w:rsid w:val="007D3F96"/>
    <w:rsid w:val="007D4138"/>
    <w:rsid w:val="007D4B1D"/>
    <w:rsid w:val="007D51B3"/>
    <w:rsid w:val="007D5381"/>
    <w:rsid w:val="007D583D"/>
    <w:rsid w:val="007D5F7C"/>
    <w:rsid w:val="007D611C"/>
    <w:rsid w:val="007D61F1"/>
    <w:rsid w:val="007D62E0"/>
    <w:rsid w:val="007D6BED"/>
    <w:rsid w:val="007D7308"/>
    <w:rsid w:val="007D77A8"/>
    <w:rsid w:val="007D7C3C"/>
    <w:rsid w:val="007E09B1"/>
    <w:rsid w:val="007E0A27"/>
    <w:rsid w:val="007E152B"/>
    <w:rsid w:val="007E1559"/>
    <w:rsid w:val="007E1682"/>
    <w:rsid w:val="007E1D28"/>
    <w:rsid w:val="007E3EDE"/>
    <w:rsid w:val="007E3F23"/>
    <w:rsid w:val="007E41E6"/>
    <w:rsid w:val="007E424D"/>
    <w:rsid w:val="007E6667"/>
    <w:rsid w:val="007E6864"/>
    <w:rsid w:val="007E798A"/>
    <w:rsid w:val="007E7BD4"/>
    <w:rsid w:val="007E7D6A"/>
    <w:rsid w:val="007F05C3"/>
    <w:rsid w:val="007F0E00"/>
    <w:rsid w:val="007F1070"/>
    <w:rsid w:val="007F1993"/>
    <w:rsid w:val="007F2912"/>
    <w:rsid w:val="007F2975"/>
    <w:rsid w:val="007F33F5"/>
    <w:rsid w:val="007F3A05"/>
    <w:rsid w:val="007F40C9"/>
    <w:rsid w:val="007F48E3"/>
    <w:rsid w:val="007F4FD2"/>
    <w:rsid w:val="007F5303"/>
    <w:rsid w:val="007F5313"/>
    <w:rsid w:val="007F7059"/>
    <w:rsid w:val="007F7061"/>
    <w:rsid w:val="007F72EC"/>
    <w:rsid w:val="0080043F"/>
    <w:rsid w:val="00800B3A"/>
    <w:rsid w:val="0080183A"/>
    <w:rsid w:val="00801DD9"/>
    <w:rsid w:val="00802233"/>
    <w:rsid w:val="00802AEA"/>
    <w:rsid w:val="00804760"/>
    <w:rsid w:val="00804C65"/>
    <w:rsid w:val="00805B0D"/>
    <w:rsid w:val="00805C89"/>
    <w:rsid w:val="00806551"/>
    <w:rsid w:val="00806FDA"/>
    <w:rsid w:val="0080706F"/>
    <w:rsid w:val="008071B4"/>
    <w:rsid w:val="00807692"/>
    <w:rsid w:val="00807C6C"/>
    <w:rsid w:val="008101E7"/>
    <w:rsid w:val="008102F7"/>
    <w:rsid w:val="008106DE"/>
    <w:rsid w:val="00810A4C"/>
    <w:rsid w:val="008117BB"/>
    <w:rsid w:val="0081206A"/>
    <w:rsid w:val="00813682"/>
    <w:rsid w:val="008144C4"/>
    <w:rsid w:val="00814A91"/>
    <w:rsid w:val="0081516C"/>
    <w:rsid w:val="0081521B"/>
    <w:rsid w:val="0081653C"/>
    <w:rsid w:val="00816895"/>
    <w:rsid w:val="00816EE1"/>
    <w:rsid w:val="008170AC"/>
    <w:rsid w:val="00817733"/>
    <w:rsid w:val="0082042D"/>
    <w:rsid w:val="008204BD"/>
    <w:rsid w:val="0082104D"/>
    <w:rsid w:val="00821178"/>
    <w:rsid w:val="0082183D"/>
    <w:rsid w:val="00821EEC"/>
    <w:rsid w:val="00821FE2"/>
    <w:rsid w:val="008223C4"/>
    <w:rsid w:val="008223DA"/>
    <w:rsid w:val="008225AA"/>
    <w:rsid w:val="00822ECB"/>
    <w:rsid w:val="00823F31"/>
    <w:rsid w:val="0082431E"/>
    <w:rsid w:val="008261C8"/>
    <w:rsid w:val="0082621A"/>
    <w:rsid w:val="008272DC"/>
    <w:rsid w:val="00827958"/>
    <w:rsid w:val="00830152"/>
    <w:rsid w:val="00830D03"/>
    <w:rsid w:val="00831E4C"/>
    <w:rsid w:val="00832E57"/>
    <w:rsid w:val="00834007"/>
    <w:rsid w:val="00834CE6"/>
    <w:rsid w:val="00835394"/>
    <w:rsid w:val="008360E3"/>
    <w:rsid w:val="008369EB"/>
    <w:rsid w:val="008370EC"/>
    <w:rsid w:val="00837458"/>
    <w:rsid w:val="00837F78"/>
    <w:rsid w:val="008403C2"/>
    <w:rsid w:val="00840B85"/>
    <w:rsid w:val="00840D7A"/>
    <w:rsid w:val="00841477"/>
    <w:rsid w:val="008415A9"/>
    <w:rsid w:val="0084249A"/>
    <w:rsid w:val="008424DD"/>
    <w:rsid w:val="00842856"/>
    <w:rsid w:val="00844AE3"/>
    <w:rsid w:val="00845515"/>
    <w:rsid w:val="00846569"/>
    <w:rsid w:val="00850423"/>
    <w:rsid w:val="00850929"/>
    <w:rsid w:val="00851A91"/>
    <w:rsid w:val="00851FAE"/>
    <w:rsid w:val="00852320"/>
    <w:rsid w:val="008526D5"/>
    <w:rsid w:val="00852B38"/>
    <w:rsid w:val="00852E76"/>
    <w:rsid w:val="00854394"/>
    <w:rsid w:val="008549BC"/>
    <w:rsid w:val="00854D8C"/>
    <w:rsid w:val="00854F41"/>
    <w:rsid w:val="00854F47"/>
    <w:rsid w:val="008560B0"/>
    <w:rsid w:val="00856243"/>
    <w:rsid w:val="0085626C"/>
    <w:rsid w:val="008570DD"/>
    <w:rsid w:val="008579BA"/>
    <w:rsid w:val="00860E19"/>
    <w:rsid w:val="00861095"/>
    <w:rsid w:val="0086133E"/>
    <w:rsid w:val="00861CD0"/>
    <w:rsid w:val="008621D0"/>
    <w:rsid w:val="008632E6"/>
    <w:rsid w:val="0086367A"/>
    <w:rsid w:val="008644AE"/>
    <w:rsid w:val="00864652"/>
    <w:rsid w:val="00865204"/>
    <w:rsid w:val="00865A60"/>
    <w:rsid w:val="008672D7"/>
    <w:rsid w:val="00870B91"/>
    <w:rsid w:val="00871568"/>
    <w:rsid w:val="008720F9"/>
    <w:rsid w:val="00872740"/>
    <w:rsid w:val="00872C18"/>
    <w:rsid w:val="00873E8D"/>
    <w:rsid w:val="008740AB"/>
    <w:rsid w:val="00874D9E"/>
    <w:rsid w:val="00875725"/>
    <w:rsid w:val="00875BA7"/>
    <w:rsid w:val="0087600F"/>
    <w:rsid w:val="0087609C"/>
    <w:rsid w:val="008762DB"/>
    <w:rsid w:val="00876999"/>
    <w:rsid w:val="00876E38"/>
    <w:rsid w:val="00877296"/>
    <w:rsid w:val="008778A1"/>
    <w:rsid w:val="00877B31"/>
    <w:rsid w:val="00877CB4"/>
    <w:rsid w:val="00877D6C"/>
    <w:rsid w:val="008807C2"/>
    <w:rsid w:val="00881604"/>
    <w:rsid w:val="008821C0"/>
    <w:rsid w:val="00882A6A"/>
    <w:rsid w:val="00883470"/>
    <w:rsid w:val="008834C2"/>
    <w:rsid w:val="0088428D"/>
    <w:rsid w:val="00884686"/>
    <w:rsid w:val="0088530C"/>
    <w:rsid w:val="00885DF9"/>
    <w:rsid w:val="00886DE6"/>
    <w:rsid w:val="008903AA"/>
    <w:rsid w:val="008904E5"/>
    <w:rsid w:val="008914EA"/>
    <w:rsid w:val="00891C8D"/>
    <w:rsid w:val="00891DA0"/>
    <w:rsid w:val="00891F31"/>
    <w:rsid w:val="0089298A"/>
    <w:rsid w:val="00893572"/>
    <w:rsid w:val="008943AD"/>
    <w:rsid w:val="008946F3"/>
    <w:rsid w:val="00894868"/>
    <w:rsid w:val="008948AA"/>
    <w:rsid w:val="00895896"/>
    <w:rsid w:val="008965E6"/>
    <w:rsid w:val="00896C9A"/>
    <w:rsid w:val="00897298"/>
    <w:rsid w:val="008975C3"/>
    <w:rsid w:val="008A0CB5"/>
    <w:rsid w:val="008A0DD6"/>
    <w:rsid w:val="008A0EFD"/>
    <w:rsid w:val="008A1120"/>
    <w:rsid w:val="008A1964"/>
    <w:rsid w:val="008A1C7E"/>
    <w:rsid w:val="008A1F27"/>
    <w:rsid w:val="008A2873"/>
    <w:rsid w:val="008A2BEB"/>
    <w:rsid w:val="008A32DE"/>
    <w:rsid w:val="008A3E42"/>
    <w:rsid w:val="008A4E09"/>
    <w:rsid w:val="008A4F55"/>
    <w:rsid w:val="008A5189"/>
    <w:rsid w:val="008A578A"/>
    <w:rsid w:val="008A5F2E"/>
    <w:rsid w:val="008A6064"/>
    <w:rsid w:val="008A61C0"/>
    <w:rsid w:val="008A696C"/>
    <w:rsid w:val="008A6AC6"/>
    <w:rsid w:val="008A6E80"/>
    <w:rsid w:val="008A7438"/>
    <w:rsid w:val="008A781F"/>
    <w:rsid w:val="008B0603"/>
    <w:rsid w:val="008B101F"/>
    <w:rsid w:val="008B12BA"/>
    <w:rsid w:val="008B181A"/>
    <w:rsid w:val="008B18AD"/>
    <w:rsid w:val="008B1C7B"/>
    <w:rsid w:val="008B2846"/>
    <w:rsid w:val="008B2D3B"/>
    <w:rsid w:val="008B2D4A"/>
    <w:rsid w:val="008B398D"/>
    <w:rsid w:val="008B3A6B"/>
    <w:rsid w:val="008B4089"/>
    <w:rsid w:val="008B4720"/>
    <w:rsid w:val="008B486E"/>
    <w:rsid w:val="008B5431"/>
    <w:rsid w:val="008B54A6"/>
    <w:rsid w:val="008B552C"/>
    <w:rsid w:val="008B5965"/>
    <w:rsid w:val="008B5B12"/>
    <w:rsid w:val="008B5BAF"/>
    <w:rsid w:val="008B6097"/>
    <w:rsid w:val="008B68A0"/>
    <w:rsid w:val="008B6A7C"/>
    <w:rsid w:val="008B7A7C"/>
    <w:rsid w:val="008B7E4C"/>
    <w:rsid w:val="008C00AC"/>
    <w:rsid w:val="008C0FD9"/>
    <w:rsid w:val="008C1C4A"/>
    <w:rsid w:val="008C1DC9"/>
    <w:rsid w:val="008C34A0"/>
    <w:rsid w:val="008C38DD"/>
    <w:rsid w:val="008C49C6"/>
    <w:rsid w:val="008C4C93"/>
    <w:rsid w:val="008C5596"/>
    <w:rsid w:val="008C5709"/>
    <w:rsid w:val="008C5F95"/>
    <w:rsid w:val="008C719C"/>
    <w:rsid w:val="008D0863"/>
    <w:rsid w:val="008D0896"/>
    <w:rsid w:val="008D13D0"/>
    <w:rsid w:val="008D21C9"/>
    <w:rsid w:val="008D227F"/>
    <w:rsid w:val="008D3862"/>
    <w:rsid w:val="008D487F"/>
    <w:rsid w:val="008D4952"/>
    <w:rsid w:val="008D4F83"/>
    <w:rsid w:val="008D6469"/>
    <w:rsid w:val="008D7D23"/>
    <w:rsid w:val="008E0538"/>
    <w:rsid w:val="008E1386"/>
    <w:rsid w:val="008E25F7"/>
    <w:rsid w:val="008E30F6"/>
    <w:rsid w:val="008E3B93"/>
    <w:rsid w:val="008E5D4C"/>
    <w:rsid w:val="008E607C"/>
    <w:rsid w:val="008E6854"/>
    <w:rsid w:val="008E778D"/>
    <w:rsid w:val="008E79C9"/>
    <w:rsid w:val="008F07ED"/>
    <w:rsid w:val="008F0971"/>
    <w:rsid w:val="008F1160"/>
    <w:rsid w:val="008F13C6"/>
    <w:rsid w:val="008F19E3"/>
    <w:rsid w:val="008F1A9C"/>
    <w:rsid w:val="008F1C15"/>
    <w:rsid w:val="008F2150"/>
    <w:rsid w:val="008F255B"/>
    <w:rsid w:val="008F3591"/>
    <w:rsid w:val="008F361B"/>
    <w:rsid w:val="008F37E0"/>
    <w:rsid w:val="008F428B"/>
    <w:rsid w:val="008F46D4"/>
    <w:rsid w:val="008F49B7"/>
    <w:rsid w:val="008F4FCF"/>
    <w:rsid w:val="008F52A8"/>
    <w:rsid w:val="008F5397"/>
    <w:rsid w:val="008F55A9"/>
    <w:rsid w:val="008F630B"/>
    <w:rsid w:val="008F69C8"/>
    <w:rsid w:val="008F6DD2"/>
    <w:rsid w:val="008F7470"/>
    <w:rsid w:val="008F77E6"/>
    <w:rsid w:val="008F7F8E"/>
    <w:rsid w:val="00900B27"/>
    <w:rsid w:val="00901019"/>
    <w:rsid w:val="009012D7"/>
    <w:rsid w:val="00901662"/>
    <w:rsid w:val="00902091"/>
    <w:rsid w:val="00902294"/>
    <w:rsid w:val="009023B5"/>
    <w:rsid w:val="00902408"/>
    <w:rsid w:val="00902A6F"/>
    <w:rsid w:val="009031CF"/>
    <w:rsid w:val="009037EA"/>
    <w:rsid w:val="00903E1F"/>
    <w:rsid w:val="00904440"/>
    <w:rsid w:val="009048CF"/>
    <w:rsid w:val="00904A1E"/>
    <w:rsid w:val="00904DA2"/>
    <w:rsid w:val="0090587B"/>
    <w:rsid w:val="009068D9"/>
    <w:rsid w:val="009070B8"/>
    <w:rsid w:val="00910BA7"/>
    <w:rsid w:val="00911076"/>
    <w:rsid w:val="0091117B"/>
    <w:rsid w:val="0091305E"/>
    <w:rsid w:val="009133DD"/>
    <w:rsid w:val="00914CE2"/>
    <w:rsid w:val="00914E4F"/>
    <w:rsid w:val="00915B6E"/>
    <w:rsid w:val="009171BE"/>
    <w:rsid w:val="0092019C"/>
    <w:rsid w:val="009202E3"/>
    <w:rsid w:val="0092030A"/>
    <w:rsid w:val="00920641"/>
    <w:rsid w:val="0092092B"/>
    <w:rsid w:val="00920FF1"/>
    <w:rsid w:val="009215F4"/>
    <w:rsid w:val="00921752"/>
    <w:rsid w:val="00921A7A"/>
    <w:rsid w:val="00921C5F"/>
    <w:rsid w:val="00922F6A"/>
    <w:rsid w:val="00923F0B"/>
    <w:rsid w:val="009242AD"/>
    <w:rsid w:val="009246B0"/>
    <w:rsid w:val="009259B1"/>
    <w:rsid w:val="0092697E"/>
    <w:rsid w:val="00926C92"/>
    <w:rsid w:val="009271C4"/>
    <w:rsid w:val="0092779C"/>
    <w:rsid w:val="009277C0"/>
    <w:rsid w:val="00927E55"/>
    <w:rsid w:val="00930261"/>
    <w:rsid w:val="009305EE"/>
    <w:rsid w:val="00931423"/>
    <w:rsid w:val="0093144C"/>
    <w:rsid w:val="00931672"/>
    <w:rsid w:val="009331DF"/>
    <w:rsid w:val="0093331C"/>
    <w:rsid w:val="00933F59"/>
    <w:rsid w:val="00933F64"/>
    <w:rsid w:val="00933FFF"/>
    <w:rsid w:val="009348E0"/>
    <w:rsid w:val="00935242"/>
    <w:rsid w:val="009355A8"/>
    <w:rsid w:val="009355AA"/>
    <w:rsid w:val="009359FB"/>
    <w:rsid w:val="00936051"/>
    <w:rsid w:val="00937B56"/>
    <w:rsid w:val="00937E69"/>
    <w:rsid w:val="009405D2"/>
    <w:rsid w:val="0094159F"/>
    <w:rsid w:val="009417E1"/>
    <w:rsid w:val="00941CE5"/>
    <w:rsid w:val="00941DAE"/>
    <w:rsid w:val="0094204D"/>
    <w:rsid w:val="0094443D"/>
    <w:rsid w:val="0094538D"/>
    <w:rsid w:val="00945BED"/>
    <w:rsid w:val="00945D1B"/>
    <w:rsid w:val="009460E0"/>
    <w:rsid w:val="00946A8E"/>
    <w:rsid w:val="009478F1"/>
    <w:rsid w:val="00947A95"/>
    <w:rsid w:val="009502E9"/>
    <w:rsid w:val="00950F67"/>
    <w:rsid w:val="00951964"/>
    <w:rsid w:val="00951C29"/>
    <w:rsid w:val="009537A9"/>
    <w:rsid w:val="00954104"/>
    <w:rsid w:val="00954240"/>
    <w:rsid w:val="009561C4"/>
    <w:rsid w:val="00960978"/>
    <w:rsid w:val="00961196"/>
    <w:rsid w:val="00961BF5"/>
    <w:rsid w:val="00961CC5"/>
    <w:rsid w:val="00961D95"/>
    <w:rsid w:val="00962AFE"/>
    <w:rsid w:val="009633FC"/>
    <w:rsid w:val="00963669"/>
    <w:rsid w:val="009636D2"/>
    <w:rsid w:val="00963A0F"/>
    <w:rsid w:val="00963C1A"/>
    <w:rsid w:val="009654E4"/>
    <w:rsid w:val="009657F9"/>
    <w:rsid w:val="00966BB9"/>
    <w:rsid w:val="00967030"/>
    <w:rsid w:val="00970808"/>
    <w:rsid w:val="0097087F"/>
    <w:rsid w:val="00970927"/>
    <w:rsid w:val="0097104A"/>
    <w:rsid w:val="0097115E"/>
    <w:rsid w:val="00971329"/>
    <w:rsid w:val="0097205E"/>
    <w:rsid w:val="00972362"/>
    <w:rsid w:val="009727F1"/>
    <w:rsid w:val="00972B03"/>
    <w:rsid w:val="009734EB"/>
    <w:rsid w:val="009740D0"/>
    <w:rsid w:val="00974148"/>
    <w:rsid w:val="00974C61"/>
    <w:rsid w:val="00974E8F"/>
    <w:rsid w:val="00975276"/>
    <w:rsid w:val="0097629B"/>
    <w:rsid w:val="009768E4"/>
    <w:rsid w:val="00976EE9"/>
    <w:rsid w:val="009771F8"/>
    <w:rsid w:val="00977371"/>
    <w:rsid w:val="009774A8"/>
    <w:rsid w:val="00977DB9"/>
    <w:rsid w:val="00977E79"/>
    <w:rsid w:val="0098068D"/>
    <w:rsid w:val="0098102F"/>
    <w:rsid w:val="00981445"/>
    <w:rsid w:val="00982373"/>
    <w:rsid w:val="00982A0C"/>
    <w:rsid w:val="00983A1D"/>
    <w:rsid w:val="00983EEB"/>
    <w:rsid w:val="0098637F"/>
    <w:rsid w:val="00986CA8"/>
    <w:rsid w:val="00986D9F"/>
    <w:rsid w:val="00986F5D"/>
    <w:rsid w:val="00987C82"/>
    <w:rsid w:val="00990340"/>
    <w:rsid w:val="009904F8"/>
    <w:rsid w:val="009920A0"/>
    <w:rsid w:val="00992729"/>
    <w:rsid w:val="009927BB"/>
    <w:rsid w:val="009929D3"/>
    <w:rsid w:val="00993A52"/>
    <w:rsid w:val="009940DA"/>
    <w:rsid w:val="00994E03"/>
    <w:rsid w:val="00994E1D"/>
    <w:rsid w:val="00995AD1"/>
    <w:rsid w:val="009965CF"/>
    <w:rsid w:val="00996848"/>
    <w:rsid w:val="0099718F"/>
    <w:rsid w:val="0099738C"/>
    <w:rsid w:val="00997D73"/>
    <w:rsid w:val="009A1807"/>
    <w:rsid w:val="009A1A7B"/>
    <w:rsid w:val="009A1FD3"/>
    <w:rsid w:val="009A24B2"/>
    <w:rsid w:val="009A32A4"/>
    <w:rsid w:val="009A38D7"/>
    <w:rsid w:val="009A4596"/>
    <w:rsid w:val="009A56BC"/>
    <w:rsid w:val="009A5A36"/>
    <w:rsid w:val="009A5B39"/>
    <w:rsid w:val="009A6CDA"/>
    <w:rsid w:val="009A6F07"/>
    <w:rsid w:val="009A77DE"/>
    <w:rsid w:val="009B057C"/>
    <w:rsid w:val="009B17AD"/>
    <w:rsid w:val="009B1877"/>
    <w:rsid w:val="009B1A14"/>
    <w:rsid w:val="009B1EBC"/>
    <w:rsid w:val="009B26D7"/>
    <w:rsid w:val="009B3C8B"/>
    <w:rsid w:val="009B3FE6"/>
    <w:rsid w:val="009B4AA0"/>
    <w:rsid w:val="009B5153"/>
    <w:rsid w:val="009B5ABF"/>
    <w:rsid w:val="009B6321"/>
    <w:rsid w:val="009B7830"/>
    <w:rsid w:val="009C07BD"/>
    <w:rsid w:val="009C08A8"/>
    <w:rsid w:val="009C0C8D"/>
    <w:rsid w:val="009C1130"/>
    <w:rsid w:val="009C1512"/>
    <w:rsid w:val="009C222C"/>
    <w:rsid w:val="009C23E2"/>
    <w:rsid w:val="009C248C"/>
    <w:rsid w:val="009C24CB"/>
    <w:rsid w:val="009C3073"/>
    <w:rsid w:val="009C31B0"/>
    <w:rsid w:val="009C3CE7"/>
    <w:rsid w:val="009C40B5"/>
    <w:rsid w:val="009C53A2"/>
    <w:rsid w:val="009C55CF"/>
    <w:rsid w:val="009C6ADF"/>
    <w:rsid w:val="009C6DD1"/>
    <w:rsid w:val="009C72C0"/>
    <w:rsid w:val="009C75C1"/>
    <w:rsid w:val="009C75E1"/>
    <w:rsid w:val="009C79E0"/>
    <w:rsid w:val="009C7CA3"/>
    <w:rsid w:val="009C7EFB"/>
    <w:rsid w:val="009D0510"/>
    <w:rsid w:val="009D06AF"/>
    <w:rsid w:val="009D09F5"/>
    <w:rsid w:val="009D0E99"/>
    <w:rsid w:val="009D1511"/>
    <w:rsid w:val="009D1AB4"/>
    <w:rsid w:val="009D37CF"/>
    <w:rsid w:val="009D4649"/>
    <w:rsid w:val="009D46D2"/>
    <w:rsid w:val="009D488A"/>
    <w:rsid w:val="009D53B5"/>
    <w:rsid w:val="009D57A8"/>
    <w:rsid w:val="009D6A24"/>
    <w:rsid w:val="009D76A5"/>
    <w:rsid w:val="009E006A"/>
    <w:rsid w:val="009E006F"/>
    <w:rsid w:val="009E0DAE"/>
    <w:rsid w:val="009E1D86"/>
    <w:rsid w:val="009E1E4E"/>
    <w:rsid w:val="009E1EF4"/>
    <w:rsid w:val="009E23AB"/>
    <w:rsid w:val="009E3F0D"/>
    <w:rsid w:val="009E6592"/>
    <w:rsid w:val="009E692D"/>
    <w:rsid w:val="009E70F3"/>
    <w:rsid w:val="009F0CF3"/>
    <w:rsid w:val="009F280A"/>
    <w:rsid w:val="009F34E8"/>
    <w:rsid w:val="009F4B87"/>
    <w:rsid w:val="009F594B"/>
    <w:rsid w:val="009F5A33"/>
    <w:rsid w:val="009F6858"/>
    <w:rsid w:val="009F6B4D"/>
    <w:rsid w:val="009F6BBC"/>
    <w:rsid w:val="009F6D11"/>
    <w:rsid w:val="009F6E3C"/>
    <w:rsid w:val="009F7341"/>
    <w:rsid w:val="009F7820"/>
    <w:rsid w:val="009F7CB1"/>
    <w:rsid w:val="009F7FB9"/>
    <w:rsid w:val="00A000BC"/>
    <w:rsid w:val="00A00402"/>
    <w:rsid w:val="00A00653"/>
    <w:rsid w:val="00A00D81"/>
    <w:rsid w:val="00A00FD6"/>
    <w:rsid w:val="00A01FAF"/>
    <w:rsid w:val="00A0250B"/>
    <w:rsid w:val="00A03265"/>
    <w:rsid w:val="00A03F59"/>
    <w:rsid w:val="00A04AC2"/>
    <w:rsid w:val="00A04E4B"/>
    <w:rsid w:val="00A052EA"/>
    <w:rsid w:val="00A0594A"/>
    <w:rsid w:val="00A06F05"/>
    <w:rsid w:val="00A07606"/>
    <w:rsid w:val="00A07A9D"/>
    <w:rsid w:val="00A07B7F"/>
    <w:rsid w:val="00A10107"/>
    <w:rsid w:val="00A12240"/>
    <w:rsid w:val="00A12A4A"/>
    <w:rsid w:val="00A12BCA"/>
    <w:rsid w:val="00A12FE8"/>
    <w:rsid w:val="00A137D5"/>
    <w:rsid w:val="00A13859"/>
    <w:rsid w:val="00A13E4A"/>
    <w:rsid w:val="00A13F60"/>
    <w:rsid w:val="00A14079"/>
    <w:rsid w:val="00A143E8"/>
    <w:rsid w:val="00A15BB1"/>
    <w:rsid w:val="00A1614E"/>
    <w:rsid w:val="00A16541"/>
    <w:rsid w:val="00A16EED"/>
    <w:rsid w:val="00A2035B"/>
    <w:rsid w:val="00A20B16"/>
    <w:rsid w:val="00A21113"/>
    <w:rsid w:val="00A21698"/>
    <w:rsid w:val="00A219D7"/>
    <w:rsid w:val="00A21A04"/>
    <w:rsid w:val="00A22D15"/>
    <w:rsid w:val="00A23A6B"/>
    <w:rsid w:val="00A23C0A"/>
    <w:rsid w:val="00A24342"/>
    <w:rsid w:val="00A24582"/>
    <w:rsid w:val="00A24C5F"/>
    <w:rsid w:val="00A26F7C"/>
    <w:rsid w:val="00A27712"/>
    <w:rsid w:val="00A278B4"/>
    <w:rsid w:val="00A31156"/>
    <w:rsid w:val="00A311D7"/>
    <w:rsid w:val="00A32974"/>
    <w:rsid w:val="00A32A9E"/>
    <w:rsid w:val="00A32FA2"/>
    <w:rsid w:val="00A3442A"/>
    <w:rsid w:val="00A34670"/>
    <w:rsid w:val="00A34732"/>
    <w:rsid w:val="00A34C85"/>
    <w:rsid w:val="00A3548F"/>
    <w:rsid w:val="00A368AF"/>
    <w:rsid w:val="00A36B23"/>
    <w:rsid w:val="00A36EFB"/>
    <w:rsid w:val="00A3734C"/>
    <w:rsid w:val="00A37C61"/>
    <w:rsid w:val="00A400B8"/>
    <w:rsid w:val="00A4025E"/>
    <w:rsid w:val="00A40978"/>
    <w:rsid w:val="00A40E8E"/>
    <w:rsid w:val="00A41A2D"/>
    <w:rsid w:val="00A42159"/>
    <w:rsid w:val="00A424E8"/>
    <w:rsid w:val="00A43DF6"/>
    <w:rsid w:val="00A441BF"/>
    <w:rsid w:val="00A45694"/>
    <w:rsid w:val="00A46010"/>
    <w:rsid w:val="00A4624C"/>
    <w:rsid w:val="00A4661D"/>
    <w:rsid w:val="00A46C9C"/>
    <w:rsid w:val="00A47196"/>
    <w:rsid w:val="00A4725F"/>
    <w:rsid w:val="00A47ED2"/>
    <w:rsid w:val="00A5031A"/>
    <w:rsid w:val="00A50491"/>
    <w:rsid w:val="00A5069C"/>
    <w:rsid w:val="00A5096C"/>
    <w:rsid w:val="00A50EEB"/>
    <w:rsid w:val="00A53727"/>
    <w:rsid w:val="00A55008"/>
    <w:rsid w:val="00A55D6A"/>
    <w:rsid w:val="00A56B35"/>
    <w:rsid w:val="00A57A90"/>
    <w:rsid w:val="00A60B15"/>
    <w:rsid w:val="00A60FA4"/>
    <w:rsid w:val="00A61481"/>
    <w:rsid w:val="00A6159D"/>
    <w:rsid w:val="00A61A22"/>
    <w:rsid w:val="00A62003"/>
    <w:rsid w:val="00A639B1"/>
    <w:rsid w:val="00A639BA"/>
    <w:rsid w:val="00A64095"/>
    <w:rsid w:val="00A647F2"/>
    <w:rsid w:val="00A64991"/>
    <w:rsid w:val="00A650AE"/>
    <w:rsid w:val="00A65114"/>
    <w:rsid w:val="00A65B0E"/>
    <w:rsid w:val="00A65DE4"/>
    <w:rsid w:val="00A65E6D"/>
    <w:rsid w:val="00A6689C"/>
    <w:rsid w:val="00A668A8"/>
    <w:rsid w:val="00A66A0B"/>
    <w:rsid w:val="00A66B39"/>
    <w:rsid w:val="00A66DF4"/>
    <w:rsid w:val="00A673C1"/>
    <w:rsid w:val="00A700C0"/>
    <w:rsid w:val="00A702E9"/>
    <w:rsid w:val="00A70342"/>
    <w:rsid w:val="00A7040D"/>
    <w:rsid w:val="00A705BB"/>
    <w:rsid w:val="00A70C4B"/>
    <w:rsid w:val="00A70C84"/>
    <w:rsid w:val="00A710F3"/>
    <w:rsid w:val="00A7201F"/>
    <w:rsid w:val="00A72049"/>
    <w:rsid w:val="00A72591"/>
    <w:rsid w:val="00A7286E"/>
    <w:rsid w:val="00A72BC4"/>
    <w:rsid w:val="00A72C68"/>
    <w:rsid w:val="00A72CC4"/>
    <w:rsid w:val="00A73CCD"/>
    <w:rsid w:val="00A751EE"/>
    <w:rsid w:val="00A760E8"/>
    <w:rsid w:val="00A76C6F"/>
    <w:rsid w:val="00A772A8"/>
    <w:rsid w:val="00A8020B"/>
    <w:rsid w:val="00A803D0"/>
    <w:rsid w:val="00A80D66"/>
    <w:rsid w:val="00A81848"/>
    <w:rsid w:val="00A8184F"/>
    <w:rsid w:val="00A818C7"/>
    <w:rsid w:val="00A8201A"/>
    <w:rsid w:val="00A82758"/>
    <w:rsid w:val="00A82AD3"/>
    <w:rsid w:val="00A86836"/>
    <w:rsid w:val="00A86A91"/>
    <w:rsid w:val="00A879F1"/>
    <w:rsid w:val="00A87B08"/>
    <w:rsid w:val="00A9092A"/>
    <w:rsid w:val="00A910A4"/>
    <w:rsid w:val="00A91376"/>
    <w:rsid w:val="00A91858"/>
    <w:rsid w:val="00A91F3B"/>
    <w:rsid w:val="00A92202"/>
    <w:rsid w:val="00A9317A"/>
    <w:rsid w:val="00A93963"/>
    <w:rsid w:val="00A95D92"/>
    <w:rsid w:val="00A9736A"/>
    <w:rsid w:val="00A97AD1"/>
    <w:rsid w:val="00AA0AB2"/>
    <w:rsid w:val="00AA1185"/>
    <w:rsid w:val="00AA154D"/>
    <w:rsid w:val="00AA1775"/>
    <w:rsid w:val="00AA1CCD"/>
    <w:rsid w:val="00AA1F13"/>
    <w:rsid w:val="00AA4979"/>
    <w:rsid w:val="00AA4EFC"/>
    <w:rsid w:val="00AA57E8"/>
    <w:rsid w:val="00AA5FBF"/>
    <w:rsid w:val="00AA663B"/>
    <w:rsid w:val="00AA693B"/>
    <w:rsid w:val="00AA6FBB"/>
    <w:rsid w:val="00AA745A"/>
    <w:rsid w:val="00AB09D8"/>
    <w:rsid w:val="00AB0A51"/>
    <w:rsid w:val="00AB11A3"/>
    <w:rsid w:val="00AB13E3"/>
    <w:rsid w:val="00AB1C3B"/>
    <w:rsid w:val="00AB21AC"/>
    <w:rsid w:val="00AB4513"/>
    <w:rsid w:val="00AB530F"/>
    <w:rsid w:val="00AB5C7A"/>
    <w:rsid w:val="00AB6112"/>
    <w:rsid w:val="00AB65A8"/>
    <w:rsid w:val="00AB6A48"/>
    <w:rsid w:val="00AB6D07"/>
    <w:rsid w:val="00AB73AD"/>
    <w:rsid w:val="00AB7F47"/>
    <w:rsid w:val="00AC021F"/>
    <w:rsid w:val="00AC057F"/>
    <w:rsid w:val="00AC14A0"/>
    <w:rsid w:val="00AC2427"/>
    <w:rsid w:val="00AC2CB7"/>
    <w:rsid w:val="00AC3528"/>
    <w:rsid w:val="00AC388E"/>
    <w:rsid w:val="00AC4FCE"/>
    <w:rsid w:val="00AC500D"/>
    <w:rsid w:val="00AC55F0"/>
    <w:rsid w:val="00AC583E"/>
    <w:rsid w:val="00AC5FE3"/>
    <w:rsid w:val="00AC6D78"/>
    <w:rsid w:val="00AC726B"/>
    <w:rsid w:val="00AC7400"/>
    <w:rsid w:val="00AC7AF2"/>
    <w:rsid w:val="00AC7BB8"/>
    <w:rsid w:val="00AD097E"/>
    <w:rsid w:val="00AD09CF"/>
    <w:rsid w:val="00AD1026"/>
    <w:rsid w:val="00AD153F"/>
    <w:rsid w:val="00AD1A7C"/>
    <w:rsid w:val="00AD1AB7"/>
    <w:rsid w:val="00AD1BD5"/>
    <w:rsid w:val="00AD20A3"/>
    <w:rsid w:val="00AD2680"/>
    <w:rsid w:val="00AD29A6"/>
    <w:rsid w:val="00AD2F88"/>
    <w:rsid w:val="00AD3C33"/>
    <w:rsid w:val="00AD4367"/>
    <w:rsid w:val="00AD4706"/>
    <w:rsid w:val="00AD488E"/>
    <w:rsid w:val="00AD4932"/>
    <w:rsid w:val="00AD5C29"/>
    <w:rsid w:val="00AD695A"/>
    <w:rsid w:val="00AD6B00"/>
    <w:rsid w:val="00AD6F36"/>
    <w:rsid w:val="00AD7200"/>
    <w:rsid w:val="00AD7506"/>
    <w:rsid w:val="00AD7C3F"/>
    <w:rsid w:val="00AD7F24"/>
    <w:rsid w:val="00AE031A"/>
    <w:rsid w:val="00AE04B6"/>
    <w:rsid w:val="00AE2247"/>
    <w:rsid w:val="00AE39F0"/>
    <w:rsid w:val="00AE3ABA"/>
    <w:rsid w:val="00AE3B4E"/>
    <w:rsid w:val="00AE3C7F"/>
    <w:rsid w:val="00AE412A"/>
    <w:rsid w:val="00AE44E0"/>
    <w:rsid w:val="00AE4E7E"/>
    <w:rsid w:val="00AE4FEE"/>
    <w:rsid w:val="00AE6019"/>
    <w:rsid w:val="00AE6C7D"/>
    <w:rsid w:val="00AE79E7"/>
    <w:rsid w:val="00AF0D24"/>
    <w:rsid w:val="00AF1153"/>
    <w:rsid w:val="00AF12BE"/>
    <w:rsid w:val="00AF1B0E"/>
    <w:rsid w:val="00AF1B75"/>
    <w:rsid w:val="00AF1D0B"/>
    <w:rsid w:val="00AF221D"/>
    <w:rsid w:val="00AF24A8"/>
    <w:rsid w:val="00AF2EDA"/>
    <w:rsid w:val="00AF32E5"/>
    <w:rsid w:val="00AF3625"/>
    <w:rsid w:val="00AF3F6D"/>
    <w:rsid w:val="00AF41C4"/>
    <w:rsid w:val="00AF446D"/>
    <w:rsid w:val="00AF5241"/>
    <w:rsid w:val="00AF5501"/>
    <w:rsid w:val="00AF59B9"/>
    <w:rsid w:val="00AF60E4"/>
    <w:rsid w:val="00AF6BCC"/>
    <w:rsid w:val="00AF73C3"/>
    <w:rsid w:val="00AF7CCD"/>
    <w:rsid w:val="00B00074"/>
    <w:rsid w:val="00B0060B"/>
    <w:rsid w:val="00B011E9"/>
    <w:rsid w:val="00B01C7E"/>
    <w:rsid w:val="00B01DBD"/>
    <w:rsid w:val="00B032BE"/>
    <w:rsid w:val="00B035D4"/>
    <w:rsid w:val="00B03E91"/>
    <w:rsid w:val="00B06E46"/>
    <w:rsid w:val="00B07A26"/>
    <w:rsid w:val="00B07FDB"/>
    <w:rsid w:val="00B110C0"/>
    <w:rsid w:val="00B11451"/>
    <w:rsid w:val="00B137BF"/>
    <w:rsid w:val="00B1391D"/>
    <w:rsid w:val="00B14138"/>
    <w:rsid w:val="00B142F8"/>
    <w:rsid w:val="00B15225"/>
    <w:rsid w:val="00B1564F"/>
    <w:rsid w:val="00B15F22"/>
    <w:rsid w:val="00B167C1"/>
    <w:rsid w:val="00B16857"/>
    <w:rsid w:val="00B17381"/>
    <w:rsid w:val="00B1739C"/>
    <w:rsid w:val="00B17FFE"/>
    <w:rsid w:val="00B201CC"/>
    <w:rsid w:val="00B2024F"/>
    <w:rsid w:val="00B20539"/>
    <w:rsid w:val="00B20D2B"/>
    <w:rsid w:val="00B20D68"/>
    <w:rsid w:val="00B21217"/>
    <w:rsid w:val="00B2165E"/>
    <w:rsid w:val="00B21D33"/>
    <w:rsid w:val="00B21F29"/>
    <w:rsid w:val="00B22BD4"/>
    <w:rsid w:val="00B2345B"/>
    <w:rsid w:val="00B23499"/>
    <w:rsid w:val="00B2380C"/>
    <w:rsid w:val="00B23FC4"/>
    <w:rsid w:val="00B241C6"/>
    <w:rsid w:val="00B243F2"/>
    <w:rsid w:val="00B24886"/>
    <w:rsid w:val="00B24965"/>
    <w:rsid w:val="00B255A9"/>
    <w:rsid w:val="00B2693A"/>
    <w:rsid w:val="00B27B54"/>
    <w:rsid w:val="00B27E1E"/>
    <w:rsid w:val="00B30470"/>
    <w:rsid w:val="00B3083E"/>
    <w:rsid w:val="00B3145D"/>
    <w:rsid w:val="00B31851"/>
    <w:rsid w:val="00B31C84"/>
    <w:rsid w:val="00B3216D"/>
    <w:rsid w:val="00B32AFE"/>
    <w:rsid w:val="00B32E6A"/>
    <w:rsid w:val="00B32EAB"/>
    <w:rsid w:val="00B33B62"/>
    <w:rsid w:val="00B33EC1"/>
    <w:rsid w:val="00B3661A"/>
    <w:rsid w:val="00B3722F"/>
    <w:rsid w:val="00B40898"/>
    <w:rsid w:val="00B41052"/>
    <w:rsid w:val="00B410D7"/>
    <w:rsid w:val="00B43905"/>
    <w:rsid w:val="00B44075"/>
    <w:rsid w:val="00B44B37"/>
    <w:rsid w:val="00B44F17"/>
    <w:rsid w:val="00B467A2"/>
    <w:rsid w:val="00B46DD2"/>
    <w:rsid w:val="00B46ED4"/>
    <w:rsid w:val="00B46FC3"/>
    <w:rsid w:val="00B4724C"/>
    <w:rsid w:val="00B47731"/>
    <w:rsid w:val="00B47CA3"/>
    <w:rsid w:val="00B51AB0"/>
    <w:rsid w:val="00B52CBF"/>
    <w:rsid w:val="00B52D45"/>
    <w:rsid w:val="00B53042"/>
    <w:rsid w:val="00B54DE0"/>
    <w:rsid w:val="00B55425"/>
    <w:rsid w:val="00B55839"/>
    <w:rsid w:val="00B558B4"/>
    <w:rsid w:val="00B5672A"/>
    <w:rsid w:val="00B572FB"/>
    <w:rsid w:val="00B579C6"/>
    <w:rsid w:val="00B60274"/>
    <w:rsid w:val="00B6034B"/>
    <w:rsid w:val="00B603DD"/>
    <w:rsid w:val="00B62548"/>
    <w:rsid w:val="00B62FC5"/>
    <w:rsid w:val="00B63101"/>
    <w:rsid w:val="00B63E3A"/>
    <w:rsid w:val="00B64F26"/>
    <w:rsid w:val="00B64F9F"/>
    <w:rsid w:val="00B653EA"/>
    <w:rsid w:val="00B663C4"/>
    <w:rsid w:val="00B66BAB"/>
    <w:rsid w:val="00B6767E"/>
    <w:rsid w:val="00B67733"/>
    <w:rsid w:val="00B717DE"/>
    <w:rsid w:val="00B7186F"/>
    <w:rsid w:val="00B719EA"/>
    <w:rsid w:val="00B72CE2"/>
    <w:rsid w:val="00B737ED"/>
    <w:rsid w:val="00B7406B"/>
    <w:rsid w:val="00B74FF3"/>
    <w:rsid w:val="00B75E52"/>
    <w:rsid w:val="00B76348"/>
    <w:rsid w:val="00B7651E"/>
    <w:rsid w:val="00B76C05"/>
    <w:rsid w:val="00B77764"/>
    <w:rsid w:val="00B77D8D"/>
    <w:rsid w:val="00B809E0"/>
    <w:rsid w:val="00B810E3"/>
    <w:rsid w:val="00B81393"/>
    <w:rsid w:val="00B81672"/>
    <w:rsid w:val="00B818ED"/>
    <w:rsid w:val="00B81C3C"/>
    <w:rsid w:val="00B8283A"/>
    <w:rsid w:val="00B82FDD"/>
    <w:rsid w:val="00B83644"/>
    <w:rsid w:val="00B84232"/>
    <w:rsid w:val="00B84598"/>
    <w:rsid w:val="00B846C5"/>
    <w:rsid w:val="00B85083"/>
    <w:rsid w:val="00B854AA"/>
    <w:rsid w:val="00B85ED4"/>
    <w:rsid w:val="00B86FF6"/>
    <w:rsid w:val="00B871BA"/>
    <w:rsid w:val="00B872A8"/>
    <w:rsid w:val="00B913F0"/>
    <w:rsid w:val="00B91726"/>
    <w:rsid w:val="00B924FC"/>
    <w:rsid w:val="00B92B24"/>
    <w:rsid w:val="00B935EF"/>
    <w:rsid w:val="00B93673"/>
    <w:rsid w:val="00B93A7E"/>
    <w:rsid w:val="00B93C09"/>
    <w:rsid w:val="00B947B0"/>
    <w:rsid w:val="00B94FAD"/>
    <w:rsid w:val="00B96E28"/>
    <w:rsid w:val="00B970DD"/>
    <w:rsid w:val="00BA048B"/>
    <w:rsid w:val="00BA091A"/>
    <w:rsid w:val="00BA0997"/>
    <w:rsid w:val="00BA0B06"/>
    <w:rsid w:val="00BA15F9"/>
    <w:rsid w:val="00BA1641"/>
    <w:rsid w:val="00BA1F4A"/>
    <w:rsid w:val="00BA3740"/>
    <w:rsid w:val="00BA3E81"/>
    <w:rsid w:val="00BA418B"/>
    <w:rsid w:val="00BA6432"/>
    <w:rsid w:val="00BA69D9"/>
    <w:rsid w:val="00BA6A6E"/>
    <w:rsid w:val="00BA70FB"/>
    <w:rsid w:val="00BA7688"/>
    <w:rsid w:val="00BA77E8"/>
    <w:rsid w:val="00BA7B73"/>
    <w:rsid w:val="00BB045D"/>
    <w:rsid w:val="00BB053F"/>
    <w:rsid w:val="00BB07E7"/>
    <w:rsid w:val="00BB1058"/>
    <w:rsid w:val="00BB110F"/>
    <w:rsid w:val="00BB11C0"/>
    <w:rsid w:val="00BB2333"/>
    <w:rsid w:val="00BB303C"/>
    <w:rsid w:val="00BB3C6C"/>
    <w:rsid w:val="00BB3E83"/>
    <w:rsid w:val="00BB46AD"/>
    <w:rsid w:val="00BB46F8"/>
    <w:rsid w:val="00BB57BC"/>
    <w:rsid w:val="00BB5C0D"/>
    <w:rsid w:val="00BB74B5"/>
    <w:rsid w:val="00BB7A34"/>
    <w:rsid w:val="00BB7CBD"/>
    <w:rsid w:val="00BC2E33"/>
    <w:rsid w:val="00BC3EB1"/>
    <w:rsid w:val="00BC4D80"/>
    <w:rsid w:val="00BC4F6C"/>
    <w:rsid w:val="00BC59DD"/>
    <w:rsid w:val="00BC5B6C"/>
    <w:rsid w:val="00BC753F"/>
    <w:rsid w:val="00BC778E"/>
    <w:rsid w:val="00BD09CB"/>
    <w:rsid w:val="00BD10D2"/>
    <w:rsid w:val="00BD1AB5"/>
    <w:rsid w:val="00BD222A"/>
    <w:rsid w:val="00BD229A"/>
    <w:rsid w:val="00BD28F6"/>
    <w:rsid w:val="00BD370D"/>
    <w:rsid w:val="00BD3C66"/>
    <w:rsid w:val="00BD4353"/>
    <w:rsid w:val="00BD4BBA"/>
    <w:rsid w:val="00BD5733"/>
    <w:rsid w:val="00BE04B2"/>
    <w:rsid w:val="00BE12EA"/>
    <w:rsid w:val="00BE19AD"/>
    <w:rsid w:val="00BE1BE0"/>
    <w:rsid w:val="00BE30F2"/>
    <w:rsid w:val="00BE3CCE"/>
    <w:rsid w:val="00BE3D3C"/>
    <w:rsid w:val="00BE4307"/>
    <w:rsid w:val="00BE4384"/>
    <w:rsid w:val="00BE46E1"/>
    <w:rsid w:val="00BE4E40"/>
    <w:rsid w:val="00BE4FD8"/>
    <w:rsid w:val="00BE576D"/>
    <w:rsid w:val="00BE5908"/>
    <w:rsid w:val="00BE5FB7"/>
    <w:rsid w:val="00BE69C1"/>
    <w:rsid w:val="00BE6F16"/>
    <w:rsid w:val="00BE7671"/>
    <w:rsid w:val="00BE7676"/>
    <w:rsid w:val="00BE7AE9"/>
    <w:rsid w:val="00BE7E74"/>
    <w:rsid w:val="00BF0B77"/>
    <w:rsid w:val="00BF0D4F"/>
    <w:rsid w:val="00BF1048"/>
    <w:rsid w:val="00BF113C"/>
    <w:rsid w:val="00BF203C"/>
    <w:rsid w:val="00BF2F40"/>
    <w:rsid w:val="00BF3EAD"/>
    <w:rsid w:val="00BF4886"/>
    <w:rsid w:val="00BF49D3"/>
    <w:rsid w:val="00BF5444"/>
    <w:rsid w:val="00BF5521"/>
    <w:rsid w:val="00BF6140"/>
    <w:rsid w:val="00BF6192"/>
    <w:rsid w:val="00BF68D4"/>
    <w:rsid w:val="00BF6E97"/>
    <w:rsid w:val="00BF7BFD"/>
    <w:rsid w:val="00BF7FBB"/>
    <w:rsid w:val="00C0047A"/>
    <w:rsid w:val="00C00705"/>
    <w:rsid w:val="00C00820"/>
    <w:rsid w:val="00C01058"/>
    <w:rsid w:val="00C02394"/>
    <w:rsid w:val="00C02701"/>
    <w:rsid w:val="00C03752"/>
    <w:rsid w:val="00C044E4"/>
    <w:rsid w:val="00C054A0"/>
    <w:rsid w:val="00C05A9F"/>
    <w:rsid w:val="00C06931"/>
    <w:rsid w:val="00C06BAC"/>
    <w:rsid w:val="00C07D27"/>
    <w:rsid w:val="00C10CC2"/>
    <w:rsid w:val="00C11C07"/>
    <w:rsid w:val="00C1240B"/>
    <w:rsid w:val="00C1255E"/>
    <w:rsid w:val="00C12E1B"/>
    <w:rsid w:val="00C133C1"/>
    <w:rsid w:val="00C135CC"/>
    <w:rsid w:val="00C13CD8"/>
    <w:rsid w:val="00C143D9"/>
    <w:rsid w:val="00C15BCA"/>
    <w:rsid w:val="00C16302"/>
    <w:rsid w:val="00C16E05"/>
    <w:rsid w:val="00C16F24"/>
    <w:rsid w:val="00C17031"/>
    <w:rsid w:val="00C172EB"/>
    <w:rsid w:val="00C175A9"/>
    <w:rsid w:val="00C17BF2"/>
    <w:rsid w:val="00C17FA5"/>
    <w:rsid w:val="00C20214"/>
    <w:rsid w:val="00C2073D"/>
    <w:rsid w:val="00C20A5A"/>
    <w:rsid w:val="00C20D97"/>
    <w:rsid w:val="00C21781"/>
    <w:rsid w:val="00C22084"/>
    <w:rsid w:val="00C2280F"/>
    <w:rsid w:val="00C22B3A"/>
    <w:rsid w:val="00C22FDB"/>
    <w:rsid w:val="00C23BD6"/>
    <w:rsid w:val="00C24885"/>
    <w:rsid w:val="00C24B01"/>
    <w:rsid w:val="00C24DED"/>
    <w:rsid w:val="00C24FE3"/>
    <w:rsid w:val="00C2562C"/>
    <w:rsid w:val="00C2641B"/>
    <w:rsid w:val="00C2663F"/>
    <w:rsid w:val="00C30391"/>
    <w:rsid w:val="00C303B4"/>
    <w:rsid w:val="00C3200D"/>
    <w:rsid w:val="00C32AAD"/>
    <w:rsid w:val="00C33A37"/>
    <w:rsid w:val="00C33D19"/>
    <w:rsid w:val="00C34391"/>
    <w:rsid w:val="00C34420"/>
    <w:rsid w:val="00C34AB8"/>
    <w:rsid w:val="00C35C2F"/>
    <w:rsid w:val="00C36996"/>
    <w:rsid w:val="00C40002"/>
    <w:rsid w:val="00C40131"/>
    <w:rsid w:val="00C40B3A"/>
    <w:rsid w:val="00C40C8D"/>
    <w:rsid w:val="00C40CFF"/>
    <w:rsid w:val="00C41384"/>
    <w:rsid w:val="00C4193B"/>
    <w:rsid w:val="00C42556"/>
    <w:rsid w:val="00C43CB8"/>
    <w:rsid w:val="00C445BB"/>
    <w:rsid w:val="00C455D3"/>
    <w:rsid w:val="00C455DE"/>
    <w:rsid w:val="00C45731"/>
    <w:rsid w:val="00C45A65"/>
    <w:rsid w:val="00C4613B"/>
    <w:rsid w:val="00C462A3"/>
    <w:rsid w:val="00C46319"/>
    <w:rsid w:val="00C46717"/>
    <w:rsid w:val="00C4748F"/>
    <w:rsid w:val="00C47B37"/>
    <w:rsid w:val="00C50507"/>
    <w:rsid w:val="00C505BD"/>
    <w:rsid w:val="00C506A8"/>
    <w:rsid w:val="00C506FF"/>
    <w:rsid w:val="00C515C5"/>
    <w:rsid w:val="00C51B61"/>
    <w:rsid w:val="00C52CE7"/>
    <w:rsid w:val="00C52DDB"/>
    <w:rsid w:val="00C531D4"/>
    <w:rsid w:val="00C535F5"/>
    <w:rsid w:val="00C53715"/>
    <w:rsid w:val="00C53C14"/>
    <w:rsid w:val="00C5454F"/>
    <w:rsid w:val="00C54C5F"/>
    <w:rsid w:val="00C5553F"/>
    <w:rsid w:val="00C5590C"/>
    <w:rsid w:val="00C55CA4"/>
    <w:rsid w:val="00C56BA1"/>
    <w:rsid w:val="00C605D1"/>
    <w:rsid w:val="00C6225F"/>
    <w:rsid w:val="00C629D8"/>
    <w:rsid w:val="00C62AEB"/>
    <w:rsid w:val="00C63A77"/>
    <w:rsid w:val="00C63BDA"/>
    <w:rsid w:val="00C6455B"/>
    <w:rsid w:val="00C64B5E"/>
    <w:rsid w:val="00C64EFD"/>
    <w:rsid w:val="00C64F8A"/>
    <w:rsid w:val="00C66D77"/>
    <w:rsid w:val="00C67D0C"/>
    <w:rsid w:val="00C705DA"/>
    <w:rsid w:val="00C70DCA"/>
    <w:rsid w:val="00C70F01"/>
    <w:rsid w:val="00C71D78"/>
    <w:rsid w:val="00C72511"/>
    <w:rsid w:val="00C72C91"/>
    <w:rsid w:val="00C74609"/>
    <w:rsid w:val="00C76701"/>
    <w:rsid w:val="00C76A87"/>
    <w:rsid w:val="00C8092F"/>
    <w:rsid w:val="00C809C0"/>
    <w:rsid w:val="00C80DBC"/>
    <w:rsid w:val="00C810F3"/>
    <w:rsid w:val="00C8126C"/>
    <w:rsid w:val="00C81531"/>
    <w:rsid w:val="00C81717"/>
    <w:rsid w:val="00C8178F"/>
    <w:rsid w:val="00C824B2"/>
    <w:rsid w:val="00C83954"/>
    <w:rsid w:val="00C83BDB"/>
    <w:rsid w:val="00C854D9"/>
    <w:rsid w:val="00C85786"/>
    <w:rsid w:val="00C85CD7"/>
    <w:rsid w:val="00C860E6"/>
    <w:rsid w:val="00C878C5"/>
    <w:rsid w:val="00C903E3"/>
    <w:rsid w:val="00C9086F"/>
    <w:rsid w:val="00C90FF9"/>
    <w:rsid w:val="00C91C94"/>
    <w:rsid w:val="00C92793"/>
    <w:rsid w:val="00C9301D"/>
    <w:rsid w:val="00C9343D"/>
    <w:rsid w:val="00C93E20"/>
    <w:rsid w:val="00C94605"/>
    <w:rsid w:val="00C947AB"/>
    <w:rsid w:val="00C951EB"/>
    <w:rsid w:val="00C953FF"/>
    <w:rsid w:val="00C95B16"/>
    <w:rsid w:val="00C9603A"/>
    <w:rsid w:val="00C96772"/>
    <w:rsid w:val="00C97359"/>
    <w:rsid w:val="00CA01C9"/>
    <w:rsid w:val="00CA0434"/>
    <w:rsid w:val="00CA1709"/>
    <w:rsid w:val="00CA1A89"/>
    <w:rsid w:val="00CA328B"/>
    <w:rsid w:val="00CA44D7"/>
    <w:rsid w:val="00CA486C"/>
    <w:rsid w:val="00CA537E"/>
    <w:rsid w:val="00CA552E"/>
    <w:rsid w:val="00CA5732"/>
    <w:rsid w:val="00CA5C5C"/>
    <w:rsid w:val="00CA62EC"/>
    <w:rsid w:val="00CA7905"/>
    <w:rsid w:val="00CA7CCE"/>
    <w:rsid w:val="00CB01AA"/>
    <w:rsid w:val="00CB112D"/>
    <w:rsid w:val="00CB117E"/>
    <w:rsid w:val="00CB11BA"/>
    <w:rsid w:val="00CB14C0"/>
    <w:rsid w:val="00CB1BD1"/>
    <w:rsid w:val="00CB372E"/>
    <w:rsid w:val="00CB3E70"/>
    <w:rsid w:val="00CB3F0E"/>
    <w:rsid w:val="00CB48FB"/>
    <w:rsid w:val="00CB4E99"/>
    <w:rsid w:val="00CB5217"/>
    <w:rsid w:val="00CB622E"/>
    <w:rsid w:val="00CB6980"/>
    <w:rsid w:val="00CB6BAB"/>
    <w:rsid w:val="00CB7483"/>
    <w:rsid w:val="00CC00FB"/>
    <w:rsid w:val="00CC07E8"/>
    <w:rsid w:val="00CC0CB8"/>
    <w:rsid w:val="00CC191B"/>
    <w:rsid w:val="00CC2016"/>
    <w:rsid w:val="00CC27E1"/>
    <w:rsid w:val="00CC34E6"/>
    <w:rsid w:val="00CC3608"/>
    <w:rsid w:val="00CC435E"/>
    <w:rsid w:val="00CC542E"/>
    <w:rsid w:val="00CC5A6A"/>
    <w:rsid w:val="00CC5C22"/>
    <w:rsid w:val="00CC6658"/>
    <w:rsid w:val="00CD0056"/>
    <w:rsid w:val="00CD00CF"/>
    <w:rsid w:val="00CD08D7"/>
    <w:rsid w:val="00CD1E03"/>
    <w:rsid w:val="00CD314F"/>
    <w:rsid w:val="00CD374E"/>
    <w:rsid w:val="00CD37BE"/>
    <w:rsid w:val="00CD3E18"/>
    <w:rsid w:val="00CD4C93"/>
    <w:rsid w:val="00CD50C8"/>
    <w:rsid w:val="00CD50E7"/>
    <w:rsid w:val="00CD56E7"/>
    <w:rsid w:val="00CD58DB"/>
    <w:rsid w:val="00CD5A63"/>
    <w:rsid w:val="00CD6115"/>
    <w:rsid w:val="00CD65F5"/>
    <w:rsid w:val="00CD6768"/>
    <w:rsid w:val="00CD6E14"/>
    <w:rsid w:val="00CD78A3"/>
    <w:rsid w:val="00CD7D86"/>
    <w:rsid w:val="00CD7FAB"/>
    <w:rsid w:val="00CE0398"/>
    <w:rsid w:val="00CE05A3"/>
    <w:rsid w:val="00CE21AB"/>
    <w:rsid w:val="00CE277F"/>
    <w:rsid w:val="00CE287B"/>
    <w:rsid w:val="00CE52B8"/>
    <w:rsid w:val="00CE56FE"/>
    <w:rsid w:val="00CE6816"/>
    <w:rsid w:val="00CF08D8"/>
    <w:rsid w:val="00CF0A4B"/>
    <w:rsid w:val="00CF11D1"/>
    <w:rsid w:val="00CF186F"/>
    <w:rsid w:val="00CF1DE5"/>
    <w:rsid w:val="00CF1E53"/>
    <w:rsid w:val="00CF21E7"/>
    <w:rsid w:val="00CF2C7D"/>
    <w:rsid w:val="00CF3A35"/>
    <w:rsid w:val="00CF490E"/>
    <w:rsid w:val="00CF4DD4"/>
    <w:rsid w:val="00CF4FE5"/>
    <w:rsid w:val="00CF533D"/>
    <w:rsid w:val="00CF5E0F"/>
    <w:rsid w:val="00CF6834"/>
    <w:rsid w:val="00CF6FBA"/>
    <w:rsid w:val="00D001CD"/>
    <w:rsid w:val="00D00AD7"/>
    <w:rsid w:val="00D014BF"/>
    <w:rsid w:val="00D014EF"/>
    <w:rsid w:val="00D016E2"/>
    <w:rsid w:val="00D02C67"/>
    <w:rsid w:val="00D02E43"/>
    <w:rsid w:val="00D02E9F"/>
    <w:rsid w:val="00D02EE6"/>
    <w:rsid w:val="00D036A5"/>
    <w:rsid w:val="00D03DEB"/>
    <w:rsid w:val="00D04F76"/>
    <w:rsid w:val="00D05B96"/>
    <w:rsid w:val="00D06686"/>
    <w:rsid w:val="00D06C54"/>
    <w:rsid w:val="00D1021D"/>
    <w:rsid w:val="00D10A39"/>
    <w:rsid w:val="00D116FB"/>
    <w:rsid w:val="00D11C2E"/>
    <w:rsid w:val="00D127D7"/>
    <w:rsid w:val="00D12ED1"/>
    <w:rsid w:val="00D12EFE"/>
    <w:rsid w:val="00D1316A"/>
    <w:rsid w:val="00D139A2"/>
    <w:rsid w:val="00D1417B"/>
    <w:rsid w:val="00D14A6F"/>
    <w:rsid w:val="00D14DE7"/>
    <w:rsid w:val="00D16BF2"/>
    <w:rsid w:val="00D1706A"/>
    <w:rsid w:val="00D21095"/>
    <w:rsid w:val="00D21F53"/>
    <w:rsid w:val="00D22812"/>
    <w:rsid w:val="00D25324"/>
    <w:rsid w:val="00D25416"/>
    <w:rsid w:val="00D25F25"/>
    <w:rsid w:val="00D27021"/>
    <w:rsid w:val="00D27AE2"/>
    <w:rsid w:val="00D3007C"/>
    <w:rsid w:val="00D313D5"/>
    <w:rsid w:val="00D31BD7"/>
    <w:rsid w:val="00D33270"/>
    <w:rsid w:val="00D34A09"/>
    <w:rsid w:val="00D34F39"/>
    <w:rsid w:val="00D35CB6"/>
    <w:rsid w:val="00D362F0"/>
    <w:rsid w:val="00D37929"/>
    <w:rsid w:val="00D429E3"/>
    <w:rsid w:val="00D43871"/>
    <w:rsid w:val="00D444A0"/>
    <w:rsid w:val="00D450C9"/>
    <w:rsid w:val="00D45D8A"/>
    <w:rsid w:val="00D47984"/>
    <w:rsid w:val="00D479E2"/>
    <w:rsid w:val="00D50B22"/>
    <w:rsid w:val="00D52479"/>
    <w:rsid w:val="00D53777"/>
    <w:rsid w:val="00D54DB8"/>
    <w:rsid w:val="00D54E7E"/>
    <w:rsid w:val="00D54EFC"/>
    <w:rsid w:val="00D54FCC"/>
    <w:rsid w:val="00D5509E"/>
    <w:rsid w:val="00D552ED"/>
    <w:rsid w:val="00D561F6"/>
    <w:rsid w:val="00D566A8"/>
    <w:rsid w:val="00D5713F"/>
    <w:rsid w:val="00D575C8"/>
    <w:rsid w:val="00D6174D"/>
    <w:rsid w:val="00D64017"/>
    <w:rsid w:val="00D6448E"/>
    <w:rsid w:val="00D649F9"/>
    <w:rsid w:val="00D64B39"/>
    <w:rsid w:val="00D64BCE"/>
    <w:rsid w:val="00D64F8E"/>
    <w:rsid w:val="00D65D6E"/>
    <w:rsid w:val="00D65F06"/>
    <w:rsid w:val="00D664D4"/>
    <w:rsid w:val="00D6682D"/>
    <w:rsid w:val="00D669C3"/>
    <w:rsid w:val="00D66C97"/>
    <w:rsid w:val="00D6781D"/>
    <w:rsid w:val="00D67BC6"/>
    <w:rsid w:val="00D67C43"/>
    <w:rsid w:val="00D67D0F"/>
    <w:rsid w:val="00D67E36"/>
    <w:rsid w:val="00D71017"/>
    <w:rsid w:val="00D71AD7"/>
    <w:rsid w:val="00D71B91"/>
    <w:rsid w:val="00D7382C"/>
    <w:rsid w:val="00D738F0"/>
    <w:rsid w:val="00D73D1D"/>
    <w:rsid w:val="00D74157"/>
    <w:rsid w:val="00D74C72"/>
    <w:rsid w:val="00D75393"/>
    <w:rsid w:val="00D75EF8"/>
    <w:rsid w:val="00D767FD"/>
    <w:rsid w:val="00D77508"/>
    <w:rsid w:val="00D77BD3"/>
    <w:rsid w:val="00D8076C"/>
    <w:rsid w:val="00D8170F"/>
    <w:rsid w:val="00D81AD0"/>
    <w:rsid w:val="00D82815"/>
    <w:rsid w:val="00D82AE9"/>
    <w:rsid w:val="00D84996"/>
    <w:rsid w:val="00D84C9B"/>
    <w:rsid w:val="00D85420"/>
    <w:rsid w:val="00D85C47"/>
    <w:rsid w:val="00D900A1"/>
    <w:rsid w:val="00D90427"/>
    <w:rsid w:val="00D909AB"/>
    <w:rsid w:val="00D90F13"/>
    <w:rsid w:val="00D912DE"/>
    <w:rsid w:val="00D91BFF"/>
    <w:rsid w:val="00D921C9"/>
    <w:rsid w:val="00D922F5"/>
    <w:rsid w:val="00D92CD8"/>
    <w:rsid w:val="00D92D8B"/>
    <w:rsid w:val="00D9388E"/>
    <w:rsid w:val="00D93B5C"/>
    <w:rsid w:val="00D93EF3"/>
    <w:rsid w:val="00D93FB3"/>
    <w:rsid w:val="00D94E75"/>
    <w:rsid w:val="00D95593"/>
    <w:rsid w:val="00D96949"/>
    <w:rsid w:val="00D9709F"/>
    <w:rsid w:val="00D97258"/>
    <w:rsid w:val="00D97601"/>
    <w:rsid w:val="00D978B3"/>
    <w:rsid w:val="00DA015B"/>
    <w:rsid w:val="00DA0F9E"/>
    <w:rsid w:val="00DA10A7"/>
    <w:rsid w:val="00DA1AC7"/>
    <w:rsid w:val="00DA1F5F"/>
    <w:rsid w:val="00DA300C"/>
    <w:rsid w:val="00DA3AC8"/>
    <w:rsid w:val="00DA4753"/>
    <w:rsid w:val="00DA4B08"/>
    <w:rsid w:val="00DA5952"/>
    <w:rsid w:val="00DA6223"/>
    <w:rsid w:val="00DA652C"/>
    <w:rsid w:val="00DA666D"/>
    <w:rsid w:val="00DA6FD8"/>
    <w:rsid w:val="00DA7251"/>
    <w:rsid w:val="00DA7978"/>
    <w:rsid w:val="00DB0FEC"/>
    <w:rsid w:val="00DB12DB"/>
    <w:rsid w:val="00DB179C"/>
    <w:rsid w:val="00DB1CF8"/>
    <w:rsid w:val="00DB223E"/>
    <w:rsid w:val="00DB2497"/>
    <w:rsid w:val="00DB2E57"/>
    <w:rsid w:val="00DB328B"/>
    <w:rsid w:val="00DB425A"/>
    <w:rsid w:val="00DB4EEA"/>
    <w:rsid w:val="00DB56A2"/>
    <w:rsid w:val="00DB78E0"/>
    <w:rsid w:val="00DB7D4B"/>
    <w:rsid w:val="00DB7F02"/>
    <w:rsid w:val="00DB7F6B"/>
    <w:rsid w:val="00DC015E"/>
    <w:rsid w:val="00DC061D"/>
    <w:rsid w:val="00DC179D"/>
    <w:rsid w:val="00DC2A53"/>
    <w:rsid w:val="00DC2A59"/>
    <w:rsid w:val="00DC3293"/>
    <w:rsid w:val="00DC53E8"/>
    <w:rsid w:val="00DC55FE"/>
    <w:rsid w:val="00DC6608"/>
    <w:rsid w:val="00DC7188"/>
    <w:rsid w:val="00DC7C89"/>
    <w:rsid w:val="00DD01A1"/>
    <w:rsid w:val="00DD02A4"/>
    <w:rsid w:val="00DD0355"/>
    <w:rsid w:val="00DD04D8"/>
    <w:rsid w:val="00DD054E"/>
    <w:rsid w:val="00DD079B"/>
    <w:rsid w:val="00DD0899"/>
    <w:rsid w:val="00DD2161"/>
    <w:rsid w:val="00DD28B4"/>
    <w:rsid w:val="00DD3979"/>
    <w:rsid w:val="00DD3E98"/>
    <w:rsid w:val="00DD436A"/>
    <w:rsid w:val="00DD43CA"/>
    <w:rsid w:val="00DD49B6"/>
    <w:rsid w:val="00DD50AF"/>
    <w:rsid w:val="00DD5E1D"/>
    <w:rsid w:val="00DD78C0"/>
    <w:rsid w:val="00DD7B32"/>
    <w:rsid w:val="00DD7F04"/>
    <w:rsid w:val="00DE091A"/>
    <w:rsid w:val="00DE1EBB"/>
    <w:rsid w:val="00DE2240"/>
    <w:rsid w:val="00DE2A6D"/>
    <w:rsid w:val="00DE3B38"/>
    <w:rsid w:val="00DE3F00"/>
    <w:rsid w:val="00DE5C53"/>
    <w:rsid w:val="00DE5D6E"/>
    <w:rsid w:val="00DE5EE6"/>
    <w:rsid w:val="00DE5FF0"/>
    <w:rsid w:val="00DE60B8"/>
    <w:rsid w:val="00DE7B10"/>
    <w:rsid w:val="00DF0378"/>
    <w:rsid w:val="00DF0AF3"/>
    <w:rsid w:val="00DF1119"/>
    <w:rsid w:val="00DF204B"/>
    <w:rsid w:val="00DF2BEC"/>
    <w:rsid w:val="00DF3784"/>
    <w:rsid w:val="00DF39DB"/>
    <w:rsid w:val="00DF4321"/>
    <w:rsid w:val="00DF476B"/>
    <w:rsid w:val="00DF4C3A"/>
    <w:rsid w:val="00DF5682"/>
    <w:rsid w:val="00DF5A48"/>
    <w:rsid w:val="00DF5A59"/>
    <w:rsid w:val="00DF6792"/>
    <w:rsid w:val="00DF6D05"/>
    <w:rsid w:val="00DF6FCB"/>
    <w:rsid w:val="00DF7838"/>
    <w:rsid w:val="00E0050A"/>
    <w:rsid w:val="00E0073E"/>
    <w:rsid w:val="00E00800"/>
    <w:rsid w:val="00E017F5"/>
    <w:rsid w:val="00E0211D"/>
    <w:rsid w:val="00E02519"/>
    <w:rsid w:val="00E0273B"/>
    <w:rsid w:val="00E02E19"/>
    <w:rsid w:val="00E02F71"/>
    <w:rsid w:val="00E03220"/>
    <w:rsid w:val="00E03F4A"/>
    <w:rsid w:val="00E040A6"/>
    <w:rsid w:val="00E043E2"/>
    <w:rsid w:val="00E05A5B"/>
    <w:rsid w:val="00E0612A"/>
    <w:rsid w:val="00E062CE"/>
    <w:rsid w:val="00E102DF"/>
    <w:rsid w:val="00E1211A"/>
    <w:rsid w:val="00E12AFB"/>
    <w:rsid w:val="00E12C6A"/>
    <w:rsid w:val="00E134B4"/>
    <w:rsid w:val="00E13FBC"/>
    <w:rsid w:val="00E140FC"/>
    <w:rsid w:val="00E1481C"/>
    <w:rsid w:val="00E14C5D"/>
    <w:rsid w:val="00E1501F"/>
    <w:rsid w:val="00E16F05"/>
    <w:rsid w:val="00E17C4B"/>
    <w:rsid w:val="00E20494"/>
    <w:rsid w:val="00E2067E"/>
    <w:rsid w:val="00E20F50"/>
    <w:rsid w:val="00E20FF8"/>
    <w:rsid w:val="00E22D40"/>
    <w:rsid w:val="00E23A28"/>
    <w:rsid w:val="00E24484"/>
    <w:rsid w:val="00E26325"/>
    <w:rsid w:val="00E2650B"/>
    <w:rsid w:val="00E265AA"/>
    <w:rsid w:val="00E26F00"/>
    <w:rsid w:val="00E27F20"/>
    <w:rsid w:val="00E3061F"/>
    <w:rsid w:val="00E30796"/>
    <w:rsid w:val="00E30A94"/>
    <w:rsid w:val="00E3168A"/>
    <w:rsid w:val="00E31A5E"/>
    <w:rsid w:val="00E32463"/>
    <w:rsid w:val="00E32794"/>
    <w:rsid w:val="00E32B24"/>
    <w:rsid w:val="00E32C29"/>
    <w:rsid w:val="00E336FE"/>
    <w:rsid w:val="00E342D3"/>
    <w:rsid w:val="00E345BA"/>
    <w:rsid w:val="00E3496D"/>
    <w:rsid w:val="00E35C63"/>
    <w:rsid w:val="00E366E7"/>
    <w:rsid w:val="00E36B2B"/>
    <w:rsid w:val="00E370BF"/>
    <w:rsid w:val="00E37912"/>
    <w:rsid w:val="00E4052A"/>
    <w:rsid w:val="00E4057D"/>
    <w:rsid w:val="00E405C5"/>
    <w:rsid w:val="00E408AE"/>
    <w:rsid w:val="00E40F03"/>
    <w:rsid w:val="00E41262"/>
    <w:rsid w:val="00E41303"/>
    <w:rsid w:val="00E41AF7"/>
    <w:rsid w:val="00E422E8"/>
    <w:rsid w:val="00E42A39"/>
    <w:rsid w:val="00E43BC1"/>
    <w:rsid w:val="00E43E01"/>
    <w:rsid w:val="00E464DA"/>
    <w:rsid w:val="00E46632"/>
    <w:rsid w:val="00E470E1"/>
    <w:rsid w:val="00E478AF"/>
    <w:rsid w:val="00E47BA7"/>
    <w:rsid w:val="00E51726"/>
    <w:rsid w:val="00E51C46"/>
    <w:rsid w:val="00E5316D"/>
    <w:rsid w:val="00E5367D"/>
    <w:rsid w:val="00E53DB9"/>
    <w:rsid w:val="00E540C1"/>
    <w:rsid w:val="00E547ED"/>
    <w:rsid w:val="00E54E11"/>
    <w:rsid w:val="00E54E3B"/>
    <w:rsid w:val="00E54E50"/>
    <w:rsid w:val="00E550CD"/>
    <w:rsid w:val="00E559F6"/>
    <w:rsid w:val="00E55C2E"/>
    <w:rsid w:val="00E55E42"/>
    <w:rsid w:val="00E55FAE"/>
    <w:rsid w:val="00E562BD"/>
    <w:rsid w:val="00E5664A"/>
    <w:rsid w:val="00E57CA2"/>
    <w:rsid w:val="00E57F1D"/>
    <w:rsid w:val="00E603A2"/>
    <w:rsid w:val="00E623CC"/>
    <w:rsid w:val="00E6274C"/>
    <w:rsid w:val="00E629C0"/>
    <w:rsid w:val="00E636C9"/>
    <w:rsid w:val="00E63762"/>
    <w:rsid w:val="00E638F1"/>
    <w:rsid w:val="00E63D3D"/>
    <w:rsid w:val="00E63E16"/>
    <w:rsid w:val="00E649ED"/>
    <w:rsid w:val="00E66A3A"/>
    <w:rsid w:val="00E67099"/>
    <w:rsid w:val="00E673EA"/>
    <w:rsid w:val="00E67CDD"/>
    <w:rsid w:val="00E67FCA"/>
    <w:rsid w:val="00E7018D"/>
    <w:rsid w:val="00E70197"/>
    <w:rsid w:val="00E703C8"/>
    <w:rsid w:val="00E71EA4"/>
    <w:rsid w:val="00E74E28"/>
    <w:rsid w:val="00E75C00"/>
    <w:rsid w:val="00E75C47"/>
    <w:rsid w:val="00E76683"/>
    <w:rsid w:val="00E771C2"/>
    <w:rsid w:val="00E771EA"/>
    <w:rsid w:val="00E77C3F"/>
    <w:rsid w:val="00E8124D"/>
    <w:rsid w:val="00E8219E"/>
    <w:rsid w:val="00E84208"/>
    <w:rsid w:val="00E84355"/>
    <w:rsid w:val="00E8602D"/>
    <w:rsid w:val="00E86C8A"/>
    <w:rsid w:val="00E86ED6"/>
    <w:rsid w:val="00E87C30"/>
    <w:rsid w:val="00E87D98"/>
    <w:rsid w:val="00E905B1"/>
    <w:rsid w:val="00E9179C"/>
    <w:rsid w:val="00E9194B"/>
    <w:rsid w:val="00E91D57"/>
    <w:rsid w:val="00E926E6"/>
    <w:rsid w:val="00E927E7"/>
    <w:rsid w:val="00E92D52"/>
    <w:rsid w:val="00E930D7"/>
    <w:rsid w:val="00E933FA"/>
    <w:rsid w:val="00E934E5"/>
    <w:rsid w:val="00E93638"/>
    <w:rsid w:val="00E93B42"/>
    <w:rsid w:val="00E94A98"/>
    <w:rsid w:val="00E955B5"/>
    <w:rsid w:val="00E957D9"/>
    <w:rsid w:val="00E96A4D"/>
    <w:rsid w:val="00E97693"/>
    <w:rsid w:val="00E97D5B"/>
    <w:rsid w:val="00EA0628"/>
    <w:rsid w:val="00EA09F4"/>
    <w:rsid w:val="00EA0F35"/>
    <w:rsid w:val="00EA2380"/>
    <w:rsid w:val="00EA31DB"/>
    <w:rsid w:val="00EA3785"/>
    <w:rsid w:val="00EA3923"/>
    <w:rsid w:val="00EA3AAE"/>
    <w:rsid w:val="00EA3E4A"/>
    <w:rsid w:val="00EA3FAB"/>
    <w:rsid w:val="00EA40E6"/>
    <w:rsid w:val="00EA4110"/>
    <w:rsid w:val="00EA465C"/>
    <w:rsid w:val="00EA5124"/>
    <w:rsid w:val="00EA6448"/>
    <w:rsid w:val="00EA6476"/>
    <w:rsid w:val="00EA68B2"/>
    <w:rsid w:val="00EA7D26"/>
    <w:rsid w:val="00EB00BE"/>
    <w:rsid w:val="00EB0348"/>
    <w:rsid w:val="00EB123D"/>
    <w:rsid w:val="00EB1D66"/>
    <w:rsid w:val="00EB3B1B"/>
    <w:rsid w:val="00EB3C48"/>
    <w:rsid w:val="00EB559F"/>
    <w:rsid w:val="00EB59DE"/>
    <w:rsid w:val="00EB5C8B"/>
    <w:rsid w:val="00EB5E62"/>
    <w:rsid w:val="00EB6111"/>
    <w:rsid w:val="00EB6825"/>
    <w:rsid w:val="00EB6CC5"/>
    <w:rsid w:val="00EB74BD"/>
    <w:rsid w:val="00EB76B2"/>
    <w:rsid w:val="00EB7832"/>
    <w:rsid w:val="00EB7908"/>
    <w:rsid w:val="00EB7A23"/>
    <w:rsid w:val="00EB7A51"/>
    <w:rsid w:val="00EB7BC8"/>
    <w:rsid w:val="00EC0256"/>
    <w:rsid w:val="00EC04F6"/>
    <w:rsid w:val="00EC24F3"/>
    <w:rsid w:val="00EC336D"/>
    <w:rsid w:val="00EC4BDD"/>
    <w:rsid w:val="00EC666E"/>
    <w:rsid w:val="00EC68C9"/>
    <w:rsid w:val="00EC7F72"/>
    <w:rsid w:val="00ED020A"/>
    <w:rsid w:val="00ED031C"/>
    <w:rsid w:val="00ED16EC"/>
    <w:rsid w:val="00ED1BBE"/>
    <w:rsid w:val="00ED1CEB"/>
    <w:rsid w:val="00ED1ECE"/>
    <w:rsid w:val="00ED22E7"/>
    <w:rsid w:val="00ED3962"/>
    <w:rsid w:val="00ED3E97"/>
    <w:rsid w:val="00ED6D26"/>
    <w:rsid w:val="00ED771E"/>
    <w:rsid w:val="00EE00C5"/>
    <w:rsid w:val="00EE0512"/>
    <w:rsid w:val="00EE0535"/>
    <w:rsid w:val="00EE0C8D"/>
    <w:rsid w:val="00EE2396"/>
    <w:rsid w:val="00EE3039"/>
    <w:rsid w:val="00EE304D"/>
    <w:rsid w:val="00EE315D"/>
    <w:rsid w:val="00EE335D"/>
    <w:rsid w:val="00EE3738"/>
    <w:rsid w:val="00EE39A5"/>
    <w:rsid w:val="00EE3BB7"/>
    <w:rsid w:val="00EE4471"/>
    <w:rsid w:val="00EE4C56"/>
    <w:rsid w:val="00EE6E39"/>
    <w:rsid w:val="00EE74C9"/>
    <w:rsid w:val="00EF02D5"/>
    <w:rsid w:val="00EF0559"/>
    <w:rsid w:val="00EF05A4"/>
    <w:rsid w:val="00EF06D1"/>
    <w:rsid w:val="00EF1877"/>
    <w:rsid w:val="00EF1937"/>
    <w:rsid w:val="00EF2018"/>
    <w:rsid w:val="00EF3480"/>
    <w:rsid w:val="00EF3893"/>
    <w:rsid w:val="00EF3CBF"/>
    <w:rsid w:val="00EF3D37"/>
    <w:rsid w:val="00EF4165"/>
    <w:rsid w:val="00EF420A"/>
    <w:rsid w:val="00EF47F3"/>
    <w:rsid w:val="00EF4AC4"/>
    <w:rsid w:val="00EF5D79"/>
    <w:rsid w:val="00EF6B8E"/>
    <w:rsid w:val="00EF7463"/>
    <w:rsid w:val="00EF7726"/>
    <w:rsid w:val="00EF7D98"/>
    <w:rsid w:val="00F00819"/>
    <w:rsid w:val="00F00A3E"/>
    <w:rsid w:val="00F00E8C"/>
    <w:rsid w:val="00F013F2"/>
    <w:rsid w:val="00F01A18"/>
    <w:rsid w:val="00F01E18"/>
    <w:rsid w:val="00F01F63"/>
    <w:rsid w:val="00F02657"/>
    <w:rsid w:val="00F02A10"/>
    <w:rsid w:val="00F02F7B"/>
    <w:rsid w:val="00F03718"/>
    <w:rsid w:val="00F03960"/>
    <w:rsid w:val="00F04684"/>
    <w:rsid w:val="00F05294"/>
    <w:rsid w:val="00F0560D"/>
    <w:rsid w:val="00F07BF3"/>
    <w:rsid w:val="00F10035"/>
    <w:rsid w:val="00F1014A"/>
    <w:rsid w:val="00F10A0C"/>
    <w:rsid w:val="00F10E28"/>
    <w:rsid w:val="00F111F5"/>
    <w:rsid w:val="00F12F12"/>
    <w:rsid w:val="00F1414D"/>
    <w:rsid w:val="00F146AA"/>
    <w:rsid w:val="00F14E5A"/>
    <w:rsid w:val="00F15230"/>
    <w:rsid w:val="00F15C1C"/>
    <w:rsid w:val="00F1682B"/>
    <w:rsid w:val="00F17C02"/>
    <w:rsid w:val="00F17CD9"/>
    <w:rsid w:val="00F20A21"/>
    <w:rsid w:val="00F21012"/>
    <w:rsid w:val="00F2183B"/>
    <w:rsid w:val="00F21F46"/>
    <w:rsid w:val="00F232EA"/>
    <w:rsid w:val="00F234CD"/>
    <w:rsid w:val="00F238CC"/>
    <w:rsid w:val="00F23AA7"/>
    <w:rsid w:val="00F24CC5"/>
    <w:rsid w:val="00F24E32"/>
    <w:rsid w:val="00F25301"/>
    <w:rsid w:val="00F25A4D"/>
    <w:rsid w:val="00F262D0"/>
    <w:rsid w:val="00F266C8"/>
    <w:rsid w:val="00F311F1"/>
    <w:rsid w:val="00F31719"/>
    <w:rsid w:val="00F33C21"/>
    <w:rsid w:val="00F33D12"/>
    <w:rsid w:val="00F34148"/>
    <w:rsid w:val="00F34CEB"/>
    <w:rsid w:val="00F35A7B"/>
    <w:rsid w:val="00F361F4"/>
    <w:rsid w:val="00F37D35"/>
    <w:rsid w:val="00F37D8D"/>
    <w:rsid w:val="00F40425"/>
    <w:rsid w:val="00F40BB4"/>
    <w:rsid w:val="00F41995"/>
    <w:rsid w:val="00F43298"/>
    <w:rsid w:val="00F437AE"/>
    <w:rsid w:val="00F441F7"/>
    <w:rsid w:val="00F44E0B"/>
    <w:rsid w:val="00F45467"/>
    <w:rsid w:val="00F45BCA"/>
    <w:rsid w:val="00F45D81"/>
    <w:rsid w:val="00F45F86"/>
    <w:rsid w:val="00F4665B"/>
    <w:rsid w:val="00F466D5"/>
    <w:rsid w:val="00F46E39"/>
    <w:rsid w:val="00F47625"/>
    <w:rsid w:val="00F47D60"/>
    <w:rsid w:val="00F523AC"/>
    <w:rsid w:val="00F52D07"/>
    <w:rsid w:val="00F53225"/>
    <w:rsid w:val="00F532AD"/>
    <w:rsid w:val="00F53808"/>
    <w:rsid w:val="00F53913"/>
    <w:rsid w:val="00F53D53"/>
    <w:rsid w:val="00F5485E"/>
    <w:rsid w:val="00F54A8F"/>
    <w:rsid w:val="00F54D0B"/>
    <w:rsid w:val="00F54FEF"/>
    <w:rsid w:val="00F55948"/>
    <w:rsid w:val="00F5643C"/>
    <w:rsid w:val="00F566BA"/>
    <w:rsid w:val="00F57751"/>
    <w:rsid w:val="00F60BC7"/>
    <w:rsid w:val="00F6267E"/>
    <w:rsid w:val="00F62841"/>
    <w:rsid w:val="00F62EB9"/>
    <w:rsid w:val="00F63767"/>
    <w:rsid w:val="00F66317"/>
    <w:rsid w:val="00F67511"/>
    <w:rsid w:val="00F67D21"/>
    <w:rsid w:val="00F70110"/>
    <w:rsid w:val="00F7026C"/>
    <w:rsid w:val="00F708E0"/>
    <w:rsid w:val="00F70D7A"/>
    <w:rsid w:val="00F70F8B"/>
    <w:rsid w:val="00F7159F"/>
    <w:rsid w:val="00F7199D"/>
    <w:rsid w:val="00F72A80"/>
    <w:rsid w:val="00F73669"/>
    <w:rsid w:val="00F7384B"/>
    <w:rsid w:val="00F73926"/>
    <w:rsid w:val="00F73C70"/>
    <w:rsid w:val="00F7420F"/>
    <w:rsid w:val="00F743CB"/>
    <w:rsid w:val="00F75339"/>
    <w:rsid w:val="00F75E1C"/>
    <w:rsid w:val="00F76C80"/>
    <w:rsid w:val="00F77D01"/>
    <w:rsid w:val="00F80E73"/>
    <w:rsid w:val="00F810A0"/>
    <w:rsid w:val="00F8275D"/>
    <w:rsid w:val="00F83555"/>
    <w:rsid w:val="00F83DF6"/>
    <w:rsid w:val="00F84388"/>
    <w:rsid w:val="00F84470"/>
    <w:rsid w:val="00F85E79"/>
    <w:rsid w:val="00F867D4"/>
    <w:rsid w:val="00F86949"/>
    <w:rsid w:val="00F8770F"/>
    <w:rsid w:val="00F87D61"/>
    <w:rsid w:val="00F90CEA"/>
    <w:rsid w:val="00F90D1A"/>
    <w:rsid w:val="00F92657"/>
    <w:rsid w:val="00F92B1D"/>
    <w:rsid w:val="00F95B0E"/>
    <w:rsid w:val="00F96297"/>
    <w:rsid w:val="00F968C9"/>
    <w:rsid w:val="00F973C1"/>
    <w:rsid w:val="00F97613"/>
    <w:rsid w:val="00FA0C3A"/>
    <w:rsid w:val="00FA159F"/>
    <w:rsid w:val="00FA264F"/>
    <w:rsid w:val="00FA36D1"/>
    <w:rsid w:val="00FA40A0"/>
    <w:rsid w:val="00FA4C4D"/>
    <w:rsid w:val="00FA5474"/>
    <w:rsid w:val="00FA5929"/>
    <w:rsid w:val="00FA5E38"/>
    <w:rsid w:val="00FA5E97"/>
    <w:rsid w:val="00FA69C9"/>
    <w:rsid w:val="00FA6AC1"/>
    <w:rsid w:val="00FA7517"/>
    <w:rsid w:val="00FA7E31"/>
    <w:rsid w:val="00FB0362"/>
    <w:rsid w:val="00FB1E09"/>
    <w:rsid w:val="00FB2070"/>
    <w:rsid w:val="00FB38B1"/>
    <w:rsid w:val="00FB5EA2"/>
    <w:rsid w:val="00FB5F83"/>
    <w:rsid w:val="00FB657E"/>
    <w:rsid w:val="00FB6B33"/>
    <w:rsid w:val="00FB73F9"/>
    <w:rsid w:val="00FB7E7B"/>
    <w:rsid w:val="00FC0CF8"/>
    <w:rsid w:val="00FC0DAB"/>
    <w:rsid w:val="00FC1480"/>
    <w:rsid w:val="00FC1AF8"/>
    <w:rsid w:val="00FC1B8B"/>
    <w:rsid w:val="00FC2350"/>
    <w:rsid w:val="00FC2DAC"/>
    <w:rsid w:val="00FC328F"/>
    <w:rsid w:val="00FC3364"/>
    <w:rsid w:val="00FC3979"/>
    <w:rsid w:val="00FC4428"/>
    <w:rsid w:val="00FC58D9"/>
    <w:rsid w:val="00FC645B"/>
    <w:rsid w:val="00FC77F0"/>
    <w:rsid w:val="00FC79A0"/>
    <w:rsid w:val="00FC7BC3"/>
    <w:rsid w:val="00FD0707"/>
    <w:rsid w:val="00FD119D"/>
    <w:rsid w:val="00FD1572"/>
    <w:rsid w:val="00FD1BFF"/>
    <w:rsid w:val="00FD24DF"/>
    <w:rsid w:val="00FD3091"/>
    <w:rsid w:val="00FD45EE"/>
    <w:rsid w:val="00FD54BE"/>
    <w:rsid w:val="00FD5583"/>
    <w:rsid w:val="00FD5B62"/>
    <w:rsid w:val="00FD5C10"/>
    <w:rsid w:val="00FD5D95"/>
    <w:rsid w:val="00FD67C2"/>
    <w:rsid w:val="00FD682A"/>
    <w:rsid w:val="00FD7F09"/>
    <w:rsid w:val="00FE0058"/>
    <w:rsid w:val="00FE047E"/>
    <w:rsid w:val="00FE0CE0"/>
    <w:rsid w:val="00FE120F"/>
    <w:rsid w:val="00FE20EB"/>
    <w:rsid w:val="00FE211F"/>
    <w:rsid w:val="00FE22C8"/>
    <w:rsid w:val="00FE23D5"/>
    <w:rsid w:val="00FE2449"/>
    <w:rsid w:val="00FE24AB"/>
    <w:rsid w:val="00FE27E8"/>
    <w:rsid w:val="00FE2B6A"/>
    <w:rsid w:val="00FE35BB"/>
    <w:rsid w:val="00FE3F05"/>
    <w:rsid w:val="00FE41AA"/>
    <w:rsid w:val="00FE4B60"/>
    <w:rsid w:val="00FE5D9B"/>
    <w:rsid w:val="00FE60AA"/>
    <w:rsid w:val="00FE6FE4"/>
    <w:rsid w:val="00FE7529"/>
    <w:rsid w:val="00FE7791"/>
    <w:rsid w:val="00FE797A"/>
    <w:rsid w:val="00FE7E09"/>
    <w:rsid w:val="00FE7FB2"/>
    <w:rsid w:val="00FF041A"/>
    <w:rsid w:val="00FF102B"/>
    <w:rsid w:val="00FF11BB"/>
    <w:rsid w:val="00FF17B8"/>
    <w:rsid w:val="00FF3296"/>
    <w:rsid w:val="00FF358F"/>
    <w:rsid w:val="00FF45E1"/>
    <w:rsid w:val="00FF4726"/>
    <w:rsid w:val="00FF4A4F"/>
    <w:rsid w:val="00FF643D"/>
    <w:rsid w:val="00FF65EA"/>
    <w:rsid w:val="00FF6D44"/>
    <w:rsid w:val="00FF779B"/>
    <w:rsid w:val="00FF7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55297"/>
    <o:shapelayout v:ext="edit">
      <o:idmap v:ext="edit" data="1"/>
    </o:shapelayout>
  </w:shapeDefaults>
  <w:decimalSymbol w:val="."/>
  <w:listSeparator w:val=","/>
  <w14:docId w14:val="0B655AB9"/>
  <w15:docId w15:val="{9074632B-E50C-4FDA-A49C-4BDA6EF18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locked="1"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84365"/>
    <w:rPr>
      <w:rFonts w:ascii="Calibri" w:hAnsi="Calibri"/>
      <w:sz w:val="24"/>
      <w:szCs w:val="24"/>
    </w:rPr>
  </w:style>
  <w:style w:type="paragraph" w:styleId="Heading1">
    <w:name w:val="heading 1"/>
    <w:basedOn w:val="Normal"/>
    <w:next w:val="Normal"/>
    <w:link w:val="Heading1Char"/>
    <w:qFormat/>
    <w:rsid w:val="00411FC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1"/>
    <w:qFormat/>
    <w:rsid w:val="00411FC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1"/>
    <w:qFormat/>
    <w:rsid w:val="00411FC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4025E"/>
    <w:rPr>
      <w:rFonts w:ascii="Arial" w:hAnsi="Arial" w:cs="Arial"/>
      <w:b/>
      <w:bCs/>
      <w:kern w:val="32"/>
      <w:sz w:val="32"/>
      <w:szCs w:val="32"/>
      <w:lang w:val="en-US" w:eastAsia="en-US" w:bidi="ar-SA"/>
    </w:rPr>
  </w:style>
  <w:style w:type="character" w:customStyle="1" w:styleId="Heading2Char1">
    <w:name w:val="Heading 2 Char1"/>
    <w:link w:val="Heading2"/>
    <w:locked/>
    <w:rsid w:val="00283592"/>
    <w:rPr>
      <w:rFonts w:ascii="Arial" w:hAnsi="Arial" w:cs="Arial"/>
      <w:b/>
      <w:bCs/>
      <w:i/>
      <w:iCs/>
      <w:sz w:val="28"/>
      <w:szCs w:val="28"/>
      <w:lang w:val="en-US" w:eastAsia="en-US" w:bidi="ar-SA"/>
    </w:rPr>
  </w:style>
  <w:style w:type="character" w:customStyle="1" w:styleId="Heading3Char1">
    <w:name w:val="Heading 3 Char1"/>
    <w:link w:val="Heading3"/>
    <w:locked/>
    <w:rsid w:val="00411FC1"/>
    <w:rPr>
      <w:rFonts w:ascii="Arial" w:hAnsi="Arial" w:cs="Arial"/>
      <w:b/>
      <w:bCs/>
      <w:sz w:val="26"/>
      <w:szCs w:val="26"/>
      <w:lang w:val="en-US" w:eastAsia="en-US" w:bidi="ar-SA"/>
    </w:rPr>
  </w:style>
  <w:style w:type="paragraph" w:styleId="Footer">
    <w:name w:val="footer"/>
    <w:basedOn w:val="Normal"/>
    <w:rsid w:val="007F2912"/>
    <w:pPr>
      <w:tabs>
        <w:tab w:val="center" w:pos="4320"/>
        <w:tab w:val="right" w:pos="8640"/>
      </w:tabs>
    </w:pPr>
  </w:style>
  <w:style w:type="character" w:styleId="PageNumber">
    <w:name w:val="page number"/>
    <w:rsid w:val="007F2912"/>
    <w:rPr>
      <w:rFonts w:cs="Times New Roman"/>
    </w:rPr>
  </w:style>
  <w:style w:type="paragraph" w:styleId="FootnoteText">
    <w:name w:val="footnote text"/>
    <w:aliases w:val="Footnote Text1 Char,Footnote Text Char Ch"/>
    <w:basedOn w:val="Normal"/>
    <w:link w:val="FootnoteTextChar1"/>
    <w:rsid w:val="0094538D"/>
    <w:rPr>
      <w:rFonts w:ascii="Times New Roman" w:hAnsi="Times New Roman"/>
      <w:sz w:val="20"/>
      <w:szCs w:val="20"/>
    </w:rPr>
  </w:style>
  <w:style w:type="character" w:customStyle="1" w:styleId="FootnoteTextChar1">
    <w:name w:val="Footnote Text Char1"/>
    <w:aliases w:val="Footnote Text1 Char Char,Footnote Text Char Ch Char"/>
    <w:link w:val="FootnoteText"/>
    <w:locked/>
    <w:rsid w:val="008A3E42"/>
    <w:rPr>
      <w:rFonts w:cs="Times New Roman"/>
      <w:lang w:val="en-US" w:eastAsia="en-US" w:bidi="ar-SA"/>
    </w:rPr>
  </w:style>
  <w:style w:type="character" w:styleId="FootnoteReference">
    <w:name w:val="footnote reference"/>
    <w:aliases w:val="o"/>
    <w:rsid w:val="0094538D"/>
    <w:rPr>
      <w:rFonts w:cs="Times New Roman"/>
      <w:vertAlign w:val="superscript"/>
    </w:rPr>
  </w:style>
  <w:style w:type="paragraph" w:styleId="Header">
    <w:name w:val="header"/>
    <w:basedOn w:val="Normal"/>
    <w:rsid w:val="00484164"/>
    <w:pPr>
      <w:tabs>
        <w:tab w:val="center" w:pos="4320"/>
        <w:tab w:val="right" w:pos="8640"/>
      </w:tabs>
    </w:pPr>
  </w:style>
  <w:style w:type="paragraph" w:styleId="TOC1">
    <w:name w:val="toc 1"/>
    <w:basedOn w:val="Normal"/>
    <w:next w:val="Normal"/>
    <w:autoRedefine/>
    <w:uiPriority w:val="39"/>
    <w:rsid w:val="009D1511"/>
    <w:pPr>
      <w:tabs>
        <w:tab w:val="right" w:leader="dot" w:pos="8630"/>
      </w:tabs>
      <w:jc w:val="center"/>
    </w:pPr>
    <w:rPr>
      <w:b/>
    </w:rPr>
  </w:style>
  <w:style w:type="paragraph" w:styleId="TOC2">
    <w:name w:val="toc 2"/>
    <w:basedOn w:val="Normal"/>
    <w:next w:val="Normal"/>
    <w:autoRedefine/>
    <w:uiPriority w:val="39"/>
    <w:rsid w:val="000B5A5D"/>
    <w:pPr>
      <w:ind w:left="240"/>
    </w:pPr>
  </w:style>
  <w:style w:type="paragraph" w:styleId="TOC3">
    <w:name w:val="toc 3"/>
    <w:basedOn w:val="Normal"/>
    <w:next w:val="Normal"/>
    <w:autoRedefine/>
    <w:uiPriority w:val="39"/>
    <w:rsid w:val="000B35D6"/>
    <w:pPr>
      <w:tabs>
        <w:tab w:val="right" w:leader="dot" w:pos="8630"/>
      </w:tabs>
      <w:ind w:left="720"/>
    </w:pPr>
  </w:style>
  <w:style w:type="character" w:styleId="Hyperlink">
    <w:name w:val="Hyperlink"/>
    <w:uiPriority w:val="99"/>
    <w:rsid w:val="000B5A5D"/>
    <w:rPr>
      <w:rFonts w:cs="Times New Roman"/>
      <w:color w:val="0000FF"/>
      <w:u w:val="single"/>
    </w:rPr>
  </w:style>
  <w:style w:type="paragraph" w:styleId="Caption">
    <w:name w:val="caption"/>
    <w:basedOn w:val="Normal"/>
    <w:next w:val="Normal"/>
    <w:link w:val="CaptionChar"/>
    <w:qFormat/>
    <w:rsid w:val="006169CA"/>
    <w:rPr>
      <w:rFonts w:ascii="Times New Roman" w:hAnsi="Times New Roman"/>
      <w:b/>
      <w:bCs/>
      <w:sz w:val="20"/>
      <w:szCs w:val="20"/>
    </w:rPr>
  </w:style>
  <w:style w:type="character" w:customStyle="1" w:styleId="CaptionChar">
    <w:name w:val="Caption Char"/>
    <w:link w:val="Caption"/>
    <w:locked/>
    <w:rsid w:val="00283592"/>
    <w:rPr>
      <w:rFonts w:cs="Times New Roman"/>
      <w:b/>
      <w:bCs/>
      <w:lang w:val="en-US" w:eastAsia="en-US" w:bidi="ar-SA"/>
    </w:rPr>
  </w:style>
  <w:style w:type="paragraph" w:styleId="TableofFigures">
    <w:name w:val="table of figures"/>
    <w:basedOn w:val="Normal"/>
    <w:next w:val="Normal"/>
    <w:uiPriority w:val="99"/>
    <w:rsid w:val="006169CA"/>
  </w:style>
  <w:style w:type="paragraph" w:customStyle="1" w:styleId="TableCaption">
    <w:name w:val="Table Caption"/>
    <w:basedOn w:val="Caption"/>
    <w:link w:val="TableCaptionChar"/>
    <w:qFormat/>
    <w:rsid w:val="00477222"/>
    <w:pPr>
      <w:spacing w:after="120"/>
      <w:jc w:val="center"/>
    </w:pPr>
    <w:rPr>
      <w:rFonts w:ascii="Calibri" w:hAnsi="Calibri"/>
      <w:sz w:val="24"/>
    </w:rPr>
  </w:style>
  <w:style w:type="character" w:customStyle="1" w:styleId="TableCaptionChar">
    <w:name w:val="Table Caption Char"/>
    <w:link w:val="TableCaption"/>
    <w:locked/>
    <w:rsid w:val="00477222"/>
    <w:rPr>
      <w:rFonts w:ascii="Calibri" w:hAnsi="Calibri"/>
      <w:b/>
      <w:bCs/>
      <w:sz w:val="24"/>
    </w:rPr>
  </w:style>
  <w:style w:type="paragraph" w:customStyle="1" w:styleId="FigureCaption">
    <w:name w:val="Figure Caption"/>
    <w:basedOn w:val="TableCaption"/>
    <w:link w:val="FigureCaptionChar"/>
    <w:qFormat/>
    <w:rsid w:val="0097115E"/>
  </w:style>
  <w:style w:type="character" w:customStyle="1" w:styleId="FigureCaptionChar">
    <w:name w:val="Figure Caption Char"/>
    <w:link w:val="FigureCaption"/>
    <w:locked/>
    <w:rsid w:val="0097115E"/>
    <w:rPr>
      <w:rFonts w:ascii="Calibri" w:hAnsi="Calibri"/>
      <w:b/>
      <w:bCs/>
      <w:sz w:val="24"/>
    </w:rPr>
  </w:style>
  <w:style w:type="paragraph" w:customStyle="1" w:styleId="EPRITitle">
    <w:name w:val="EPRI Title"/>
    <w:rsid w:val="00111FB1"/>
    <w:pPr>
      <w:spacing w:before="240" w:after="60"/>
      <w:ind w:left="1195" w:right="1195"/>
    </w:pPr>
    <w:rPr>
      <w:rFonts w:ascii="Helvetica" w:hAnsi="Helvetica"/>
      <w:b/>
      <w:sz w:val="40"/>
    </w:rPr>
  </w:style>
  <w:style w:type="paragraph" w:customStyle="1" w:styleId="EPRISubtitle">
    <w:name w:val="EPRI Subtitle"/>
    <w:rsid w:val="00111FB1"/>
    <w:pPr>
      <w:spacing w:after="60"/>
      <w:ind w:left="1195" w:right="1195"/>
    </w:pPr>
    <w:rPr>
      <w:rFonts w:ascii="Helvetica" w:hAnsi="Helvetica"/>
      <w:noProof/>
      <w:sz w:val="30"/>
    </w:rPr>
  </w:style>
  <w:style w:type="paragraph" w:customStyle="1" w:styleId="EPRIOI">
    <w:name w:val="EPRI OI#"/>
    <w:rsid w:val="00111FB1"/>
    <w:pPr>
      <w:spacing w:before="140" w:after="480"/>
      <w:ind w:left="1195" w:right="1195"/>
    </w:pPr>
    <w:rPr>
      <w:rFonts w:ascii="Helvetica" w:hAnsi="Helvetica"/>
      <w:b/>
      <w:sz w:val="24"/>
    </w:rPr>
  </w:style>
  <w:style w:type="paragraph" w:customStyle="1" w:styleId="EPRITitleText">
    <w:name w:val="EPRI Title Text"/>
    <w:rsid w:val="00111FB1"/>
    <w:pPr>
      <w:spacing w:before="140" w:after="1200"/>
      <w:ind w:left="1195" w:right="1195"/>
    </w:pPr>
    <w:rPr>
      <w:rFonts w:ascii="Helvetica" w:hAnsi="Helvetica"/>
      <w:sz w:val="24"/>
    </w:rPr>
  </w:style>
  <w:style w:type="paragraph" w:styleId="BalloonText">
    <w:name w:val="Balloon Text"/>
    <w:basedOn w:val="Normal"/>
    <w:semiHidden/>
    <w:rsid w:val="004F6104"/>
    <w:rPr>
      <w:rFonts w:ascii="Tahoma" w:hAnsi="Tahoma" w:cs="Tahoma"/>
      <w:sz w:val="16"/>
      <w:szCs w:val="16"/>
    </w:rPr>
  </w:style>
  <w:style w:type="table" w:styleId="TableGrid">
    <w:name w:val="Table Grid"/>
    <w:basedOn w:val="TableNormal"/>
    <w:rsid w:val="002E3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rsid w:val="00283592"/>
    <w:rPr>
      <w:rFonts w:ascii="Arial" w:hAnsi="Arial" w:cs="Arial"/>
      <w:b/>
      <w:bCs/>
      <w:sz w:val="26"/>
      <w:szCs w:val="26"/>
      <w:lang w:val="en-US" w:eastAsia="en-US" w:bidi="ar-SA"/>
    </w:rPr>
  </w:style>
  <w:style w:type="character" w:styleId="CommentReference">
    <w:name w:val="annotation reference"/>
    <w:rsid w:val="00A8020B"/>
    <w:rPr>
      <w:rFonts w:cs="Times New Roman"/>
      <w:sz w:val="16"/>
      <w:szCs w:val="16"/>
    </w:rPr>
  </w:style>
  <w:style w:type="paragraph" w:styleId="CommentText">
    <w:name w:val="annotation text"/>
    <w:basedOn w:val="Normal"/>
    <w:link w:val="CommentTextChar"/>
    <w:rsid w:val="00A8020B"/>
    <w:rPr>
      <w:rFonts w:ascii="Times New Roman" w:hAnsi="Times New Roman"/>
      <w:sz w:val="20"/>
      <w:szCs w:val="20"/>
      <w:lang w:val="x-none" w:eastAsia="x-none"/>
    </w:rPr>
  </w:style>
  <w:style w:type="character" w:customStyle="1" w:styleId="CommentTextChar">
    <w:name w:val="Comment Text Char"/>
    <w:link w:val="CommentText"/>
    <w:locked/>
    <w:rsid w:val="00A8020B"/>
    <w:rPr>
      <w:rFonts w:cs="Times New Roman"/>
    </w:rPr>
  </w:style>
  <w:style w:type="paragraph" w:styleId="CommentSubject">
    <w:name w:val="annotation subject"/>
    <w:basedOn w:val="CommentText"/>
    <w:next w:val="CommentText"/>
    <w:link w:val="CommentSubjectChar"/>
    <w:rsid w:val="00A8020B"/>
    <w:rPr>
      <w:b/>
      <w:bCs/>
    </w:rPr>
  </w:style>
  <w:style w:type="character" w:customStyle="1" w:styleId="CommentSubjectChar">
    <w:name w:val="Comment Subject Char"/>
    <w:link w:val="CommentSubject"/>
    <w:locked/>
    <w:rsid w:val="00A8020B"/>
    <w:rPr>
      <w:rFonts w:cs="Times New Roman"/>
      <w:b/>
      <w:bCs/>
    </w:rPr>
  </w:style>
  <w:style w:type="paragraph" w:styleId="EndnoteText">
    <w:name w:val="endnote text"/>
    <w:basedOn w:val="Normal"/>
    <w:link w:val="EndnoteTextChar"/>
    <w:rsid w:val="00363778"/>
    <w:rPr>
      <w:rFonts w:ascii="Times New Roman" w:hAnsi="Times New Roman"/>
      <w:sz w:val="20"/>
      <w:szCs w:val="20"/>
      <w:lang w:val="x-none" w:eastAsia="x-none"/>
    </w:rPr>
  </w:style>
  <w:style w:type="character" w:customStyle="1" w:styleId="EndnoteTextChar">
    <w:name w:val="Endnote Text Char"/>
    <w:link w:val="EndnoteText"/>
    <w:locked/>
    <w:rsid w:val="00363778"/>
    <w:rPr>
      <w:rFonts w:cs="Times New Roman"/>
    </w:rPr>
  </w:style>
  <w:style w:type="character" w:styleId="EndnoteReference">
    <w:name w:val="endnote reference"/>
    <w:rsid w:val="00363778"/>
    <w:rPr>
      <w:rFonts w:cs="Times New Roman"/>
      <w:vertAlign w:val="superscript"/>
    </w:rPr>
  </w:style>
  <w:style w:type="character" w:styleId="FollowedHyperlink">
    <w:name w:val="FollowedHyperlink"/>
    <w:rsid w:val="002F7583"/>
    <w:rPr>
      <w:color w:val="800080"/>
      <w:u w:val="single"/>
    </w:rPr>
  </w:style>
  <w:style w:type="character" w:customStyle="1" w:styleId="FootnoteTextChar">
    <w:name w:val="Footnote Text Char"/>
    <w:aliases w:val="Footnote Text1 Char Char1,Footnote Text Char Ch Char1"/>
    <w:uiPriority w:val="99"/>
    <w:rsid w:val="00002343"/>
    <w:rPr>
      <w:lang w:val="en-US" w:eastAsia="en-US" w:bidi="ar-SA"/>
    </w:rPr>
  </w:style>
  <w:style w:type="character" w:customStyle="1" w:styleId="Heading2Char">
    <w:name w:val="Heading 2 Char"/>
    <w:rsid w:val="00C54C5F"/>
    <w:rPr>
      <w:rFonts w:ascii="Arial" w:hAnsi="Arial" w:cs="Arial"/>
      <w:b/>
      <w:bCs/>
      <w:i/>
      <w:iCs/>
      <w:sz w:val="24"/>
      <w:szCs w:val="28"/>
      <w:lang w:val="en-US" w:eastAsia="en-US" w:bidi="ar-SA"/>
    </w:rPr>
  </w:style>
  <w:style w:type="paragraph" w:styleId="DocumentMap">
    <w:name w:val="Document Map"/>
    <w:basedOn w:val="Normal"/>
    <w:semiHidden/>
    <w:rsid w:val="000E553B"/>
    <w:pPr>
      <w:shd w:val="clear" w:color="auto" w:fill="000080"/>
    </w:pPr>
    <w:rPr>
      <w:rFonts w:ascii="Tahoma" w:hAnsi="Tahoma" w:cs="Tahoma"/>
      <w:sz w:val="20"/>
      <w:szCs w:val="20"/>
    </w:rPr>
  </w:style>
  <w:style w:type="paragraph" w:styleId="NormalWeb">
    <w:name w:val="Normal (Web)"/>
    <w:basedOn w:val="Normal"/>
    <w:uiPriority w:val="99"/>
    <w:unhideWhenUsed/>
    <w:rsid w:val="00530476"/>
    <w:pPr>
      <w:spacing w:before="100" w:beforeAutospacing="1" w:after="100" w:afterAutospacing="1"/>
    </w:pPr>
    <w:rPr>
      <w:rFonts w:ascii="Times New Roman" w:hAnsi="Times New Roman"/>
    </w:rPr>
  </w:style>
  <w:style w:type="paragraph" w:customStyle="1" w:styleId="TableHeader">
    <w:name w:val="Table Header"/>
    <w:qFormat/>
    <w:rsid w:val="008E5D4C"/>
    <w:pPr>
      <w:spacing w:before="100" w:after="100"/>
      <w:jc w:val="center"/>
    </w:pPr>
    <w:rPr>
      <w:rFonts w:ascii="Arial" w:eastAsia="Calibri" w:hAnsi="Arial"/>
      <w:b/>
      <w:color w:val="FFFFFF"/>
      <w:szCs w:val="22"/>
    </w:rPr>
  </w:style>
  <w:style w:type="paragraph" w:customStyle="1" w:styleId="TableText">
    <w:name w:val="Table Text"/>
    <w:qFormat/>
    <w:rsid w:val="008E5D4C"/>
    <w:pPr>
      <w:spacing w:before="60" w:after="60"/>
      <w:jc w:val="center"/>
    </w:pPr>
    <w:rPr>
      <w:rFonts w:ascii="Arial" w:eastAsia="Calibri" w:hAnsi="Arial"/>
      <w:sz w:val="18"/>
      <w:szCs w:val="22"/>
    </w:rPr>
  </w:style>
  <w:style w:type="paragraph" w:styleId="ListParagraph">
    <w:name w:val="List Paragraph"/>
    <w:basedOn w:val="Normal"/>
    <w:uiPriority w:val="34"/>
    <w:qFormat/>
    <w:rsid w:val="00305D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5835024">
      <w:bodyDiv w:val="1"/>
      <w:marLeft w:val="0"/>
      <w:marRight w:val="0"/>
      <w:marTop w:val="0"/>
      <w:marBottom w:val="0"/>
      <w:divBdr>
        <w:top w:val="none" w:sz="0" w:space="0" w:color="auto"/>
        <w:left w:val="none" w:sz="0" w:space="0" w:color="auto"/>
        <w:bottom w:val="none" w:sz="0" w:space="0" w:color="auto"/>
        <w:right w:val="none" w:sz="0" w:space="0" w:color="auto"/>
      </w:divBdr>
    </w:div>
    <w:div w:id="39865249">
      <w:bodyDiv w:val="1"/>
      <w:marLeft w:val="0"/>
      <w:marRight w:val="0"/>
      <w:marTop w:val="0"/>
      <w:marBottom w:val="0"/>
      <w:divBdr>
        <w:top w:val="none" w:sz="0" w:space="0" w:color="auto"/>
        <w:left w:val="none" w:sz="0" w:space="0" w:color="auto"/>
        <w:bottom w:val="none" w:sz="0" w:space="0" w:color="auto"/>
        <w:right w:val="none" w:sz="0" w:space="0" w:color="auto"/>
      </w:divBdr>
    </w:div>
    <w:div w:id="102921583">
      <w:bodyDiv w:val="1"/>
      <w:marLeft w:val="0"/>
      <w:marRight w:val="0"/>
      <w:marTop w:val="0"/>
      <w:marBottom w:val="0"/>
      <w:divBdr>
        <w:top w:val="none" w:sz="0" w:space="0" w:color="auto"/>
        <w:left w:val="none" w:sz="0" w:space="0" w:color="auto"/>
        <w:bottom w:val="none" w:sz="0" w:space="0" w:color="auto"/>
        <w:right w:val="none" w:sz="0" w:space="0" w:color="auto"/>
      </w:divBdr>
    </w:div>
    <w:div w:id="107511727">
      <w:bodyDiv w:val="1"/>
      <w:marLeft w:val="0"/>
      <w:marRight w:val="0"/>
      <w:marTop w:val="0"/>
      <w:marBottom w:val="0"/>
      <w:divBdr>
        <w:top w:val="none" w:sz="0" w:space="0" w:color="auto"/>
        <w:left w:val="none" w:sz="0" w:space="0" w:color="auto"/>
        <w:bottom w:val="none" w:sz="0" w:space="0" w:color="auto"/>
        <w:right w:val="none" w:sz="0" w:space="0" w:color="auto"/>
      </w:divBdr>
    </w:div>
    <w:div w:id="179901336">
      <w:bodyDiv w:val="1"/>
      <w:marLeft w:val="0"/>
      <w:marRight w:val="0"/>
      <w:marTop w:val="0"/>
      <w:marBottom w:val="0"/>
      <w:divBdr>
        <w:top w:val="none" w:sz="0" w:space="0" w:color="auto"/>
        <w:left w:val="none" w:sz="0" w:space="0" w:color="auto"/>
        <w:bottom w:val="none" w:sz="0" w:space="0" w:color="auto"/>
        <w:right w:val="none" w:sz="0" w:space="0" w:color="auto"/>
      </w:divBdr>
    </w:div>
    <w:div w:id="229771468">
      <w:bodyDiv w:val="1"/>
      <w:marLeft w:val="0"/>
      <w:marRight w:val="0"/>
      <w:marTop w:val="0"/>
      <w:marBottom w:val="0"/>
      <w:divBdr>
        <w:top w:val="none" w:sz="0" w:space="0" w:color="auto"/>
        <w:left w:val="none" w:sz="0" w:space="0" w:color="auto"/>
        <w:bottom w:val="none" w:sz="0" w:space="0" w:color="auto"/>
        <w:right w:val="none" w:sz="0" w:space="0" w:color="auto"/>
      </w:divBdr>
    </w:div>
    <w:div w:id="253638167">
      <w:bodyDiv w:val="1"/>
      <w:marLeft w:val="0"/>
      <w:marRight w:val="0"/>
      <w:marTop w:val="0"/>
      <w:marBottom w:val="0"/>
      <w:divBdr>
        <w:top w:val="none" w:sz="0" w:space="0" w:color="auto"/>
        <w:left w:val="none" w:sz="0" w:space="0" w:color="auto"/>
        <w:bottom w:val="none" w:sz="0" w:space="0" w:color="auto"/>
        <w:right w:val="none" w:sz="0" w:space="0" w:color="auto"/>
      </w:divBdr>
    </w:div>
    <w:div w:id="293876049">
      <w:bodyDiv w:val="1"/>
      <w:marLeft w:val="0"/>
      <w:marRight w:val="0"/>
      <w:marTop w:val="0"/>
      <w:marBottom w:val="0"/>
      <w:divBdr>
        <w:top w:val="none" w:sz="0" w:space="0" w:color="auto"/>
        <w:left w:val="none" w:sz="0" w:space="0" w:color="auto"/>
        <w:bottom w:val="none" w:sz="0" w:space="0" w:color="auto"/>
        <w:right w:val="none" w:sz="0" w:space="0" w:color="auto"/>
      </w:divBdr>
    </w:div>
    <w:div w:id="313723706">
      <w:bodyDiv w:val="1"/>
      <w:marLeft w:val="0"/>
      <w:marRight w:val="0"/>
      <w:marTop w:val="0"/>
      <w:marBottom w:val="0"/>
      <w:divBdr>
        <w:top w:val="none" w:sz="0" w:space="0" w:color="auto"/>
        <w:left w:val="none" w:sz="0" w:space="0" w:color="auto"/>
        <w:bottom w:val="none" w:sz="0" w:space="0" w:color="auto"/>
        <w:right w:val="none" w:sz="0" w:space="0" w:color="auto"/>
      </w:divBdr>
    </w:div>
    <w:div w:id="335496358">
      <w:bodyDiv w:val="1"/>
      <w:marLeft w:val="0"/>
      <w:marRight w:val="0"/>
      <w:marTop w:val="0"/>
      <w:marBottom w:val="0"/>
      <w:divBdr>
        <w:top w:val="none" w:sz="0" w:space="0" w:color="auto"/>
        <w:left w:val="none" w:sz="0" w:space="0" w:color="auto"/>
        <w:bottom w:val="none" w:sz="0" w:space="0" w:color="auto"/>
        <w:right w:val="none" w:sz="0" w:space="0" w:color="auto"/>
      </w:divBdr>
    </w:div>
    <w:div w:id="366640071">
      <w:bodyDiv w:val="1"/>
      <w:marLeft w:val="0"/>
      <w:marRight w:val="0"/>
      <w:marTop w:val="0"/>
      <w:marBottom w:val="0"/>
      <w:divBdr>
        <w:top w:val="none" w:sz="0" w:space="0" w:color="auto"/>
        <w:left w:val="none" w:sz="0" w:space="0" w:color="auto"/>
        <w:bottom w:val="none" w:sz="0" w:space="0" w:color="auto"/>
        <w:right w:val="none" w:sz="0" w:space="0" w:color="auto"/>
      </w:divBdr>
    </w:div>
    <w:div w:id="376509589">
      <w:bodyDiv w:val="1"/>
      <w:marLeft w:val="0"/>
      <w:marRight w:val="0"/>
      <w:marTop w:val="0"/>
      <w:marBottom w:val="0"/>
      <w:divBdr>
        <w:top w:val="none" w:sz="0" w:space="0" w:color="auto"/>
        <w:left w:val="none" w:sz="0" w:space="0" w:color="auto"/>
        <w:bottom w:val="none" w:sz="0" w:space="0" w:color="auto"/>
        <w:right w:val="none" w:sz="0" w:space="0" w:color="auto"/>
      </w:divBdr>
    </w:div>
    <w:div w:id="463352680">
      <w:bodyDiv w:val="1"/>
      <w:marLeft w:val="0"/>
      <w:marRight w:val="0"/>
      <w:marTop w:val="0"/>
      <w:marBottom w:val="0"/>
      <w:divBdr>
        <w:top w:val="none" w:sz="0" w:space="0" w:color="auto"/>
        <w:left w:val="none" w:sz="0" w:space="0" w:color="auto"/>
        <w:bottom w:val="none" w:sz="0" w:space="0" w:color="auto"/>
        <w:right w:val="none" w:sz="0" w:space="0" w:color="auto"/>
      </w:divBdr>
    </w:div>
    <w:div w:id="463742627">
      <w:bodyDiv w:val="1"/>
      <w:marLeft w:val="0"/>
      <w:marRight w:val="0"/>
      <w:marTop w:val="0"/>
      <w:marBottom w:val="0"/>
      <w:divBdr>
        <w:top w:val="none" w:sz="0" w:space="0" w:color="auto"/>
        <w:left w:val="none" w:sz="0" w:space="0" w:color="auto"/>
        <w:bottom w:val="none" w:sz="0" w:space="0" w:color="auto"/>
        <w:right w:val="none" w:sz="0" w:space="0" w:color="auto"/>
      </w:divBdr>
    </w:div>
    <w:div w:id="468671241">
      <w:bodyDiv w:val="1"/>
      <w:marLeft w:val="0"/>
      <w:marRight w:val="0"/>
      <w:marTop w:val="0"/>
      <w:marBottom w:val="0"/>
      <w:divBdr>
        <w:top w:val="none" w:sz="0" w:space="0" w:color="auto"/>
        <w:left w:val="none" w:sz="0" w:space="0" w:color="auto"/>
        <w:bottom w:val="none" w:sz="0" w:space="0" w:color="auto"/>
        <w:right w:val="none" w:sz="0" w:space="0" w:color="auto"/>
      </w:divBdr>
    </w:div>
    <w:div w:id="535309722">
      <w:bodyDiv w:val="1"/>
      <w:marLeft w:val="0"/>
      <w:marRight w:val="0"/>
      <w:marTop w:val="0"/>
      <w:marBottom w:val="0"/>
      <w:divBdr>
        <w:top w:val="none" w:sz="0" w:space="0" w:color="auto"/>
        <w:left w:val="none" w:sz="0" w:space="0" w:color="auto"/>
        <w:bottom w:val="none" w:sz="0" w:space="0" w:color="auto"/>
        <w:right w:val="none" w:sz="0" w:space="0" w:color="auto"/>
      </w:divBdr>
    </w:div>
    <w:div w:id="574122618">
      <w:bodyDiv w:val="1"/>
      <w:marLeft w:val="0"/>
      <w:marRight w:val="0"/>
      <w:marTop w:val="0"/>
      <w:marBottom w:val="0"/>
      <w:divBdr>
        <w:top w:val="none" w:sz="0" w:space="0" w:color="auto"/>
        <w:left w:val="none" w:sz="0" w:space="0" w:color="auto"/>
        <w:bottom w:val="none" w:sz="0" w:space="0" w:color="auto"/>
        <w:right w:val="none" w:sz="0" w:space="0" w:color="auto"/>
      </w:divBdr>
    </w:div>
    <w:div w:id="588461926">
      <w:bodyDiv w:val="1"/>
      <w:marLeft w:val="0"/>
      <w:marRight w:val="0"/>
      <w:marTop w:val="0"/>
      <w:marBottom w:val="0"/>
      <w:divBdr>
        <w:top w:val="none" w:sz="0" w:space="0" w:color="auto"/>
        <w:left w:val="none" w:sz="0" w:space="0" w:color="auto"/>
        <w:bottom w:val="none" w:sz="0" w:space="0" w:color="auto"/>
        <w:right w:val="none" w:sz="0" w:space="0" w:color="auto"/>
      </w:divBdr>
    </w:div>
    <w:div w:id="607541735">
      <w:bodyDiv w:val="1"/>
      <w:marLeft w:val="0"/>
      <w:marRight w:val="0"/>
      <w:marTop w:val="0"/>
      <w:marBottom w:val="0"/>
      <w:divBdr>
        <w:top w:val="none" w:sz="0" w:space="0" w:color="auto"/>
        <w:left w:val="none" w:sz="0" w:space="0" w:color="auto"/>
        <w:bottom w:val="none" w:sz="0" w:space="0" w:color="auto"/>
        <w:right w:val="none" w:sz="0" w:space="0" w:color="auto"/>
      </w:divBdr>
    </w:div>
    <w:div w:id="624581929">
      <w:bodyDiv w:val="1"/>
      <w:marLeft w:val="0"/>
      <w:marRight w:val="0"/>
      <w:marTop w:val="0"/>
      <w:marBottom w:val="0"/>
      <w:divBdr>
        <w:top w:val="none" w:sz="0" w:space="0" w:color="auto"/>
        <w:left w:val="none" w:sz="0" w:space="0" w:color="auto"/>
        <w:bottom w:val="none" w:sz="0" w:space="0" w:color="auto"/>
        <w:right w:val="none" w:sz="0" w:space="0" w:color="auto"/>
      </w:divBdr>
    </w:div>
    <w:div w:id="625939422">
      <w:bodyDiv w:val="1"/>
      <w:marLeft w:val="0"/>
      <w:marRight w:val="0"/>
      <w:marTop w:val="0"/>
      <w:marBottom w:val="0"/>
      <w:divBdr>
        <w:top w:val="none" w:sz="0" w:space="0" w:color="auto"/>
        <w:left w:val="none" w:sz="0" w:space="0" w:color="auto"/>
        <w:bottom w:val="none" w:sz="0" w:space="0" w:color="auto"/>
        <w:right w:val="none" w:sz="0" w:space="0" w:color="auto"/>
      </w:divBdr>
    </w:div>
    <w:div w:id="724792201">
      <w:bodyDiv w:val="1"/>
      <w:marLeft w:val="0"/>
      <w:marRight w:val="0"/>
      <w:marTop w:val="0"/>
      <w:marBottom w:val="0"/>
      <w:divBdr>
        <w:top w:val="none" w:sz="0" w:space="0" w:color="auto"/>
        <w:left w:val="none" w:sz="0" w:space="0" w:color="auto"/>
        <w:bottom w:val="none" w:sz="0" w:space="0" w:color="auto"/>
        <w:right w:val="none" w:sz="0" w:space="0" w:color="auto"/>
      </w:divBdr>
    </w:div>
    <w:div w:id="725302396">
      <w:bodyDiv w:val="1"/>
      <w:marLeft w:val="0"/>
      <w:marRight w:val="0"/>
      <w:marTop w:val="0"/>
      <w:marBottom w:val="0"/>
      <w:divBdr>
        <w:top w:val="none" w:sz="0" w:space="0" w:color="auto"/>
        <w:left w:val="none" w:sz="0" w:space="0" w:color="auto"/>
        <w:bottom w:val="none" w:sz="0" w:space="0" w:color="auto"/>
        <w:right w:val="none" w:sz="0" w:space="0" w:color="auto"/>
      </w:divBdr>
    </w:div>
    <w:div w:id="805855984">
      <w:bodyDiv w:val="1"/>
      <w:marLeft w:val="0"/>
      <w:marRight w:val="0"/>
      <w:marTop w:val="0"/>
      <w:marBottom w:val="0"/>
      <w:divBdr>
        <w:top w:val="none" w:sz="0" w:space="0" w:color="auto"/>
        <w:left w:val="none" w:sz="0" w:space="0" w:color="auto"/>
        <w:bottom w:val="none" w:sz="0" w:space="0" w:color="auto"/>
        <w:right w:val="none" w:sz="0" w:space="0" w:color="auto"/>
      </w:divBdr>
    </w:div>
    <w:div w:id="844829851">
      <w:bodyDiv w:val="1"/>
      <w:marLeft w:val="0"/>
      <w:marRight w:val="0"/>
      <w:marTop w:val="0"/>
      <w:marBottom w:val="0"/>
      <w:divBdr>
        <w:top w:val="none" w:sz="0" w:space="0" w:color="auto"/>
        <w:left w:val="none" w:sz="0" w:space="0" w:color="auto"/>
        <w:bottom w:val="none" w:sz="0" w:space="0" w:color="auto"/>
        <w:right w:val="none" w:sz="0" w:space="0" w:color="auto"/>
      </w:divBdr>
    </w:div>
    <w:div w:id="868492683">
      <w:bodyDiv w:val="1"/>
      <w:marLeft w:val="0"/>
      <w:marRight w:val="0"/>
      <w:marTop w:val="0"/>
      <w:marBottom w:val="0"/>
      <w:divBdr>
        <w:top w:val="none" w:sz="0" w:space="0" w:color="auto"/>
        <w:left w:val="none" w:sz="0" w:space="0" w:color="auto"/>
        <w:bottom w:val="none" w:sz="0" w:space="0" w:color="auto"/>
        <w:right w:val="none" w:sz="0" w:space="0" w:color="auto"/>
      </w:divBdr>
    </w:div>
    <w:div w:id="881743652">
      <w:bodyDiv w:val="1"/>
      <w:marLeft w:val="0"/>
      <w:marRight w:val="0"/>
      <w:marTop w:val="0"/>
      <w:marBottom w:val="0"/>
      <w:divBdr>
        <w:top w:val="none" w:sz="0" w:space="0" w:color="auto"/>
        <w:left w:val="none" w:sz="0" w:space="0" w:color="auto"/>
        <w:bottom w:val="none" w:sz="0" w:space="0" w:color="auto"/>
        <w:right w:val="none" w:sz="0" w:space="0" w:color="auto"/>
      </w:divBdr>
    </w:div>
    <w:div w:id="908612072">
      <w:bodyDiv w:val="1"/>
      <w:marLeft w:val="0"/>
      <w:marRight w:val="0"/>
      <w:marTop w:val="0"/>
      <w:marBottom w:val="0"/>
      <w:divBdr>
        <w:top w:val="none" w:sz="0" w:space="0" w:color="auto"/>
        <w:left w:val="none" w:sz="0" w:space="0" w:color="auto"/>
        <w:bottom w:val="none" w:sz="0" w:space="0" w:color="auto"/>
        <w:right w:val="none" w:sz="0" w:space="0" w:color="auto"/>
      </w:divBdr>
    </w:div>
    <w:div w:id="945113286">
      <w:bodyDiv w:val="1"/>
      <w:marLeft w:val="0"/>
      <w:marRight w:val="0"/>
      <w:marTop w:val="0"/>
      <w:marBottom w:val="0"/>
      <w:divBdr>
        <w:top w:val="none" w:sz="0" w:space="0" w:color="auto"/>
        <w:left w:val="none" w:sz="0" w:space="0" w:color="auto"/>
        <w:bottom w:val="none" w:sz="0" w:space="0" w:color="auto"/>
        <w:right w:val="none" w:sz="0" w:space="0" w:color="auto"/>
      </w:divBdr>
    </w:div>
    <w:div w:id="947464896">
      <w:bodyDiv w:val="1"/>
      <w:marLeft w:val="0"/>
      <w:marRight w:val="0"/>
      <w:marTop w:val="0"/>
      <w:marBottom w:val="0"/>
      <w:divBdr>
        <w:top w:val="none" w:sz="0" w:space="0" w:color="auto"/>
        <w:left w:val="none" w:sz="0" w:space="0" w:color="auto"/>
        <w:bottom w:val="none" w:sz="0" w:space="0" w:color="auto"/>
        <w:right w:val="none" w:sz="0" w:space="0" w:color="auto"/>
      </w:divBdr>
    </w:div>
    <w:div w:id="981235249">
      <w:bodyDiv w:val="1"/>
      <w:marLeft w:val="0"/>
      <w:marRight w:val="0"/>
      <w:marTop w:val="0"/>
      <w:marBottom w:val="0"/>
      <w:divBdr>
        <w:top w:val="none" w:sz="0" w:space="0" w:color="auto"/>
        <w:left w:val="none" w:sz="0" w:space="0" w:color="auto"/>
        <w:bottom w:val="none" w:sz="0" w:space="0" w:color="auto"/>
        <w:right w:val="none" w:sz="0" w:space="0" w:color="auto"/>
      </w:divBdr>
    </w:div>
    <w:div w:id="1007752498">
      <w:bodyDiv w:val="1"/>
      <w:marLeft w:val="0"/>
      <w:marRight w:val="0"/>
      <w:marTop w:val="0"/>
      <w:marBottom w:val="0"/>
      <w:divBdr>
        <w:top w:val="none" w:sz="0" w:space="0" w:color="auto"/>
        <w:left w:val="none" w:sz="0" w:space="0" w:color="auto"/>
        <w:bottom w:val="none" w:sz="0" w:space="0" w:color="auto"/>
        <w:right w:val="none" w:sz="0" w:space="0" w:color="auto"/>
      </w:divBdr>
    </w:div>
    <w:div w:id="1072507118">
      <w:bodyDiv w:val="1"/>
      <w:marLeft w:val="0"/>
      <w:marRight w:val="0"/>
      <w:marTop w:val="0"/>
      <w:marBottom w:val="0"/>
      <w:divBdr>
        <w:top w:val="none" w:sz="0" w:space="0" w:color="auto"/>
        <w:left w:val="none" w:sz="0" w:space="0" w:color="auto"/>
        <w:bottom w:val="none" w:sz="0" w:space="0" w:color="auto"/>
        <w:right w:val="none" w:sz="0" w:space="0" w:color="auto"/>
      </w:divBdr>
    </w:div>
    <w:div w:id="1116829689">
      <w:bodyDiv w:val="1"/>
      <w:marLeft w:val="0"/>
      <w:marRight w:val="0"/>
      <w:marTop w:val="0"/>
      <w:marBottom w:val="0"/>
      <w:divBdr>
        <w:top w:val="none" w:sz="0" w:space="0" w:color="auto"/>
        <w:left w:val="none" w:sz="0" w:space="0" w:color="auto"/>
        <w:bottom w:val="none" w:sz="0" w:space="0" w:color="auto"/>
        <w:right w:val="none" w:sz="0" w:space="0" w:color="auto"/>
      </w:divBdr>
    </w:div>
    <w:div w:id="1144355446">
      <w:bodyDiv w:val="1"/>
      <w:marLeft w:val="0"/>
      <w:marRight w:val="0"/>
      <w:marTop w:val="0"/>
      <w:marBottom w:val="0"/>
      <w:divBdr>
        <w:top w:val="none" w:sz="0" w:space="0" w:color="auto"/>
        <w:left w:val="none" w:sz="0" w:space="0" w:color="auto"/>
        <w:bottom w:val="none" w:sz="0" w:space="0" w:color="auto"/>
        <w:right w:val="none" w:sz="0" w:space="0" w:color="auto"/>
      </w:divBdr>
    </w:div>
    <w:div w:id="1156842147">
      <w:bodyDiv w:val="1"/>
      <w:marLeft w:val="0"/>
      <w:marRight w:val="0"/>
      <w:marTop w:val="0"/>
      <w:marBottom w:val="0"/>
      <w:divBdr>
        <w:top w:val="none" w:sz="0" w:space="0" w:color="auto"/>
        <w:left w:val="none" w:sz="0" w:space="0" w:color="auto"/>
        <w:bottom w:val="none" w:sz="0" w:space="0" w:color="auto"/>
        <w:right w:val="none" w:sz="0" w:space="0" w:color="auto"/>
      </w:divBdr>
    </w:div>
    <w:div w:id="1195313450">
      <w:bodyDiv w:val="1"/>
      <w:marLeft w:val="0"/>
      <w:marRight w:val="0"/>
      <w:marTop w:val="0"/>
      <w:marBottom w:val="0"/>
      <w:divBdr>
        <w:top w:val="none" w:sz="0" w:space="0" w:color="auto"/>
        <w:left w:val="none" w:sz="0" w:space="0" w:color="auto"/>
        <w:bottom w:val="none" w:sz="0" w:space="0" w:color="auto"/>
        <w:right w:val="none" w:sz="0" w:space="0" w:color="auto"/>
      </w:divBdr>
    </w:div>
    <w:div w:id="1225288878">
      <w:bodyDiv w:val="1"/>
      <w:marLeft w:val="0"/>
      <w:marRight w:val="0"/>
      <w:marTop w:val="0"/>
      <w:marBottom w:val="0"/>
      <w:divBdr>
        <w:top w:val="none" w:sz="0" w:space="0" w:color="auto"/>
        <w:left w:val="none" w:sz="0" w:space="0" w:color="auto"/>
        <w:bottom w:val="none" w:sz="0" w:space="0" w:color="auto"/>
        <w:right w:val="none" w:sz="0" w:space="0" w:color="auto"/>
      </w:divBdr>
    </w:div>
    <w:div w:id="1243951219">
      <w:bodyDiv w:val="1"/>
      <w:marLeft w:val="0"/>
      <w:marRight w:val="0"/>
      <w:marTop w:val="0"/>
      <w:marBottom w:val="0"/>
      <w:divBdr>
        <w:top w:val="none" w:sz="0" w:space="0" w:color="auto"/>
        <w:left w:val="none" w:sz="0" w:space="0" w:color="auto"/>
        <w:bottom w:val="none" w:sz="0" w:space="0" w:color="auto"/>
        <w:right w:val="none" w:sz="0" w:space="0" w:color="auto"/>
      </w:divBdr>
    </w:div>
    <w:div w:id="1248688617">
      <w:bodyDiv w:val="1"/>
      <w:marLeft w:val="0"/>
      <w:marRight w:val="0"/>
      <w:marTop w:val="0"/>
      <w:marBottom w:val="0"/>
      <w:divBdr>
        <w:top w:val="none" w:sz="0" w:space="0" w:color="auto"/>
        <w:left w:val="none" w:sz="0" w:space="0" w:color="auto"/>
        <w:bottom w:val="none" w:sz="0" w:space="0" w:color="auto"/>
        <w:right w:val="none" w:sz="0" w:space="0" w:color="auto"/>
      </w:divBdr>
    </w:div>
    <w:div w:id="1324700922">
      <w:bodyDiv w:val="1"/>
      <w:marLeft w:val="0"/>
      <w:marRight w:val="0"/>
      <w:marTop w:val="0"/>
      <w:marBottom w:val="0"/>
      <w:divBdr>
        <w:top w:val="none" w:sz="0" w:space="0" w:color="auto"/>
        <w:left w:val="none" w:sz="0" w:space="0" w:color="auto"/>
        <w:bottom w:val="none" w:sz="0" w:space="0" w:color="auto"/>
        <w:right w:val="none" w:sz="0" w:space="0" w:color="auto"/>
      </w:divBdr>
    </w:div>
    <w:div w:id="1371303246">
      <w:bodyDiv w:val="1"/>
      <w:marLeft w:val="0"/>
      <w:marRight w:val="0"/>
      <w:marTop w:val="0"/>
      <w:marBottom w:val="0"/>
      <w:divBdr>
        <w:top w:val="none" w:sz="0" w:space="0" w:color="auto"/>
        <w:left w:val="none" w:sz="0" w:space="0" w:color="auto"/>
        <w:bottom w:val="none" w:sz="0" w:space="0" w:color="auto"/>
        <w:right w:val="none" w:sz="0" w:space="0" w:color="auto"/>
      </w:divBdr>
    </w:div>
    <w:div w:id="1385180472">
      <w:bodyDiv w:val="1"/>
      <w:marLeft w:val="0"/>
      <w:marRight w:val="0"/>
      <w:marTop w:val="0"/>
      <w:marBottom w:val="0"/>
      <w:divBdr>
        <w:top w:val="none" w:sz="0" w:space="0" w:color="auto"/>
        <w:left w:val="none" w:sz="0" w:space="0" w:color="auto"/>
        <w:bottom w:val="none" w:sz="0" w:space="0" w:color="auto"/>
        <w:right w:val="none" w:sz="0" w:space="0" w:color="auto"/>
      </w:divBdr>
    </w:div>
    <w:div w:id="1418474745">
      <w:bodyDiv w:val="1"/>
      <w:marLeft w:val="0"/>
      <w:marRight w:val="0"/>
      <w:marTop w:val="0"/>
      <w:marBottom w:val="0"/>
      <w:divBdr>
        <w:top w:val="none" w:sz="0" w:space="0" w:color="auto"/>
        <w:left w:val="none" w:sz="0" w:space="0" w:color="auto"/>
        <w:bottom w:val="none" w:sz="0" w:space="0" w:color="auto"/>
        <w:right w:val="none" w:sz="0" w:space="0" w:color="auto"/>
      </w:divBdr>
    </w:div>
    <w:div w:id="1451827200">
      <w:bodyDiv w:val="1"/>
      <w:marLeft w:val="0"/>
      <w:marRight w:val="0"/>
      <w:marTop w:val="0"/>
      <w:marBottom w:val="0"/>
      <w:divBdr>
        <w:top w:val="none" w:sz="0" w:space="0" w:color="auto"/>
        <w:left w:val="none" w:sz="0" w:space="0" w:color="auto"/>
        <w:bottom w:val="none" w:sz="0" w:space="0" w:color="auto"/>
        <w:right w:val="none" w:sz="0" w:space="0" w:color="auto"/>
      </w:divBdr>
    </w:div>
    <w:div w:id="1503281829">
      <w:bodyDiv w:val="1"/>
      <w:marLeft w:val="0"/>
      <w:marRight w:val="0"/>
      <w:marTop w:val="0"/>
      <w:marBottom w:val="0"/>
      <w:divBdr>
        <w:top w:val="none" w:sz="0" w:space="0" w:color="auto"/>
        <w:left w:val="none" w:sz="0" w:space="0" w:color="auto"/>
        <w:bottom w:val="none" w:sz="0" w:space="0" w:color="auto"/>
        <w:right w:val="none" w:sz="0" w:space="0" w:color="auto"/>
      </w:divBdr>
    </w:div>
    <w:div w:id="1510412873">
      <w:bodyDiv w:val="1"/>
      <w:marLeft w:val="0"/>
      <w:marRight w:val="0"/>
      <w:marTop w:val="0"/>
      <w:marBottom w:val="0"/>
      <w:divBdr>
        <w:top w:val="none" w:sz="0" w:space="0" w:color="auto"/>
        <w:left w:val="none" w:sz="0" w:space="0" w:color="auto"/>
        <w:bottom w:val="none" w:sz="0" w:space="0" w:color="auto"/>
        <w:right w:val="none" w:sz="0" w:space="0" w:color="auto"/>
      </w:divBdr>
    </w:div>
    <w:div w:id="1515875154">
      <w:bodyDiv w:val="1"/>
      <w:marLeft w:val="0"/>
      <w:marRight w:val="0"/>
      <w:marTop w:val="0"/>
      <w:marBottom w:val="0"/>
      <w:divBdr>
        <w:top w:val="none" w:sz="0" w:space="0" w:color="auto"/>
        <w:left w:val="none" w:sz="0" w:space="0" w:color="auto"/>
        <w:bottom w:val="none" w:sz="0" w:space="0" w:color="auto"/>
        <w:right w:val="none" w:sz="0" w:space="0" w:color="auto"/>
      </w:divBdr>
    </w:div>
    <w:div w:id="1590119717">
      <w:bodyDiv w:val="1"/>
      <w:marLeft w:val="0"/>
      <w:marRight w:val="0"/>
      <w:marTop w:val="0"/>
      <w:marBottom w:val="0"/>
      <w:divBdr>
        <w:top w:val="none" w:sz="0" w:space="0" w:color="auto"/>
        <w:left w:val="none" w:sz="0" w:space="0" w:color="auto"/>
        <w:bottom w:val="none" w:sz="0" w:space="0" w:color="auto"/>
        <w:right w:val="none" w:sz="0" w:space="0" w:color="auto"/>
      </w:divBdr>
    </w:div>
    <w:div w:id="1644847737">
      <w:bodyDiv w:val="1"/>
      <w:marLeft w:val="0"/>
      <w:marRight w:val="0"/>
      <w:marTop w:val="0"/>
      <w:marBottom w:val="0"/>
      <w:divBdr>
        <w:top w:val="none" w:sz="0" w:space="0" w:color="auto"/>
        <w:left w:val="none" w:sz="0" w:space="0" w:color="auto"/>
        <w:bottom w:val="none" w:sz="0" w:space="0" w:color="auto"/>
        <w:right w:val="none" w:sz="0" w:space="0" w:color="auto"/>
      </w:divBdr>
    </w:div>
    <w:div w:id="1676298165">
      <w:bodyDiv w:val="1"/>
      <w:marLeft w:val="0"/>
      <w:marRight w:val="0"/>
      <w:marTop w:val="0"/>
      <w:marBottom w:val="0"/>
      <w:divBdr>
        <w:top w:val="none" w:sz="0" w:space="0" w:color="auto"/>
        <w:left w:val="none" w:sz="0" w:space="0" w:color="auto"/>
        <w:bottom w:val="none" w:sz="0" w:space="0" w:color="auto"/>
        <w:right w:val="none" w:sz="0" w:space="0" w:color="auto"/>
      </w:divBdr>
    </w:div>
    <w:div w:id="1691183375">
      <w:bodyDiv w:val="1"/>
      <w:marLeft w:val="0"/>
      <w:marRight w:val="0"/>
      <w:marTop w:val="0"/>
      <w:marBottom w:val="0"/>
      <w:divBdr>
        <w:top w:val="none" w:sz="0" w:space="0" w:color="auto"/>
        <w:left w:val="none" w:sz="0" w:space="0" w:color="auto"/>
        <w:bottom w:val="none" w:sz="0" w:space="0" w:color="auto"/>
        <w:right w:val="none" w:sz="0" w:space="0" w:color="auto"/>
      </w:divBdr>
    </w:div>
    <w:div w:id="1762944512">
      <w:bodyDiv w:val="1"/>
      <w:marLeft w:val="0"/>
      <w:marRight w:val="0"/>
      <w:marTop w:val="0"/>
      <w:marBottom w:val="0"/>
      <w:divBdr>
        <w:top w:val="none" w:sz="0" w:space="0" w:color="auto"/>
        <w:left w:val="none" w:sz="0" w:space="0" w:color="auto"/>
        <w:bottom w:val="none" w:sz="0" w:space="0" w:color="auto"/>
        <w:right w:val="none" w:sz="0" w:space="0" w:color="auto"/>
      </w:divBdr>
    </w:div>
    <w:div w:id="1853448158">
      <w:bodyDiv w:val="1"/>
      <w:marLeft w:val="0"/>
      <w:marRight w:val="0"/>
      <w:marTop w:val="0"/>
      <w:marBottom w:val="0"/>
      <w:divBdr>
        <w:top w:val="none" w:sz="0" w:space="0" w:color="auto"/>
        <w:left w:val="none" w:sz="0" w:space="0" w:color="auto"/>
        <w:bottom w:val="none" w:sz="0" w:space="0" w:color="auto"/>
        <w:right w:val="none" w:sz="0" w:space="0" w:color="auto"/>
      </w:divBdr>
    </w:div>
    <w:div w:id="1941988133">
      <w:bodyDiv w:val="1"/>
      <w:marLeft w:val="0"/>
      <w:marRight w:val="0"/>
      <w:marTop w:val="0"/>
      <w:marBottom w:val="0"/>
      <w:divBdr>
        <w:top w:val="none" w:sz="0" w:space="0" w:color="auto"/>
        <w:left w:val="none" w:sz="0" w:space="0" w:color="auto"/>
        <w:bottom w:val="none" w:sz="0" w:space="0" w:color="auto"/>
        <w:right w:val="none" w:sz="0" w:space="0" w:color="auto"/>
      </w:divBdr>
    </w:div>
    <w:div w:id="1953198264">
      <w:bodyDiv w:val="1"/>
      <w:marLeft w:val="0"/>
      <w:marRight w:val="0"/>
      <w:marTop w:val="0"/>
      <w:marBottom w:val="0"/>
      <w:divBdr>
        <w:top w:val="none" w:sz="0" w:space="0" w:color="auto"/>
        <w:left w:val="none" w:sz="0" w:space="0" w:color="auto"/>
        <w:bottom w:val="none" w:sz="0" w:space="0" w:color="auto"/>
        <w:right w:val="none" w:sz="0" w:space="0" w:color="auto"/>
      </w:divBdr>
    </w:div>
    <w:div w:id="1958367018">
      <w:bodyDiv w:val="1"/>
      <w:marLeft w:val="0"/>
      <w:marRight w:val="0"/>
      <w:marTop w:val="0"/>
      <w:marBottom w:val="0"/>
      <w:divBdr>
        <w:top w:val="none" w:sz="0" w:space="0" w:color="auto"/>
        <w:left w:val="none" w:sz="0" w:space="0" w:color="auto"/>
        <w:bottom w:val="none" w:sz="0" w:space="0" w:color="auto"/>
        <w:right w:val="none" w:sz="0" w:space="0" w:color="auto"/>
      </w:divBdr>
    </w:div>
    <w:div w:id="1963918841">
      <w:bodyDiv w:val="1"/>
      <w:marLeft w:val="0"/>
      <w:marRight w:val="0"/>
      <w:marTop w:val="0"/>
      <w:marBottom w:val="0"/>
      <w:divBdr>
        <w:top w:val="none" w:sz="0" w:space="0" w:color="auto"/>
        <w:left w:val="none" w:sz="0" w:space="0" w:color="auto"/>
        <w:bottom w:val="none" w:sz="0" w:space="0" w:color="auto"/>
        <w:right w:val="none" w:sz="0" w:space="0" w:color="auto"/>
      </w:divBdr>
    </w:div>
    <w:div w:id="1978073769">
      <w:bodyDiv w:val="1"/>
      <w:marLeft w:val="0"/>
      <w:marRight w:val="0"/>
      <w:marTop w:val="0"/>
      <w:marBottom w:val="0"/>
      <w:divBdr>
        <w:top w:val="none" w:sz="0" w:space="0" w:color="auto"/>
        <w:left w:val="none" w:sz="0" w:space="0" w:color="auto"/>
        <w:bottom w:val="none" w:sz="0" w:space="0" w:color="auto"/>
        <w:right w:val="none" w:sz="0" w:space="0" w:color="auto"/>
      </w:divBdr>
    </w:div>
    <w:div w:id="1984503455">
      <w:bodyDiv w:val="1"/>
      <w:marLeft w:val="0"/>
      <w:marRight w:val="0"/>
      <w:marTop w:val="0"/>
      <w:marBottom w:val="0"/>
      <w:divBdr>
        <w:top w:val="none" w:sz="0" w:space="0" w:color="auto"/>
        <w:left w:val="none" w:sz="0" w:space="0" w:color="auto"/>
        <w:bottom w:val="none" w:sz="0" w:space="0" w:color="auto"/>
        <w:right w:val="none" w:sz="0" w:space="0" w:color="auto"/>
      </w:divBdr>
    </w:div>
    <w:div w:id="2014530599">
      <w:bodyDiv w:val="1"/>
      <w:marLeft w:val="0"/>
      <w:marRight w:val="0"/>
      <w:marTop w:val="0"/>
      <w:marBottom w:val="0"/>
      <w:divBdr>
        <w:top w:val="none" w:sz="0" w:space="0" w:color="auto"/>
        <w:left w:val="none" w:sz="0" w:space="0" w:color="auto"/>
        <w:bottom w:val="none" w:sz="0" w:space="0" w:color="auto"/>
        <w:right w:val="none" w:sz="0" w:space="0" w:color="auto"/>
      </w:divBdr>
    </w:div>
    <w:div w:id="2048944948">
      <w:bodyDiv w:val="1"/>
      <w:marLeft w:val="0"/>
      <w:marRight w:val="0"/>
      <w:marTop w:val="0"/>
      <w:marBottom w:val="0"/>
      <w:divBdr>
        <w:top w:val="none" w:sz="0" w:space="0" w:color="auto"/>
        <w:left w:val="none" w:sz="0" w:space="0" w:color="auto"/>
        <w:bottom w:val="none" w:sz="0" w:space="0" w:color="auto"/>
        <w:right w:val="none" w:sz="0" w:space="0" w:color="auto"/>
      </w:divBdr>
    </w:div>
    <w:div w:id="2049838901">
      <w:bodyDiv w:val="1"/>
      <w:marLeft w:val="0"/>
      <w:marRight w:val="0"/>
      <w:marTop w:val="0"/>
      <w:marBottom w:val="0"/>
      <w:divBdr>
        <w:top w:val="none" w:sz="0" w:space="0" w:color="auto"/>
        <w:left w:val="none" w:sz="0" w:space="0" w:color="auto"/>
        <w:bottom w:val="none" w:sz="0" w:space="0" w:color="auto"/>
        <w:right w:val="none" w:sz="0" w:space="0" w:color="auto"/>
      </w:divBdr>
    </w:div>
    <w:div w:id="2108192209">
      <w:bodyDiv w:val="1"/>
      <w:marLeft w:val="0"/>
      <w:marRight w:val="0"/>
      <w:marTop w:val="0"/>
      <w:marBottom w:val="0"/>
      <w:divBdr>
        <w:top w:val="none" w:sz="0" w:space="0" w:color="auto"/>
        <w:left w:val="none" w:sz="0" w:space="0" w:color="auto"/>
        <w:bottom w:val="none" w:sz="0" w:space="0" w:color="auto"/>
        <w:right w:val="none" w:sz="0" w:space="0" w:color="auto"/>
      </w:divBdr>
    </w:div>
    <w:div w:id="212834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image" Target="media/image5.png"/><Relationship Id="rId26" Type="http://schemas.openxmlformats.org/officeDocument/2006/relationships/image" Target="media/image11.emf"/><Relationship Id="rId39" Type="http://schemas.openxmlformats.org/officeDocument/2006/relationships/image" Target="media/image19.png"/><Relationship Id="rId21" Type="http://schemas.openxmlformats.org/officeDocument/2006/relationships/image" Target="media/image7.wmf"/><Relationship Id="rId34" Type="http://schemas.openxmlformats.org/officeDocument/2006/relationships/image" Target="media/image17.png"/><Relationship Id="rId42" Type="http://schemas.openxmlformats.org/officeDocument/2006/relationships/image" Target="media/image22.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9.png"/><Relationship Id="rId32" Type="http://schemas.openxmlformats.org/officeDocument/2006/relationships/oleObject" Target="embeddings/oleObject4.bin"/><Relationship Id="rId37" Type="http://schemas.openxmlformats.org/officeDocument/2006/relationships/chart" Target="charts/chart4.xml"/><Relationship Id="rId40" Type="http://schemas.openxmlformats.org/officeDocument/2006/relationships/image" Target="media/image20.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8.emf"/><Relationship Id="rId28" Type="http://schemas.openxmlformats.org/officeDocument/2006/relationships/image" Target="media/image13.emf"/><Relationship Id="rId36" Type="http://schemas.openxmlformats.org/officeDocument/2006/relationships/image" Target="media/image18.png"/><Relationship Id="rId10" Type="http://schemas.openxmlformats.org/officeDocument/2006/relationships/footer" Target="footer2.xml"/><Relationship Id="rId19" Type="http://schemas.openxmlformats.org/officeDocument/2006/relationships/image" Target="media/image6.wmf"/><Relationship Id="rId31" Type="http://schemas.openxmlformats.org/officeDocument/2006/relationships/oleObject" Target="embeddings/oleObject3.bin"/><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2.xml"/><Relationship Id="rId22" Type="http://schemas.openxmlformats.org/officeDocument/2006/relationships/oleObject" Target="embeddings/oleObject2.bin"/><Relationship Id="rId27" Type="http://schemas.openxmlformats.org/officeDocument/2006/relationships/image" Target="media/image12.png"/><Relationship Id="rId30" Type="http://schemas.openxmlformats.org/officeDocument/2006/relationships/image" Target="media/image15.wmf"/><Relationship Id="rId35" Type="http://schemas.openxmlformats.org/officeDocument/2006/relationships/chart" Target="charts/chart3.xml"/><Relationship Id="rId43" Type="http://schemas.openxmlformats.org/officeDocument/2006/relationships/image" Target="media/image23.png"/><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4.png"/><Relationship Id="rId25" Type="http://schemas.openxmlformats.org/officeDocument/2006/relationships/image" Target="media/image10.png"/><Relationship Id="rId33" Type="http://schemas.openxmlformats.org/officeDocument/2006/relationships/image" Target="media/image16.png"/><Relationship Id="rId38" Type="http://schemas.openxmlformats.org/officeDocument/2006/relationships/chart" Target="charts/chart5.xml"/><Relationship Id="rId46" Type="http://schemas.openxmlformats.org/officeDocument/2006/relationships/theme" Target="theme/theme1.xml"/><Relationship Id="rId20" Type="http://schemas.openxmlformats.org/officeDocument/2006/relationships/oleObject" Target="embeddings/oleObject1.bin"/><Relationship Id="rId41" Type="http://schemas.openxmlformats.org/officeDocument/2006/relationships/image" Target="media/image21.png"/></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Heat_inde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WHACK\Limbo\SDGE\Statewide%20CPP\PY2017\Report\BlackBox.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WHACK\Limbo\SDGE\Statewide%20CPP\PY2017\Report\BlackBox.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WHACK\Limbo\SDGE\Statewide%20CPP\PY2017\Report\BlackBox.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WHACK\Limbo\SDGE\Statewide%20CPP\PY2017\Report\BlackBox.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WHACK\Limbo\SDGE\Statewide%20CPP\PY2017\Report\BlackBox.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888888888888889E-2"/>
          <c:y val="5.5555555555555552E-2"/>
          <c:w val="0.93888888888888888"/>
          <c:h val="0.89814814814814814"/>
        </c:manualLayout>
      </c:layout>
      <c:barChart>
        <c:barDir val="col"/>
        <c:grouping val="clustered"/>
        <c:varyColors val="0"/>
        <c:ser>
          <c:idx val="0"/>
          <c:order val="0"/>
          <c:spPr>
            <a:solidFill>
              <a:schemeClr val="accent1"/>
            </a:solidFill>
            <a:ln>
              <a:noFill/>
            </a:ln>
            <a:effectLst/>
          </c:spPr>
          <c:invertIfNegative val="0"/>
          <c:val>
            <c:numRef>
              <c:f>Sheet1!$O$9</c:f>
              <c:numCache>
                <c:formatCode>General</c:formatCode>
                <c:ptCount val="1"/>
                <c:pt idx="0">
                  <c:v>0</c:v>
                </c:pt>
              </c:numCache>
            </c:numRef>
          </c:val>
          <c:extLst>
            <c:ext xmlns:c16="http://schemas.microsoft.com/office/drawing/2014/chart" uri="{C3380CC4-5D6E-409C-BE32-E72D297353CC}">
              <c16:uniqueId val="{00000000-C21D-4E74-BF09-E8A969BFCD7D}"/>
            </c:ext>
          </c:extLst>
        </c:ser>
        <c:dLbls>
          <c:showLegendKey val="0"/>
          <c:showVal val="0"/>
          <c:showCatName val="0"/>
          <c:showSerName val="0"/>
          <c:showPercent val="0"/>
          <c:showBubbleSize val="0"/>
        </c:dLbls>
        <c:gapWidth val="219"/>
        <c:overlap val="-27"/>
        <c:axId val="1133943728"/>
        <c:axId val="1195903040"/>
      </c:barChart>
      <c:catAx>
        <c:axId val="1133943728"/>
        <c:scaling>
          <c:orientation val="minMax"/>
        </c:scaling>
        <c:delete val="1"/>
        <c:axPos val="b"/>
        <c:numFmt formatCode="General" sourceLinked="1"/>
        <c:majorTickMark val="none"/>
        <c:minorTickMark val="none"/>
        <c:tickLblPos val="nextTo"/>
        <c:crossAx val="1195903040"/>
        <c:crosses val="autoZero"/>
        <c:auto val="1"/>
        <c:lblAlgn val="ctr"/>
        <c:lblOffset val="100"/>
        <c:noMultiLvlLbl val="0"/>
      </c:catAx>
      <c:valAx>
        <c:axId val="1195903040"/>
        <c:scaling>
          <c:orientation val="minMax"/>
        </c:scaling>
        <c:delete val="1"/>
        <c:axPos val="l"/>
        <c:majorGridlines>
          <c:spPr>
            <a:ln w="9525" cap="flat" cmpd="sng" algn="ctr">
              <a:noFill/>
              <a:round/>
            </a:ln>
            <a:effectLst/>
          </c:spPr>
        </c:majorGridlines>
        <c:numFmt formatCode="General" sourceLinked="1"/>
        <c:majorTickMark val="none"/>
        <c:minorTickMark val="none"/>
        <c:tickLblPos val="nextTo"/>
        <c:crossAx val="1133943728"/>
        <c:crosses val="autoZero"/>
        <c:crossBetween val="between"/>
      </c:valAx>
      <c:spPr>
        <a:solidFill>
          <a:schemeClr val="tx1"/>
        </a:solidFill>
        <a:ln w="25400">
          <a:noFill/>
        </a:ln>
        <a:effectLst/>
      </c:spPr>
    </c:plotArea>
    <c:plotVisOnly val="1"/>
    <c:dispBlanksAs val="gap"/>
    <c:showDLblsOverMax val="0"/>
  </c:chart>
  <c:spPr>
    <a:solidFill>
      <a:schemeClr val="tx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888888888888889E-2"/>
          <c:y val="5.5555555555555552E-2"/>
          <c:w val="0.93888888888888888"/>
          <c:h val="0.89814814814814814"/>
        </c:manualLayout>
      </c:layout>
      <c:barChart>
        <c:barDir val="col"/>
        <c:grouping val="clustered"/>
        <c:varyColors val="0"/>
        <c:ser>
          <c:idx val="0"/>
          <c:order val="0"/>
          <c:spPr>
            <a:solidFill>
              <a:schemeClr val="accent1"/>
            </a:solidFill>
            <a:ln>
              <a:noFill/>
            </a:ln>
            <a:effectLst/>
          </c:spPr>
          <c:invertIfNegative val="0"/>
          <c:val>
            <c:numRef>
              <c:f>Sheet1!$O$9</c:f>
              <c:numCache>
                <c:formatCode>General</c:formatCode>
                <c:ptCount val="1"/>
                <c:pt idx="0">
                  <c:v>0</c:v>
                </c:pt>
              </c:numCache>
            </c:numRef>
          </c:val>
          <c:extLst>
            <c:ext xmlns:c16="http://schemas.microsoft.com/office/drawing/2014/chart" uri="{C3380CC4-5D6E-409C-BE32-E72D297353CC}">
              <c16:uniqueId val="{00000000-E6DF-4416-AE31-116313338366}"/>
            </c:ext>
          </c:extLst>
        </c:ser>
        <c:dLbls>
          <c:showLegendKey val="0"/>
          <c:showVal val="0"/>
          <c:showCatName val="0"/>
          <c:showSerName val="0"/>
          <c:showPercent val="0"/>
          <c:showBubbleSize val="0"/>
        </c:dLbls>
        <c:gapWidth val="219"/>
        <c:overlap val="-27"/>
        <c:axId val="1133943728"/>
        <c:axId val="1195903040"/>
      </c:barChart>
      <c:catAx>
        <c:axId val="1133943728"/>
        <c:scaling>
          <c:orientation val="minMax"/>
        </c:scaling>
        <c:delete val="1"/>
        <c:axPos val="b"/>
        <c:numFmt formatCode="General" sourceLinked="1"/>
        <c:majorTickMark val="none"/>
        <c:minorTickMark val="none"/>
        <c:tickLblPos val="nextTo"/>
        <c:crossAx val="1195903040"/>
        <c:crosses val="autoZero"/>
        <c:auto val="1"/>
        <c:lblAlgn val="ctr"/>
        <c:lblOffset val="100"/>
        <c:noMultiLvlLbl val="0"/>
      </c:catAx>
      <c:valAx>
        <c:axId val="1195903040"/>
        <c:scaling>
          <c:orientation val="minMax"/>
        </c:scaling>
        <c:delete val="1"/>
        <c:axPos val="l"/>
        <c:majorGridlines>
          <c:spPr>
            <a:ln w="9525" cap="flat" cmpd="sng" algn="ctr">
              <a:noFill/>
              <a:round/>
            </a:ln>
            <a:effectLst/>
          </c:spPr>
        </c:majorGridlines>
        <c:numFmt formatCode="General" sourceLinked="1"/>
        <c:majorTickMark val="none"/>
        <c:minorTickMark val="none"/>
        <c:tickLblPos val="nextTo"/>
        <c:crossAx val="1133943728"/>
        <c:crosses val="autoZero"/>
        <c:crossBetween val="between"/>
      </c:valAx>
      <c:spPr>
        <a:solidFill>
          <a:schemeClr val="tx1"/>
        </a:solidFill>
        <a:ln w="25400">
          <a:noFill/>
        </a:ln>
        <a:effectLst/>
      </c:spPr>
    </c:plotArea>
    <c:plotVisOnly val="1"/>
    <c:dispBlanksAs val="gap"/>
    <c:showDLblsOverMax val="0"/>
  </c:chart>
  <c:spPr>
    <a:solidFill>
      <a:schemeClr val="tx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888888888888889E-2"/>
          <c:y val="5.5555555555555552E-2"/>
          <c:w val="0.93888888888888888"/>
          <c:h val="0.89814814814814814"/>
        </c:manualLayout>
      </c:layout>
      <c:barChart>
        <c:barDir val="col"/>
        <c:grouping val="clustered"/>
        <c:varyColors val="0"/>
        <c:ser>
          <c:idx val="0"/>
          <c:order val="0"/>
          <c:spPr>
            <a:solidFill>
              <a:schemeClr val="accent1"/>
            </a:solidFill>
            <a:ln>
              <a:noFill/>
            </a:ln>
            <a:effectLst/>
          </c:spPr>
          <c:invertIfNegative val="0"/>
          <c:val>
            <c:numRef>
              <c:f>Sheet1!$O$9</c:f>
              <c:numCache>
                <c:formatCode>General</c:formatCode>
                <c:ptCount val="1"/>
                <c:pt idx="0">
                  <c:v>0</c:v>
                </c:pt>
              </c:numCache>
            </c:numRef>
          </c:val>
          <c:extLst>
            <c:ext xmlns:c16="http://schemas.microsoft.com/office/drawing/2014/chart" uri="{C3380CC4-5D6E-409C-BE32-E72D297353CC}">
              <c16:uniqueId val="{00000000-6837-4EC6-B8DF-9465EC763A6F}"/>
            </c:ext>
          </c:extLst>
        </c:ser>
        <c:dLbls>
          <c:showLegendKey val="0"/>
          <c:showVal val="0"/>
          <c:showCatName val="0"/>
          <c:showSerName val="0"/>
          <c:showPercent val="0"/>
          <c:showBubbleSize val="0"/>
        </c:dLbls>
        <c:gapWidth val="219"/>
        <c:overlap val="-27"/>
        <c:axId val="1133943728"/>
        <c:axId val="1195903040"/>
      </c:barChart>
      <c:catAx>
        <c:axId val="1133943728"/>
        <c:scaling>
          <c:orientation val="minMax"/>
        </c:scaling>
        <c:delete val="1"/>
        <c:axPos val="b"/>
        <c:numFmt formatCode="General" sourceLinked="1"/>
        <c:majorTickMark val="none"/>
        <c:minorTickMark val="none"/>
        <c:tickLblPos val="nextTo"/>
        <c:crossAx val="1195903040"/>
        <c:crosses val="autoZero"/>
        <c:auto val="1"/>
        <c:lblAlgn val="ctr"/>
        <c:lblOffset val="100"/>
        <c:noMultiLvlLbl val="0"/>
      </c:catAx>
      <c:valAx>
        <c:axId val="1195903040"/>
        <c:scaling>
          <c:orientation val="minMax"/>
        </c:scaling>
        <c:delete val="1"/>
        <c:axPos val="l"/>
        <c:majorGridlines>
          <c:spPr>
            <a:ln w="9525" cap="flat" cmpd="sng" algn="ctr">
              <a:noFill/>
              <a:round/>
            </a:ln>
            <a:effectLst/>
          </c:spPr>
        </c:majorGridlines>
        <c:numFmt formatCode="General" sourceLinked="1"/>
        <c:majorTickMark val="none"/>
        <c:minorTickMark val="none"/>
        <c:tickLblPos val="nextTo"/>
        <c:crossAx val="1133943728"/>
        <c:crosses val="autoZero"/>
        <c:crossBetween val="between"/>
      </c:valAx>
      <c:spPr>
        <a:solidFill>
          <a:schemeClr val="tx1"/>
        </a:solidFill>
        <a:ln w="25400">
          <a:noFill/>
        </a:ln>
        <a:effectLst/>
      </c:spPr>
    </c:plotArea>
    <c:plotVisOnly val="1"/>
    <c:dispBlanksAs val="gap"/>
    <c:showDLblsOverMax val="0"/>
  </c:chart>
  <c:spPr>
    <a:solidFill>
      <a:schemeClr val="tx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888888888888889E-2"/>
          <c:y val="5.5555555555555552E-2"/>
          <c:w val="0.93888888888888888"/>
          <c:h val="0.89814814814814814"/>
        </c:manualLayout>
      </c:layout>
      <c:barChart>
        <c:barDir val="col"/>
        <c:grouping val="clustered"/>
        <c:varyColors val="0"/>
        <c:ser>
          <c:idx val="0"/>
          <c:order val="0"/>
          <c:spPr>
            <a:solidFill>
              <a:schemeClr val="accent1"/>
            </a:solidFill>
            <a:ln>
              <a:noFill/>
            </a:ln>
            <a:effectLst/>
          </c:spPr>
          <c:invertIfNegative val="0"/>
          <c:val>
            <c:numRef>
              <c:f>Sheet1!$O$9</c:f>
              <c:numCache>
                <c:formatCode>General</c:formatCode>
                <c:ptCount val="1"/>
                <c:pt idx="0">
                  <c:v>0</c:v>
                </c:pt>
              </c:numCache>
            </c:numRef>
          </c:val>
          <c:extLst>
            <c:ext xmlns:c16="http://schemas.microsoft.com/office/drawing/2014/chart" uri="{C3380CC4-5D6E-409C-BE32-E72D297353CC}">
              <c16:uniqueId val="{00000000-D59A-40FA-9C19-5E33FBF4CC9E}"/>
            </c:ext>
          </c:extLst>
        </c:ser>
        <c:dLbls>
          <c:showLegendKey val="0"/>
          <c:showVal val="0"/>
          <c:showCatName val="0"/>
          <c:showSerName val="0"/>
          <c:showPercent val="0"/>
          <c:showBubbleSize val="0"/>
        </c:dLbls>
        <c:gapWidth val="219"/>
        <c:overlap val="-27"/>
        <c:axId val="1133943728"/>
        <c:axId val="1195903040"/>
      </c:barChart>
      <c:catAx>
        <c:axId val="1133943728"/>
        <c:scaling>
          <c:orientation val="minMax"/>
        </c:scaling>
        <c:delete val="1"/>
        <c:axPos val="b"/>
        <c:numFmt formatCode="General" sourceLinked="1"/>
        <c:majorTickMark val="none"/>
        <c:minorTickMark val="none"/>
        <c:tickLblPos val="nextTo"/>
        <c:crossAx val="1195903040"/>
        <c:crosses val="autoZero"/>
        <c:auto val="1"/>
        <c:lblAlgn val="ctr"/>
        <c:lblOffset val="100"/>
        <c:noMultiLvlLbl val="0"/>
      </c:catAx>
      <c:valAx>
        <c:axId val="1195903040"/>
        <c:scaling>
          <c:orientation val="minMax"/>
        </c:scaling>
        <c:delete val="1"/>
        <c:axPos val="l"/>
        <c:majorGridlines>
          <c:spPr>
            <a:ln w="9525" cap="flat" cmpd="sng" algn="ctr">
              <a:noFill/>
              <a:round/>
            </a:ln>
            <a:effectLst/>
          </c:spPr>
        </c:majorGridlines>
        <c:numFmt formatCode="General" sourceLinked="1"/>
        <c:majorTickMark val="none"/>
        <c:minorTickMark val="none"/>
        <c:tickLblPos val="nextTo"/>
        <c:crossAx val="1133943728"/>
        <c:crosses val="autoZero"/>
        <c:crossBetween val="between"/>
      </c:valAx>
      <c:spPr>
        <a:solidFill>
          <a:schemeClr val="tx1"/>
        </a:solidFill>
        <a:ln w="25400">
          <a:noFill/>
        </a:ln>
        <a:effectLst/>
      </c:spPr>
    </c:plotArea>
    <c:plotVisOnly val="1"/>
    <c:dispBlanksAs val="gap"/>
    <c:showDLblsOverMax val="0"/>
  </c:chart>
  <c:spPr>
    <a:solidFill>
      <a:schemeClr val="tx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888888888888889E-2"/>
          <c:y val="5.5555555555555552E-2"/>
          <c:w val="0.93888888888888888"/>
          <c:h val="0.89814814814814814"/>
        </c:manualLayout>
      </c:layout>
      <c:barChart>
        <c:barDir val="col"/>
        <c:grouping val="clustered"/>
        <c:varyColors val="0"/>
        <c:ser>
          <c:idx val="0"/>
          <c:order val="0"/>
          <c:spPr>
            <a:solidFill>
              <a:schemeClr val="accent1"/>
            </a:solidFill>
            <a:ln>
              <a:noFill/>
            </a:ln>
            <a:effectLst/>
          </c:spPr>
          <c:invertIfNegative val="0"/>
          <c:val>
            <c:numRef>
              <c:f>Sheet1!$O$9</c:f>
              <c:numCache>
                <c:formatCode>General</c:formatCode>
                <c:ptCount val="1"/>
                <c:pt idx="0">
                  <c:v>0</c:v>
                </c:pt>
              </c:numCache>
            </c:numRef>
          </c:val>
          <c:extLst>
            <c:ext xmlns:c16="http://schemas.microsoft.com/office/drawing/2014/chart" uri="{C3380CC4-5D6E-409C-BE32-E72D297353CC}">
              <c16:uniqueId val="{00000000-8E16-4D94-9387-5C5B8DA2237B}"/>
            </c:ext>
          </c:extLst>
        </c:ser>
        <c:dLbls>
          <c:showLegendKey val="0"/>
          <c:showVal val="0"/>
          <c:showCatName val="0"/>
          <c:showSerName val="0"/>
          <c:showPercent val="0"/>
          <c:showBubbleSize val="0"/>
        </c:dLbls>
        <c:gapWidth val="219"/>
        <c:overlap val="-27"/>
        <c:axId val="1133943728"/>
        <c:axId val="1195903040"/>
      </c:barChart>
      <c:catAx>
        <c:axId val="1133943728"/>
        <c:scaling>
          <c:orientation val="minMax"/>
        </c:scaling>
        <c:delete val="1"/>
        <c:axPos val="b"/>
        <c:numFmt formatCode="General" sourceLinked="1"/>
        <c:majorTickMark val="none"/>
        <c:minorTickMark val="none"/>
        <c:tickLblPos val="nextTo"/>
        <c:crossAx val="1195903040"/>
        <c:crosses val="autoZero"/>
        <c:auto val="1"/>
        <c:lblAlgn val="ctr"/>
        <c:lblOffset val="100"/>
        <c:noMultiLvlLbl val="0"/>
      </c:catAx>
      <c:valAx>
        <c:axId val="1195903040"/>
        <c:scaling>
          <c:orientation val="minMax"/>
        </c:scaling>
        <c:delete val="1"/>
        <c:axPos val="l"/>
        <c:majorGridlines>
          <c:spPr>
            <a:ln w="9525" cap="flat" cmpd="sng" algn="ctr">
              <a:noFill/>
              <a:round/>
            </a:ln>
            <a:effectLst/>
          </c:spPr>
        </c:majorGridlines>
        <c:numFmt formatCode="General" sourceLinked="1"/>
        <c:majorTickMark val="none"/>
        <c:minorTickMark val="none"/>
        <c:tickLblPos val="nextTo"/>
        <c:crossAx val="1133943728"/>
        <c:crosses val="autoZero"/>
        <c:crossBetween val="between"/>
      </c:valAx>
      <c:spPr>
        <a:solidFill>
          <a:schemeClr val="tx1"/>
        </a:solidFill>
        <a:ln w="25400">
          <a:noFill/>
        </a:ln>
        <a:effectLst/>
      </c:spPr>
    </c:plotArea>
    <c:plotVisOnly val="1"/>
    <c:dispBlanksAs val="gap"/>
    <c:showDLblsOverMax val="0"/>
  </c:chart>
  <c:spPr>
    <a:solidFill>
      <a:schemeClr val="tx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BBFA2-2B9A-41E8-889D-618558958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69</Pages>
  <Words>15871</Words>
  <Characters>96306</Characters>
  <Application>Microsoft Office Word</Application>
  <DocSecurity>0</DocSecurity>
  <Lines>802</Lines>
  <Paragraphs>223</Paragraphs>
  <ScaleCrop>false</ScaleCrop>
  <HeadingPairs>
    <vt:vector size="2" baseType="variant">
      <vt:variant>
        <vt:lpstr>Title</vt:lpstr>
      </vt:variant>
      <vt:variant>
        <vt:i4>1</vt:i4>
      </vt:variant>
    </vt:vector>
  </HeadingPairs>
  <TitlesOfParts>
    <vt:vector size="1" baseType="lpstr">
      <vt:lpstr/>
    </vt:vector>
  </TitlesOfParts>
  <Company>Sempra Energy</Company>
  <LinksUpToDate>false</LinksUpToDate>
  <CharactersWithSpaces>111954</CharactersWithSpaces>
  <SharedDoc>false</SharedDoc>
  <HLinks>
    <vt:vector size="1026" baseType="variant">
      <vt:variant>
        <vt:i4>1966134</vt:i4>
      </vt:variant>
      <vt:variant>
        <vt:i4>1022</vt:i4>
      </vt:variant>
      <vt:variant>
        <vt:i4>0</vt:i4>
      </vt:variant>
      <vt:variant>
        <vt:i4>5</vt:i4>
      </vt:variant>
      <vt:variant>
        <vt:lpwstr/>
      </vt:variant>
      <vt:variant>
        <vt:lpwstr>_Toc380052037</vt:lpwstr>
      </vt:variant>
      <vt:variant>
        <vt:i4>1966134</vt:i4>
      </vt:variant>
      <vt:variant>
        <vt:i4>1016</vt:i4>
      </vt:variant>
      <vt:variant>
        <vt:i4>0</vt:i4>
      </vt:variant>
      <vt:variant>
        <vt:i4>5</vt:i4>
      </vt:variant>
      <vt:variant>
        <vt:lpwstr/>
      </vt:variant>
      <vt:variant>
        <vt:lpwstr>_Toc380052036</vt:lpwstr>
      </vt:variant>
      <vt:variant>
        <vt:i4>1966134</vt:i4>
      </vt:variant>
      <vt:variant>
        <vt:i4>1010</vt:i4>
      </vt:variant>
      <vt:variant>
        <vt:i4>0</vt:i4>
      </vt:variant>
      <vt:variant>
        <vt:i4>5</vt:i4>
      </vt:variant>
      <vt:variant>
        <vt:lpwstr/>
      </vt:variant>
      <vt:variant>
        <vt:lpwstr>_Toc380052035</vt:lpwstr>
      </vt:variant>
      <vt:variant>
        <vt:i4>1966134</vt:i4>
      </vt:variant>
      <vt:variant>
        <vt:i4>1004</vt:i4>
      </vt:variant>
      <vt:variant>
        <vt:i4>0</vt:i4>
      </vt:variant>
      <vt:variant>
        <vt:i4>5</vt:i4>
      </vt:variant>
      <vt:variant>
        <vt:lpwstr/>
      </vt:variant>
      <vt:variant>
        <vt:lpwstr>_Toc380052034</vt:lpwstr>
      </vt:variant>
      <vt:variant>
        <vt:i4>1966134</vt:i4>
      </vt:variant>
      <vt:variant>
        <vt:i4>998</vt:i4>
      </vt:variant>
      <vt:variant>
        <vt:i4>0</vt:i4>
      </vt:variant>
      <vt:variant>
        <vt:i4>5</vt:i4>
      </vt:variant>
      <vt:variant>
        <vt:lpwstr/>
      </vt:variant>
      <vt:variant>
        <vt:lpwstr>_Toc380052033</vt:lpwstr>
      </vt:variant>
      <vt:variant>
        <vt:i4>1966134</vt:i4>
      </vt:variant>
      <vt:variant>
        <vt:i4>992</vt:i4>
      </vt:variant>
      <vt:variant>
        <vt:i4>0</vt:i4>
      </vt:variant>
      <vt:variant>
        <vt:i4>5</vt:i4>
      </vt:variant>
      <vt:variant>
        <vt:lpwstr/>
      </vt:variant>
      <vt:variant>
        <vt:lpwstr>_Toc380052032</vt:lpwstr>
      </vt:variant>
      <vt:variant>
        <vt:i4>1966134</vt:i4>
      </vt:variant>
      <vt:variant>
        <vt:i4>986</vt:i4>
      </vt:variant>
      <vt:variant>
        <vt:i4>0</vt:i4>
      </vt:variant>
      <vt:variant>
        <vt:i4>5</vt:i4>
      </vt:variant>
      <vt:variant>
        <vt:lpwstr/>
      </vt:variant>
      <vt:variant>
        <vt:lpwstr>_Toc380052031</vt:lpwstr>
      </vt:variant>
      <vt:variant>
        <vt:i4>1966134</vt:i4>
      </vt:variant>
      <vt:variant>
        <vt:i4>980</vt:i4>
      </vt:variant>
      <vt:variant>
        <vt:i4>0</vt:i4>
      </vt:variant>
      <vt:variant>
        <vt:i4>5</vt:i4>
      </vt:variant>
      <vt:variant>
        <vt:lpwstr/>
      </vt:variant>
      <vt:variant>
        <vt:lpwstr>_Toc380052030</vt:lpwstr>
      </vt:variant>
      <vt:variant>
        <vt:i4>2031670</vt:i4>
      </vt:variant>
      <vt:variant>
        <vt:i4>974</vt:i4>
      </vt:variant>
      <vt:variant>
        <vt:i4>0</vt:i4>
      </vt:variant>
      <vt:variant>
        <vt:i4>5</vt:i4>
      </vt:variant>
      <vt:variant>
        <vt:lpwstr/>
      </vt:variant>
      <vt:variant>
        <vt:lpwstr>_Toc380052029</vt:lpwstr>
      </vt:variant>
      <vt:variant>
        <vt:i4>2031670</vt:i4>
      </vt:variant>
      <vt:variant>
        <vt:i4>968</vt:i4>
      </vt:variant>
      <vt:variant>
        <vt:i4>0</vt:i4>
      </vt:variant>
      <vt:variant>
        <vt:i4>5</vt:i4>
      </vt:variant>
      <vt:variant>
        <vt:lpwstr/>
      </vt:variant>
      <vt:variant>
        <vt:lpwstr>_Toc380052028</vt:lpwstr>
      </vt:variant>
      <vt:variant>
        <vt:i4>2031670</vt:i4>
      </vt:variant>
      <vt:variant>
        <vt:i4>962</vt:i4>
      </vt:variant>
      <vt:variant>
        <vt:i4>0</vt:i4>
      </vt:variant>
      <vt:variant>
        <vt:i4>5</vt:i4>
      </vt:variant>
      <vt:variant>
        <vt:lpwstr/>
      </vt:variant>
      <vt:variant>
        <vt:lpwstr>_Toc380052027</vt:lpwstr>
      </vt:variant>
      <vt:variant>
        <vt:i4>2031670</vt:i4>
      </vt:variant>
      <vt:variant>
        <vt:i4>956</vt:i4>
      </vt:variant>
      <vt:variant>
        <vt:i4>0</vt:i4>
      </vt:variant>
      <vt:variant>
        <vt:i4>5</vt:i4>
      </vt:variant>
      <vt:variant>
        <vt:lpwstr/>
      </vt:variant>
      <vt:variant>
        <vt:lpwstr>_Toc380052026</vt:lpwstr>
      </vt:variant>
      <vt:variant>
        <vt:i4>2031670</vt:i4>
      </vt:variant>
      <vt:variant>
        <vt:i4>950</vt:i4>
      </vt:variant>
      <vt:variant>
        <vt:i4>0</vt:i4>
      </vt:variant>
      <vt:variant>
        <vt:i4>5</vt:i4>
      </vt:variant>
      <vt:variant>
        <vt:lpwstr/>
      </vt:variant>
      <vt:variant>
        <vt:lpwstr>_Toc380052025</vt:lpwstr>
      </vt:variant>
      <vt:variant>
        <vt:i4>2031670</vt:i4>
      </vt:variant>
      <vt:variant>
        <vt:i4>944</vt:i4>
      </vt:variant>
      <vt:variant>
        <vt:i4>0</vt:i4>
      </vt:variant>
      <vt:variant>
        <vt:i4>5</vt:i4>
      </vt:variant>
      <vt:variant>
        <vt:lpwstr/>
      </vt:variant>
      <vt:variant>
        <vt:lpwstr>_Toc380052024</vt:lpwstr>
      </vt:variant>
      <vt:variant>
        <vt:i4>2031670</vt:i4>
      </vt:variant>
      <vt:variant>
        <vt:i4>938</vt:i4>
      </vt:variant>
      <vt:variant>
        <vt:i4>0</vt:i4>
      </vt:variant>
      <vt:variant>
        <vt:i4>5</vt:i4>
      </vt:variant>
      <vt:variant>
        <vt:lpwstr/>
      </vt:variant>
      <vt:variant>
        <vt:lpwstr>_Toc380052023</vt:lpwstr>
      </vt:variant>
      <vt:variant>
        <vt:i4>2031670</vt:i4>
      </vt:variant>
      <vt:variant>
        <vt:i4>932</vt:i4>
      </vt:variant>
      <vt:variant>
        <vt:i4>0</vt:i4>
      </vt:variant>
      <vt:variant>
        <vt:i4>5</vt:i4>
      </vt:variant>
      <vt:variant>
        <vt:lpwstr/>
      </vt:variant>
      <vt:variant>
        <vt:lpwstr>_Toc380052022</vt:lpwstr>
      </vt:variant>
      <vt:variant>
        <vt:i4>2031670</vt:i4>
      </vt:variant>
      <vt:variant>
        <vt:i4>926</vt:i4>
      </vt:variant>
      <vt:variant>
        <vt:i4>0</vt:i4>
      </vt:variant>
      <vt:variant>
        <vt:i4>5</vt:i4>
      </vt:variant>
      <vt:variant>
        <vt:lpwstr/>
      </vt:variant>
      <vt:variant>
        <vt:lpwstr>_Toc380052021</vt:lpwstr>
      </vt:variant>
      <vt:variant>
        <vt:i4>2031670</vt:i4>
      </vt:variant>
      <vt:variant>
        <vt:i4>920</vt:i4>
      </vt:variant>
      <vt:variant>
        <vt:i4>0</vt:i4>
      </vt:variant>
      <vt:variant>
        <vt:i4>5</vt:i4>
      </vt:variant>
      <vt:variant>
        <vt:lpwstr/>
      </vt:variant>
      <vt:variant>
        <vt:lpwstr>_Toc380052020</vt:lpwstr>
      </vt:variant>
      <vt:variant>
        <vt:i4>1835062</vt:i4>
      </vt:variant>
      <vt:variant>
        <vt:i4>914</vt:i4>
      </vt:variant>
      <vt:variant>
        <vt:i4>0</vt:i4>
      </vt:variant>
      <vt:variant>
        <vt:i4>5</vt:i4>
      </vt:variant>
      <vt:variant>
        <vt:lpwstr/>
      </vt:variant>
      <vt:variant>
        <vt:lpwstr>_Toc380052019</vt:lpwstr>
      </vt:variant>
      <vt:variant>
        <vt:i4>1835062</vt:i4>
      </vt:variant>
      <vt:variant>
        <vt:i4>908</vt:i4>
      </vt:variant>
      <vt:variant>
        <vt:i4>0</vt:i4>
      </vt:variant>
      <vt:variant>
        <vt:i4>5</vt:i4>
      </vt:variant>
      <vt:variant>
        <vt:lpwstr/>
      </vt:variant>
      <vt:variant>
        <vt:lpwstr>_Toc380052018</vt:lpwstr>
      </vt:variant>
      <vt:variant>
        <vt:i4>1835062</vt:i4>
      </vt:variant>
      <vt:variant>
        <vt:i4>902</vt:i4>
      </vt:variant>
      <vt:variant>
        <vt:i4>0</vt:i4>
      </vt:variant>
      <vt:variant>
        <vt:i4>5</vt:i4>
      </vt:variant>
      <vt:variant>
        <vt:lpwstr/>
      </vt:variant>
      <vt:variant>
        <vt:lpwstr>_Toc380052017</vt:lpwstr>
      </vt:variant>
      <vt:variant>
        <vt:i4>1835062</vt:i4>
      </vt:variant>
      <vt:variant>
        <vt:i4>896</vt:i4>
      </vt:variant>
      <vt:variant>
        <vt:i4>0</vt:i4>
      </vt:variant>
      <vt:variant>
        <vt:i4>5</vt:i4>
      </vt:variant>
      <vt:variant>
        <vt:lpwstr/>
      </vt:variant>
      <vt:variant>
        <vt:lpwstr>_Toc380052016</vt:lpwstr>
      </vt:variant>
      <vt:variant>
        <vt:i4>1835062</vt:i4>
      </vt:variant>
      <vt:variant>
        <vt:i4>890</vt:i4>
      </vt:variant>
      <vt:variant>
        <vt:i4>0</vt:i4>
      </vt:variant>
      <vt:variant>
        <vt:i4>5</vt:i4>
      </vt:variant>
      <vt:variant>
        <vt:lpwstr/>
      </vt:variant>
      <vt:variant>
        <vt:lpwstr>_Toc380052015</vt:lpwstr>
      </vt:variant>
      <vt:variant>
        <vt:i4>1835062</vt:i4>
      </vt:variant>
      <vt:variant>
        <vt:i4>884</vt:i4>
      </vt:variant>
      <vt:variant>
        <vt:i4>0</vt:i4>
      </vt:variant>
      <vt:variant>
        <vt:i4>5</vt:i4>
      </vt:variant>
      <vt:variant>
        <vt:lpwstr/>
      </vt:variant>
      <vt:variant>
        <vt:lpwstr>_Toc380052014</vt:lpwstr>
      </vt:variant>
      <vt:variant>
        <vt:i4>1835062</vt:i4>
      </vt:variant>
      <vt:variant>
        <vt:i4>878</vt:i4>
      </vt:variant>
      <vt:variant>
        <vt:i4>0</vt:i4>
      </vt:variant>
      <vt:variant>
        <vt:i4>5</vt:i4>
      </vt:variant>
      <vt:variant>
        <vt:lpwstr/>
      </vt:variant>
      <vt:variant>
        <vt:lpwstr>_Toc380052013</vt:lpwstr>
      </vt:variant>
      <vt:variant>
        <vt:i4>1835062</vt:i4>
      </vt:variant>
      <vt:variant>
        <vt:i4>872</vt:i4>
      </vt:variant>
      <vt:variant>
        <vt:i4>0</vt:i4>
      </vt:variant>
      <vt:variant>
        <vt:i4>5</vt:i4>
      </vt:variant>
      <vt:variant>
        <vt:lpwstr/>
      </vt:variant>
      <vt:variant>
        <vt:lpwstr>_Toc380052012</vt:lpwstr>
      </vt:variant>
      <vt:variant>
        <vt:i4>1835062</vt:i4>
      </vt:variant>
      <vt:variant>
        <vt:i4>866</vt:i4>
      </vt:variant>
      <vt:variant>
        <vt:i4>0</vt:i4>
      </vt:variant>
      <vt:variant>
        <vt:i4>5</vt:i4>
      </vt:variant>
      <vt:variant>
        <vt:lpwstr/>
      </vt:variant>
      <vt:variant>
        <vt:lpwstr>_Toc380052011</vt:lpwstr>
      </vt:variant>
      <vt:variant>
        <vt:i4>1835062</vt:i4>
      </vt:variant>
      <vt:variant>
        <vt:i4>860</vt:i4>
      </vt:variant>
      <vt:variant>
        <vt:i4>0</vt:i4>
      </vt:variant>
      <vt:variant>
        <vt:i4>5</vt:i4>
      </vt:variant>
      <vt:variant>
        <vt:lpwstr/>
      </vt:variant>
      <vt:variant>
        <vt:lpwstr>_Toc380052010</vt:lpwstr>
      </vt:variant>
      <vt:variant>
        <vt:i4>1900598</vt:i4>
      </vt:variant>
      <vt:variant>
        <vt:i4>854</vt:i4>
      </vt:variant>
      <vt:variant>
        <vt:i4>0</vt:i4>
      </vt:variant>
      <vt:variant>
        <vt:i4>5</vt:i4>
      </vt:variant>
      <vt:variant>
        <vt:lpwstr/>
      </vt:variant>
      <vt:variant>
        <vt:lpwstr>_Toc380052009</vt:lpwstr>
      </vt:variant>
      <vt:variant>
        <vt:i4>1900598</vt:i4>
      </vt:variant>
      <vt:variant>
        <vt:i4>848</vt:i4>
      </vt:variant>
      <vt:variant>
        <vt:i4>0</vt:i4>
      </vt:variant>
      <vt:variant>
        <vt:i4>5</vt:i4>
      </vt:variant>
      <vt:variant>
        <vt:lpwstr/>
      </vt:variant>
      <vt:variant>
        <vt:lpwstr>_Toc380052008</vt:lpwstr>
      </vt:variant>
      <vt:variant>
        <vt:i4>1900598</vt:i4>
      </vt:variant>
      <vt:variant>
        <vt:i4>842</vt:i4>
      </vt:variant>
      <vt:variant>
        <vt:i4>0</vt:i4>
      </vt:variant>
      <vt:variant>
        <vt:i4>5</vt:i4>
      </vt:variant>
      <vt:variant>
        <vt:lpwstr/>
      </vt:variant>
      <vt:variant>
        <vt:lpwstr>_Toc380052007</vt:lpwstr>
      </vt:variant>
      <vt:variant>
        <vt:i4>1900598</vt:i4>
      </vt:variant>
      <vt:variant>
        <vt:i4>836</vt:i4>
      </vt:variant>
      <vt:variant>
        <vt:i4>0</vt:i4>
      </vt:variant>
      <vt:variant>
        <vt:i4>5</vt:i4>
      </vt:variant>
      <vt:variant>
        <vt:lpwstr/>
      </vt:variant>
      <vt:variant>
        <vt:lpwstr>_Toc380052006</vt:lpwstr>
      </vt:variant>
      <vt:variant>
        <vt:i4>1900598</vt:i4>
      </vt:variant>
      <vt:variant>
        <vt:i4>830</vt:i4>
      </vt:variant>
      <vt:variant>
        <vt:i4>0</vt:i4>
      </vt:variant>
      <vt:variant>
        <vt:i4>5</vt:i4>
      </vt:variant>
      <vt:variant>
        <vt:lpwstr/>
      </vt:variant>
      <vt:variant>
        <vt:lpwstr>_Toc380052005</vt:lpwstr>
      </vt:variant>
      <vt:variant>
        <vt:i4>1900598</vt:i4>
      </vt:variant>
      <vt:variant>
        <vt:i4>824</vt:i4>
      </vt:variant>
      <vt:variant>
        <vt:i4>0</vt:i4>
      </vt:variant>
      <vt:variant>
        <vt:i4>5</vt:i4>
      </vt:variant>
      <vt:variant>
        <vt:lpwstr/>
      </vt:variant>
      <vt:variant>
        <vt:lpwstr>_Toc380052004</vt:lpwstr>
      </vt:variant>
      <vt:variant>
        <vt:i4>1900598</vt:i4>
      </vt:variant>
      <vt:variant>
        <vt:i4>818</vt:i4>
      </vt:variant>
      <vt:variant>
        <vt:i4>0</vt:i4>
      </vt:variant>
      <vt:variant>
        <vt:i4>5</vt:i4>
      </vt:variant>
      <vt:variant>
        <vt:lpwstr/>
      </vt:variant>
      <vt:variant>
        <vt:lpwstr>_Toc380052003</vt:lpwstr>
      </vt:variant>
      <vt:variant>
        <vt:i4>1572927</vt:i4>
      </vt:variant>
      <vt:variant>
        <vt:i4>809</vt:i4>
      </vt:variant>
      <vt:variant>
        <vt:i4>0</vt:i4>
      </vt:variant>
      <vt:variant>
        <vt:i4>5</vt:i4>
      </vt:variant>
      <vt:variant>
        <vt:lpwstr/>
      </vt:variant>
      <vt:variant>
        <vt:lpwstr>_Toc380051966</vt:lpwstr>
      </vt:variant>
      <vt:variant>
        <vt:i4>1572927</vt:i4>
      </vt:variant>
      <vt:variant>
        <vt:i4>803</vt:i4>
      </vt:variant>
      <vt:variant>
        <vt:i4>0</vt:i4>
      </vt:variant>
      <vt:variant>
        <vt:i4>5</vt:i4>
      </vt:variant>
      <vt:variant>
        <vt:lpwstr/>
      </vt:variant>
      <vt:variant>
        <vt:lpwstr>_Toc380051965</vt:lpwstr>
      </vt:variant>
      <vt:variant>
        <vt:i4>1572927</vt:i4>
      </vt:variant>
      <vt:variant>
        <vt:i4>797</vt:i4>
      </vt:variant>
      <vt:variant>
        <vt:i4>0</vt:i4>
      </vt:variant>
      <vt:variant>
        <vt:i4>5</vt:i4>
      </vt:variant>
      <vt:variant>
        <vt:lpwstr/>
      </vt:variant>
      <vt:variant>
        <vt:lpwstr>_Toc380051964</vt:lpwstr>
      </vt:variant>
      <vt:variant>
        <vt:i4>1572927</vt:i4>
      </vt:variant>
      <vt:variant>
        <vt:i4>791</vt:i4>
      </vt:variant>
      <vt:variant>
        <vt:i4>0</vt:i4>
      </vt:variant>
      <vt:variant>
        <vt:i4>5</vt:i4>
      </vt:variant>
      <vt:variant>
        <vt:lpwstr/>
      </vt:variant>
      <vt:variant>
        <vt:lpwstr>_Toc380051963</vt:lpwstr>
      </vt:variant>
      <vt:variant>
        <vt:i4>1572927</vt:i4>
      </vt:variant>
      <vt:variant>
        <vt:i4>785</vt:i4>
      </vt:variant>
      <vt:variant>
        <vt:i4>0</vt:i4>
      </vt:variant>
      <vt:variant>
        <vt:i4>5</vt:i4>
      </vt:variant>
      <vt:variant>
        <vt:lpwstr/>
      </vt:variant>
      <vt:variant>
        <vt:lpwstr>_Toc380051962</vt:lpwstr>
      </vt:variant>
      <vt:variant>
        <vt:i4>1572927</vt:i4>
      </vt:variant>
      <vt:variant>
        <vt:i4>779</vt:i4>
      </vt:variant>
      <vt:variant>
        <vt:i4>0</vt:i4>
      </vt:variant>
      <vt:variant>
        <vt:i4>5</vt:i4>
      </vt:variant>
      <vt:variant>
        <vt:lpwstr/>
      </vt:variant>
      <vt:variant>
        <vt:lpwstr>_Toc380051961</vt:lpwstr>
      </vt:variant>
      <vt:variant>
        <vt:i4>1572927</vt:i4>
      </vt:variant>
      <vt:variant>
        <vt:i4>773</vt:i4>
      </vt:variant>
      <vt:variant>
        <vt:i4>0</vt:i4>
      </vt:variant>
      <vt:variant>
        <vt:i4>5</vt:i4>
      </vt:variant>
      <vt:variant>
        <vt:lpwstr/>
      </vt:variant>
      <vt:variant>
        <vt:lpwstr>_Toc380051960</vt:lpwstr>
      </vt:variant>
      <vt:variant>
        <vt:i4>1769535</vt:i4>
      </vt:variant>
      <vt:variant>
        <vt:i4>767</vt:i4>
      </vt:variant>
      <vt:variant>
        <vt:i4>0</vt:i4>
      </vt:variant>
      <vt:variant>
        <vt:i4>5</vt:i4>
      </vt:variant>
      <vt:variant>
        <vt:lpwstr/>
      </vt:variant>
      <vt:variant>
        <vt:lpwstr>_Toc380051959</vt:lpwstr>
      </vt:variant>
      <vt:variant>
        <vt:i4>1769535</vt:i4>
      </vt:variant>
      <vt:variant>
        <vt:i4>761</vt:i4>
      </vt:variant>
      <vt:variant>
        <vt:i4>0</vt:i4>
      </vt:variant>
      <vt:variant>
        <vt:i4>5</vt:i4>
      </vt:variant>
      <vt:variant>
        <vt:lpwstr/>
      </vt:variant>
      <vt:variant>
        <vt:lpwstr>_Toc380051958</vt:lpwstr>
      </vt:variant>
      <vt:variant>
        <vt:i4>1769535</vt:i4>
      </vt:variant>
      <vt:variant>
        <vt:i4>755</vt:i4>
      </vt:variant>
      <vt:variant>
        <vt:i4>0</vt:i4>
      </vt:variant>
      <vt:variant>
        <vt:i4>5</vt:i4>
      </vt:variant>
      <vt:variant>
        <vt:lpwstr/>
      </vt:variant>
      <vt:variant>
        <vt:lpwstr>_Toc380051957</vt:lpwstr>
      </vt:variant>
      <vt:variant>
        <vt:i4>1769535</vt:i4>
      </vt:variant>
      <vt:variant>
        <vt:i4>749</vt:i4>
      </vt:variant>
      <vt:variant>
        <vt:i4>0</vt:i4>
      </vt:variant>
      <vt:variant>
        <vt:i4>5</vt:i4>
      </vt:variant>
      <vt:variant>
        <vt:lpwstr/>
      </vt:variant>
      <vt:variant>
        <vt:lpwstr>_Toc380051956</vt:lpwstr>
      </vt:variant>
      <vt:variant>
        <vt:i4>1769535</vt:i4>
      </vt:variant>
      <vt:variant>
        <vt:i4>743</vt:i4>
      </vt:variant>
      <vt:variant>
        <vt:i4>0</vt:i4>
      </vt:variant>
      <vt:variant>
        <vt:i4>5</vt:i4>
      </vt:variant>
      <vt:variant>
        <vt:lpwstr/>
      </vt:variant>
      <vt:variant>
        <vt:lpwstr>_Toc380051955</vt:lpwstr>
      </vt:variant>
      <vt:variant>
        <vt:i4>1769535</vt:i4>
      </vt:variant>
      <vt:variant>
        <vt:i4>737</vt:i4>
      </vt:variant>
      <vt:variant>
        <vt:i4>0</vt:i4>
      </vt:variant>
      <vt:variant>
        <vt:i4>5</vt:i4>
      </vt:variant>
      <vt:variant>
        <vt:lpwstr/>
      </vt:variant>
      <vt:variant>
        <vt:lpwstr>_Toc380051954</vt:lpwstr>
      </vt:variant>
      <vt:variant>
        <vt:i4>1769535</vt:i4>
      </vt:variant>
      <vt:variant>
        <vt:i4>731</vt:i4>
      </vt:variant>
      <vt:variant>
        <vt:i4>0</vt:i4>
      </vt:variant>
      <vt:variant>
        <vt:i4>5</vt:i4>
      </vt:variant>
      <vt:variant>
        <vt:lpwstr/>
      </vt:variant>
      <vt:variant>
        <vt:lpwstr>_Toc380051953</vt:lpwstr>
      </vt:variant>
      <vt:variant>
        <vt:i4>1769535</vt:i4>
      </vt:variant>
      <vt:variant>
        <vt:i4>725</vt:i4>
      </vt:variant>
      <vt:variant>
        <vt:i4>0</vt:i4>
      </vt:variant>
      <vt:variant>
        <vt:i4>5</vt:i4>
      </vt:variant>
      <vt:variant>
        <vt:lpwstr/>
      </vt:variant>
      <vt:variant>
        <vt:lpwstr>_Toc380051952</vt:lpwstr>
      </vt:variant>
      <vt:variant>
        <vt:i4>1769535</vt:i4>
      </vt:variant>
      <vt:variant>
        <vt:i4>719</vt:i4>
      </vt:variant>
      <vt:variant>
        <vt:i4>0</vt:i4>
      </vt:variant>
      <vt:variant>
        <vt:i4>5</vt:i4>
      </vt:variant>
      <vt:variant>
        <vt:lpwstr/>
      </vt:variant>
      <vt:variant>
        <vt:lpwstr>_Toc380051951</vt:lpwstr>
      </vt:variant>
      <vt:variant>
        <vt:i4>1769535</vt:i4>
      </vt:variant>
      <vt:variant>
        <vt:i4>713</vt:i4>
      </vt:variant>
      <vt:variant>
        <vt:i4>0</vt:i4>
      </vt:variant>
      <vt:variant>
        <vt:i4>5</vt:i4>
      </vt:variant>
      <vt:variant>
        <vt:lpwstr/>
      </vt:variant>
      <vt:variant>
        <vt:lpwstr>_Toc380051950</vt:lpwstr>
      </vt:variant>
      <vt:variant>
        <vt:i4>1703999</vt:i4>
      </vt:variant>
      <vt:variant>
        <vt:i4>707</vt:i4>
      </vt:variant>
      <vt:variant>
        <vt:i4>0</vt:i4>
      </vt:variant>
      <vt:variant>
        <vt:i4>5</vt:i4>
      </vt:variant>
      <vt:variant>
        <vt:lpwstr/>
      </vt:variant>
      <vt:variant>
        <vt:lpwstr>_Toc380051949</vt:lpwstr>
      </vt:variant>
      <vt:variant>
        <vt:i4>1703999</vt:i4>
      </vt:variant>
      <vt:variant>
        <vt:i4>701</vt:i4>
      </vt:variant>
      <vt:variant>
        <vt:i4>0</vt:i4>
      </vt:variant>
      <vt:variant>
        <vt:i4>5</vt:i4>
      </vt:variant>
      <vt:variant>
        <vt:lpwstr/>
      </vt:variant>
      <vt:variant>
        <vt:lpwstr>_Toc380051948</vt:lpwstr>
      </vt:variant>
      <vt:variant>
        <vt:i4>1703999</vt:i4>
      </vt:variant>
      <vt:variant>
        <vt:i4>695</vt:i4>
      </vt:variant>
      <vt:variant>
        <vt:i4>0</vt:i4>
      </vt:variant>
      <vt:variant>
        <vt:i4>5</vt:i4>
      </vt:variant>
      <vt:variant>
        <vt:lpwstr/>
      </vt:variant>
      <vt:variant>
        <vt:lpwstr>_Toc380051947</vt:lpwstr>
      </vt:variant>
      <vt:variant>
        <vt:i4>1703999</vt:i4>
      </vt:variant>
      <vt:variant>
        <vt:i4>689</vt:i4>
      </vt:variant>
      <vt:variant>
        <vt:i4>0</vt:i4>
      </vt:variant>
      <vt:variant>
        <vt:i4>5</vt:i4>
      </vt:variant>
      <vt:variant>
        <vt:lpwstr/>
      </vt:variant>
      <vt:variant>
        <vt:lpwstr>_Toc380051946</vt:lpwstr>
      </vt:variant>
      <vt:variant>
        <vt:i4>1703999</vt:i4>
      </vt:variant>
      <vt:variant>
        <vt:i4>683</vt:i4>
      </vt:variant>
      <vt:variant>
        <vt:i4>0</vt:i4>
      </vt:variant>
      <vt:variant>
        <vt:i4>5</vt:i4>
      </vt:variant>
      <vt:variant>
        <vt:lpwstr/>
      </vt:variant>
      <vt:variant>
        <vt:lpwstr>_Toc380051945</vt:lpwstr>
      </vt:variant>
      <vt:variant>
        <vt:i4>1703999</vt:i4>
      </vt:variant>
      <vt:variant>
        <vt:i4>677</vt:i4>
      </vt:variant>
      <vt:variant>
        <vt:i4>0</vt:i4>
      </vt:variant>
      <vt:variant>
        <vt:i4>5</vt:i4>
      </vt:variant>
      <vt:variant>
        <vt:lpwstr/>
      </vt:variant>
      <vt:variant>
        <vt:lpwstr>_Toc380051944</vt:lpwstr>
      </vt:variant>
      <vt:variant>
        <vt:i4>1703999</vt:i4>
      </vt:variant>
      <vt:variant>
        <vt:i4>671</vt:i4>
      </vt:variant>
      <vt:variant>
        <vt:i4>0</vt:i4>
      </vt:variant>
      <vt:variant>
        <vt:i4>5</vt:i4>
      </vt:variant>
      <vt:variant>
        <vt:lpwstr/>
      </vt:variant>
      <vt:variant>
        <vt:lpwstr>_Toc380051943</vt:lpwstr>
      </vt:variant>
      <vt:variant>
        <vt:i4>1703999</vt:i4>
      </vt:variant>
      <vt:variant>
        <vt:i4>665</vt:i4>
      </vt:variant>
      <vt:variant>
        <vt:i4>0</vt:i4>
      </vt:variant>
      <vt:variant>
        <vt:i4>5</vt:i4>
      </vt:variant>
      <vt:variant>
        <vt:lpwstr/>
      </vt:variant>
      <vt:variant>
        <vt:lpwstr>_Toc380051942</vt:lpwstr>
      </vt:variant>
      <vt:variant>
        <vt:i4>1703999</vt:i4>
      </vt:variant>
      <vt:variant>
        <vt:i4>659</vt:i4>
      </vt:variant>
      <vt:variant>
        <vt:i4>0</vt:i4>
      </vt:variant>
      <vt:variant>
        <vt:i4>5</vt:i4>
      </vt:variant>
      <vt:variant>
        <vt:lpwstr/>
      </vt:variant>
      <vt:variant>
        <vt:lpwstr>_Toc380051941</vt:lpwstr>
      </vt:variant>
      <vt:variant>
        <vt:i4>1703999</vt:i4>
      </vt:variant>
      <vt:variant>
        <vt:i4>653</vt:i4>
      </vt:variant>
      <vt:variant>
        <vt:i4>0</vt:i4>
      </vt:variant>
      <vt:variant>
        <vt:i4>5</vt:i4>
      </vt:variant>
      <vt:variant>
        <vt:lpwstr/>
      </vt:variant>
      <vt:variant>
        <vt:lpwstr>_Toc380051940</vt:lpwstr>
      </vt:variant>
      <vt:variant>
        <vt:i4>1900607</vt:i4>
      </vt:variant>
      <vt:variant>
        <vt:i4>647</vt:i4>
      </vt:variant>
      <vt:variant>
        <vt:i4>0</vt:i4>
      </vt:variant>
      <vt:variant>
        <vt:i4>5</vt:i4>
      </vt:variant>
      <vt:variant>
        <vt:lpwstr/>
      </vt:variant>
      <vt:variant>
        <vt:lpwstr>_Toc380051939</vt:lpwstr>
      </vt:variant>
      <vt:variant>
        <vt:i4>1900607</vt:i4>
      </vt:variant>
      <vt:variant>
        <vt:i4>641</vt:i4>
      </vt:variant>
      <vt:variant>
        <vt:i4>0</vt:i4>
      </vt:variant>
      <vt:variant>
        <vt:i4>5</vt:i4>
      </vt:variant>
      <vt:variant>
        <vt:lpwstr/>
      </vt:variant>
      <vt:variant>
        <vt:lpwstr>_Toc380051938</vt:lpwstr>
      </vt:variant>
      <vt:variant>
        <vt:i4>1900607</vt:i4>
      </vt:variant>
      <vt:variant>
        <vt:i4>635</vt:i4>
      </vt:variant>
      <vt:variant>
        <vt:i4>0</vt:i4>
      </vt:variant>
      <vt:variant>
        <vt:i4>5</vt:i4>
      </vt:variant>
      <vt:variant>
        <vt:lpwstr/>
      </vt:variant>
      <vt:variant>
        <vt:lpwstr>_Toc380051937</vt:lpwstr>
      </vt:variant>
      <vt:variant>
        <vt:i4>1900607</vt:i4>
      </vt:variant>
      <vt:variant>
        <vt:i4>629</vt:i4>
      </vt:variant>
      <vt:variant>
        <vt:i4>0</vt:i4>
      </vt:variant>
      <vt:variant>
        <vt:i4>5</vt:i4>
      </vt:variant>
      <vt:variant>
        <vt:lpwstr/>
      </vt:variant>
      <vt:variant>
        <vt:lpwstr>_Toc380051936</vt:lpwstr>
      </vt:variant>
      <vt:variant>
        <vt:i4>1900607</vt:i4>
      </vt:variant>
      <vt:variant>
        <vt:i4>623</vt:i4>
      </vt:variant>
      <vt:variant>
        <vt:i4>0</vt:i4>
      </vt:variant>
      <vt:variant>
        <vt:i4>5</vt:i4>
      </vt:variant>
      <vt:variant>
        <vt:lpwstr/>
      </vt:variant>
      <vt:variant>
        <vt:lpwstr>_Toc380051935</vt:lpwstr>
      </vt:variant>
      <vt:variant>
        <vt:i4>1900607</vt:i4>
      </vt:variant>
      <vt:variant>
        <vt:i4>617</vt:i4>
      </vt:variant>
      <vt:variant>
        <vt:i4>0</vt:i4>
      </vt:variant>
      <vt:variant>
        <vt:i4>5</vt:i4>
      </vt:variant>
      <vt:variant>
        <vt:lpwstr/>
      </vt:variant>
      <vt:variant>
        <vt:lpwstr>_Toc380051934</vt:lpwstr>
      </vt:variant>
      <vt:variant>
        <vt:i4>1900607</vt:i4>
      </vt:variant>
      <vt:variant>
        <vt:i4>611</vt:i4>
      </vt:variant>
      <vt:variant>
        <vt:i4>0</vt:i4>
      </vt:variant>
      <vt:variant>
        <vt:i4>5</vt:i4>
      </vt:variant>
      <vt:variant>
        <vt:lpwstr/>
      </vt:variant>
      <vt:variant>
        <vt:lpwstr>_Toc380051933</vt:lpwstr>
      </vt:variant>
      <vt:variant>
        <vt:i4>1900607</vt:i4>
      </vt:variant>
      <vt:variant>
        <vt:i4>605</vt:i4>
      </vt:variant>
      <vt:variant>
        <vt:i4>0</vt:i4>
      </vt:variant>
      <vt:variant>
        <vt:i4>5</vt:i4>
      </vt:variant>
      <vt:variant>
        <vt:lpwstr/>
      </vt:variant>
      <vt:variant>
        <vt:lpwstr>_Toc380051932</vt:lpwstr>
      </vt:variant>
      <vt:variant>
        <vt:i4>1900607</vt:i4>
      </vt:variant>
      <vt:variant>
        <vt:i4>599</vt:i4>
      </vt:variant>
      <vt:variant>
        <vt:i4>0</vt:i4>
      </vt:variant>
      <vt:variant>
        <vt:i4>5</vt:i4>
      </vt:variant>
      <vt:variant>
        <vt:lpwstr/>
      </vt:variant>
      <vt:variant>
        <vt:lpwstr>_Toc380051931</vt:lpwstr>
      </vt:variant>
      <vt:variant>
        <vt:i4>1900607</vt:i4>
      </vt:variant>
      <vt:variant>
        <vt:i4>593</vt:i4>
      </vt:variant>
      <vt:variant>
        <vt:i4>0</vt:i4>
      </vt:variant>
      <vt:variant>
        <vt:i4>5</vt:i4>
      </vt:variant>
      <vt:variant>
        <vt:lpwstr/>
      </vt:variant>
      <vt:variant>
        <vt:lpwstr>_Toc380051930</vt:lpwstr>
      </vt:variant>
      <vt:variant>
        <vt:i4>1835071</vt:i4>
      </vt:variant>
      <vt:variant>
        <vt:i4>587</vt:i4>
      </vt:variant>
      <vt:variant>
        <vt:i4>0</vt:i4>
      </vt:variant>
      <vt:variant>
        <vt:i4>5</vt:i4>
      </vt:variant>
      <vt:variant>
        <vt:lpwstr/>
      </vt:variant>
      <vt:variant>
        <vt:lpwstr>_Toc380051929</vt:lpwstr>
      </vt:variant>
      <vt:variant>
        <vt:i4>1835071</vt:i4>
      </vt:variant>
      <vt:variant>
        <vt:i4>581</vt:i4>
      </vt:variant>
      <vt:variant>
        <vt:i4>0</vt:i4>
      </vt:variant>
      <vt:variant>
        <vt:i4>5</vt:i4>
      </vt:variant>
      <vt:variant>
        <vt:lpwstr/>
      </vt:variant>
      <vt:variant>
        <vt:lpwstr>_Toc380051928</vt:lpwstr>
      </vt:variant>
      <vt:variant>
        <vt:i4>1835071</vt:i4>
      </vt:variant>
      <vt:variant>
        <vt:i4>575</vt:i4>
      </vt:variant>
      <vt:variant>
        <vt:i4>0</vt:i4>
      </vt:variant>
      <vt:variant>
        <vt:i4>5</vt:i4>
      </vt:variant>
      <vt:variant>
        <vt:lpwstr/>
      </vt:variant>
      <vt:variant>
        <vt:lpwstr>_Toc380051927</vt:lpwstr>
      </vt:variant>
      <vt:variant>
        <vt:i4>1835071</vt:i4>
      </vt:variant>
      <vt:variant>
        <vt:i4>569</vt:i4>
      </vt:variant>
      <vt:variant>
        <vt:i4>0</vt:i4>
      </vt:variant>
      <vt:variant>
        <vt:i4>5</vt:i4>
      </vt:variant>
      <vt:variant>
        <vt:lpwstr/>
      </vt:variant>
      <vt:variant>
        <vt:lpwstr>_Toc380051926</vt:lpwstr>
      </vt:variant>
      <vt:variant>
        <vt:i4>1835071</vt:i4>
      </vt:variant>
      <vt:variant>
        <vt:i4>563</vt:i4>
      </vt:variant>
      <vt:variant>
        <vt:i4>0</vt:i4>
      </vt:variant>
      <vt:variant>
        <vt:i4>5</vt:i4>
      </vt:variant>
      <vt:variant>
        <vt:lpwstr/>
      </vt:variant>
      <vt:variant>
        <vt:lpwstr>_Toc380051925</vt:lpwstr>
      </vt:variant>
      <vt:variant>
        <vt:i4>1835071</vt:i4>
      </vt:variant>
      <vt:variant>
        <vt:i4>557</vt:i4>
      </vt:variant>
      <vt:variant>
        <vt:i4>0</vt:i4>
      </vt:variant>
      <vt:variant>
        <vt:i4>5</vt:i4>
      </vt:variant>
      <vt:variant>
        <vt:lpwstr/>
      </vt:variant>
      <vt:variant>
        <vt:lpwstr>_Toc380051924</vt:lpwstr>
      </vt:variant>
      <vt:variant>
        <vt:i4>1835071</vt:i4>
      </vt:variant>
      <vt:variant>
        <vt:i4>551</vt:i4>
      </vt:variant>
      <vt:variant>
        <vt:i4>0</vt:i4>
      </vt:variant>
      <vt:variant>
        <vt:i4>5</vt:i4>
      </vt:variant>
      <vt:variant>
        <vt:lpwstr/>
      </vt:variant>
      <vt:variant>
        <vt:lpwstr>_Toc380051923</vt:lpwstr>
      </vt:variant>
      <vt:variant>
        <vt:i4>1835071</vt:i4>
      </vt:variant>
      <vt:variant>
        <vt:i4>545</vt:i4>
      </vt:variant>
      <vt:variant>
        <vt:i4>0</vt:i4>
      </vt:variant>
      <vt:variant>
        <vt:i4>5</vt:i4>
      </vt:variant>
      <vt:variant>
        <vt:lpwstr/>
      </vt:variant>
      <vt:variant>
        <vt:lpwstr>_Toc380051922</vt:lpwstr>
      </vt:variant>
      <vt:variant>
        <vt:i4>1835071</vt:i4>
      </vt:variant>
      <vt:variant>
        <vt:i4>539</vt:i4>
      </vt:variant>
      <vt:variant>
        <vt:i4>0</vt:i4>
      </vt:variant>
      <vt:variant>
        <vt:i4>5</vt:i4>
      </vt:variant>
      <vt:variant>
        <vt:lpwstr/>
      </vt:variant>
      <vt:variant>
        <vt:lpwstr>_Toc380051921</vt:lpwstr>
      </vt:variant>
      <vt:variant>
        <vt:i4>1835071</vt:i4>
      </vt:variant>
      <vt:variant>
        <vt:i4>533</vt:i4>
      </vt:variant>
      <vt:variant>
        <vt:i4>0</vt:i4>
      </vt:variant>
      <vt:variant>
        <vt:i4>5</vt:i4>
      </vt:variant>
      <vt:variant>
        <vt:lpwstr/>
      </vt:variant>
      <vt:variant>
        <vt:lpwstr>_Toc380051920</vt:lpwstr>
      </vt:variant>
      <vt:variant>
        <vt:i4>2031679</vt:i4>
      </vt:variant>
      <vt:variant>
        <vt:i4>527</vt:i4>
      </vt:variant>
      <vt:variant>
        <vt:i4>0</vt:i4>
      </vt:variant>
      <vt:variant>
        <vt:i4>5</vt:i4>
      </vt:variant>
      <vt:variant>
        <vt:lpwstr/>
      </vt:variant>
      <vt:variant>
        <vt:lpwstr>_Toc380051919</vt:lpwstr>
      </vt:variant>
      <vt:variant>
        <vt:i4>2031679</vt:i4>
      </vt:variant>
      <vt:variant>
        <vt:i4>521</vt:i4>
      </vt:variant>
      <vt:variant>
        <vt:i4>0</vt:i4>
      </vt:variant>
      <vt:variant>
        <vt:i4>5</vt:i4>
      </vt:variant>
      <vt:variant>
        <vt:lpwstr/>
      </vt:variant>
      <vt:variant>
        <vt:lpwstr>_Toc380051918</vt:lpwstr>
      </vt:variant>
      <vt:variant>
        <vt:i4>2031679</vt:i4>
      </vt:variant>
      <vt:variant>
        <vt:i4>515</vt:i4>
      </vt:variant>
      <vt:variant>
        <vt:i4>0</vt:i4>
      </vt:variant>
      <vt:variant>
        <vt:i4>5</vt:i4>
      </vt:variant>
      <vt:variant>
        <vt:lpwstr/>
      </vt:variant>
      <vt:variant>
        <vt:lpwstr>_Toc380051917</vt:lpwstr>
      </vt:variant>
      <vt:variant>
        <vt:i4>2031679</vt:i4>
      </vt:variant>
      <vt:variant>
        <vt:i4>509</vt:i4>
      </vt:variant>
      <vt:variant>
        <vt:i4>0</vt:i4>
      </vt:variant>
      <vt:variant>
        <vt:i4>5</vt:i4>
      </vt:variant>
      <vt:variant>
        <vt:lpwstr/>
      </vt:variant>
      <vt:variant>
        <vt:lpwstr>_Toc380051916</vt:lpwstr>
      </vt:variant>
      <vt:variant>
        <vt:i4>2031679</vt:i4>
      </vt:variant>
      <vt:variant>
        <vt:i4>503</vt:i4>
      </vt:variant>
      <vt:variant>
        <vt:i4>0</vt:i4>
      </vt:variant>
      <vt:variant>
        <vt:i4>5</vt:i4>
      </vt:variant>
      <vt:variant>
        <vt:lpwstr/>
      </vt:variant>
      <vt:variant>
        <vt:lpwstr>_Toc380051915</vt:lpwstr>
      </vt:variant>
      <vt:variant>
        <vt:i4>2031679</vt:i4>
      </vt:variant>
      <vt:variant>
        <vt:i4>497</vt:i4>
      </vt:variant>
      <vt:variant>
        <vt:i4>0</vt:i4>
      </vt:variant>
      <vt:variant>
        <vt:i4>5</vt:i4>
      </vt:variant>
      <vt:variant>
        <vt:lpwstr/>
      </vt:variant>
      <vt:variant>
        <vt:lpwstr>_Toc380051914</vt:lpwstr>
      </vt:variant>
      <vt:variant>
        <vt:i4>2031679</vt:i4>
      </vt:variant>
      <vt:variant>
        <vt:i4>491</vt:i4>
      </vt:variant>
      <vt:variant>
        <vt:i4>0</vt:i4>
      </vt:variant>
      <vt:variant>
        <vt:i4>5</vt:i4>
      </vt:variant>
      <vt:variant>
        <vt:lpwstr/>
      </vt:variant>
      <vt:variant>
        <vt:lpwstr>_Toc380051913</vt:lpwstr>
      </vt:variant>
      <vt:variant>
        <vt:i4>2031679</vt:i4>
      </vt:variant>
      <vt:variant>
        <vt:i4>485</vt:i4>
      </vt:variant>
      <vt:variant>
        <vt:i4>0</vt:i4>
      </vt:variant>
      <vt:variant>
        <vt:i4>5</vt:i4>
      </vt:variant>
      <vt:variant>
        <vt:lpwstr/>
      </vt:variant>
      <vt:variant>
        <vt:lpwstr>_Toc380051912</vt:lpwstr>
      </vt:variant>
      <vt:variant>
        <vt:i4>1769534</vt:i4>
      </vt:variant>
      <vt:variant>
        <vt:i4>476</vt:i4>
      </vt:variant>
      <vt:variant>
        <vt:i4>0</vt:i4>
      </vt:variant>
      <vt:variant>
        <vt:i4>5</vt:i4>
      </vt:variant>
      <vt:variant>
        <vt:lpwstr/>
      </vt:variant>
      <vt:variant>
        <vt:lpwstr>_Toc380051856</vt:lpwstr>
      </vt:variant>
      <vt:variant>
        <vt:i4>1769534</vt:i4>
      </vt:variant>
      <vt:variant>
        <vt:i4>470</vt:i4>
      </vt:variant>
      <vt:variant>
        <vt:i4>0</vt:i4>
      </vt:variant>
      <vt:variant>
        <vt:i4>5</vt:i4>
      </vt:variant>
      <vt:variant>
        <vt:lpwstr/>
      </vt:variant>
      <vt:variant>
        <vt:lpwstr>_Toc380051855</vt:lpwstr>
      </vt:variant>
      <vt:variant>
        <vt:i4>1769534</vt:i4>
      </vt:variant>
      <vt:variant>
        <vt:i4>464</vt:i4>
      </vt:variant>
      <vt:variant>
        <vt:i4>0</vt:i4>
      </vt:variant>
      <vt:variant>
        <vt:i4>5</vt:i4>
      </vt:variant>
      <vt:variant>
        <vt:lpwstr/>
      </vt:variant>
      <vt:variant>
        <vt:lpwstr>_Toc380051854</vt:lpwstr>
      </vt:variant>
      <vt:variant>
        <vt:i4>1769534</vt:i4>
      </vt:variant>
      <vt:variant>
        <vt:i4>458</vt:i4>
      </vt:variant>
      <vt:variant>
        <vt:i4>0</vt:i4>
      </vt:variant>
      <vt:variant>
        <vt:i4>5</vt:i4>
      </vt:variant>
      <vt:variant>
        <vt:lpwstr/>
      </vt:variant>
      <vt:variant>
        <vt:lpwstr>_Toc380051853</vt:lpwstr>
      </vt:variant>
      <vt:variant>
        <vt:i4>1769534</vt:i4>
      </vt:variant>
      <vt:variant>
        <vt:i4>452</vt:i4>
      </vt:variant>
      <vt:variant>
        <vt:i4>0</vt:i4>
      </vt:variant>
      <vt:variant>
        <vt:i4>5</vt:i4>
      </vt:variant>
      <vt:variant>
        <vt:lpwstr/>
      </vt:variant>
      <vt:variant>
        <vt:lpwstr>_Toc380051852</vt:lpwstr>
      </vt:variant>
      <vt:variant>
        <vt:i4>1769534</vt:i4>
      </vt:variant>
      <vt:variant>
        <vt:i4>446</vt:i4>
      </vt:variant>
      <vt:variant>
        <vt:i4>0</vt:i4>
      </vt:variant>
      <vt:variant>
        <vt:i4>5</vt:i4>
      </vt:variant>
      <vt:variant>
        <vt:lpwstr/>
      </vt:variant>
      <vt:variant>
        <vt:lpwstr>_Toc380051851</vt:lpwstr>
      </vt:variant>
      <vt:variant>
        <vt:i4>1769534</vt:i4>
      </vt:variant>
      <vt:variant>
        <vt:i4>440</vt:i4>
      </vt:variant>
      <vt:variant>
        <vt:i4>0</vt:i4>
      </vt:variant>
      <vt:variant>
        <vt:i4>5</vt:i4>
      </vt:variant>
      <vt:variant>
        <vt:lpwstr/>
      </vt:variant>
      <vt:variant>
        <vt:lpwstr>_Toc380051850</vt:lpwstr>
      </vt:variant>
      <vt:variant>
        <vt:i4>1703998</vt:i4>
      </vt:variant>
      <vt:variant>
        <vt:i4>434</vt:i4>
      </vt:variant>
      <vt:variant>
        <vt:i4>0</vt:i4>
      </vt:variant>
      <vt:variant>
        <vt:i4>5</vt:i4>
      </vt:variant>
      <vt:variant>
        <vt:lpwstr/>
      </vt:variant>
      <vt:variant>
        <vt:lpwstr>_Toc380051849</vt:lpwstr>
      </vt:variant>
      <vt:variant>
        <vt:i4>1703998</vt:i4>
      </vt:variant>
      <vt:variant>
        <vt:i4>428</vt:i4>
      </vt:variant>
      <vt:variant>
        <vt:i4>0</vt:i4>
      </vt:variant>
      <vt:variant>
        <vt:i4>5</vt:i4>
      </vt:variant>
      <vt:variant>
        <vt:lpwstr/>
      </vt:variant>
      <vt:variant>
        <vt:lpwstr>_Toc380051848</vt:lpwstr>
      </vt:variant>
      <vt:variant>
        <vt:i4>1703998</vt:i4>
      </vt:variant>
      <vt:variant>
        <vt:i4>422</vt:i4>
      </vt:variant>
      <vt:variant>
        <vt:i4>0</vt:i4>
      </vt:variant>
      <vt:variant>
        <vt:i4>5</vt:i4>
      </vt:variant>
      <vt:variant>
        <vt:lpwstr/>
      </vt:variant>
      <vt:variant>
        <vt:lpwstr>_Toc380051847</vt:lpwstr>
      </vt:variant>
      <vt:variant>
        <vt:i4>1703998</vt:i4>
      </vt:variant>
      <vt:variant>
        <vt:i4>416</vt:i4>
      </vt:variant>
      <vt:variant>
        <vt:i4>0</vt:i4>
      </vt:variant>
      <vt:variant>
        <vt:i4>5</vt:i4>
      </vt:variant>
      <vt:variant>
        <vt:lpwstr/>
      </vt:variant>
      <vt:variant>
        <vt:lpwstr>_Toc380051846</vt:lpwstr>
      </vt:variant>
      <vt:variant>
        <vt:i4>1703998</vt:i4>
      </vt:variant>
      <vt:variant>
        <vt:i4>410</vt:i4>
      </vt:variant>
      <vt:variant>
        <vt:i4>0</vt:i4>
      </vt:variant>
      <vt:variant>
        <vt:i4>5</vt:i4>
      </vt:variant>
      <vt:variant>
        <vt:lpwstr/>
      </vt:variant>
      <vt:variant>
        <vt:lpwstr>_Toc380051845</vt:lpwstr>
      </vt:variant>
      <vt:variant>
        <vt:i4>1703998</vt:i4>
      </vt:variant>
      <vt:variant>
        <vt:i4>404</vt:i4>
      </vt:variant>
      <vt:variant>
        <vt:i4>0</vt:i4>
      </vt:variant>
      <vt:variant>
        <vt:i4>5</vt:i4>
      </vt:variant>
      <vt:variant>
        <vt:lpwstr/>
      </vt:variant>
      <vt:variant>
        <vt:lpwstr>_Toc380051844</vt:lpwstr>
      </vt:variant>
      <vt:variant>
        <vt:i4>1703998</vt:i4>
      </vt:variant>
      <vt:variant>
        <vt:i4>398</vt:i4>
      </vt:variant>
      <vt:variant>
        <vt:i4>0</vt:i4>
      </vt:variant>
      <vt:variant>
        <vt:i4>5</vt:i4>
      </vt:variant>
      <vt:variant>
        <vt:lpwstr/>
      </vt:variant>
      <vt:variant>
        <vt:lpwstr>_Toc380051843</vt:lpwstr>
      </vt:variant>
      <vt:variant>
        <vt:i4>1703998</vt:i4>
      </vt:variant>
      <vt:variant>
        <vt:i4>392</vt:i4>
      </vt:variant>
      <vt:variant>
        <vt:i4>0</vt:i4>
      </vt:variant>
      <vt:variant>
        <vt:i4>5</vt:i4>
      </vt:variant>
      <vt:variant>
        <vt:lpwstr/>
      </vt:variant>
      <vt:variant>
        <vt:lpwstr>_Toc380051842</vt:lpwstr>
      </vt:variant>
      <vt:variant>
        <vt:i4>1703998</vt:i4>
      </vt:variant>
      <vt:variant>
        <vt:i4>386</vt:i4>
      </vt:variant>
      <vt:variant>
        <vt:i4>0</vt:i4>
      </vt:variant>
      <vt:variant>
        <vt:i4>5</vt:i4>
      </vt:variant>
      <vt:variant>
        <vt:lpwstr/>
      </vt:variant>
      <vt:variant>
        <vt:lpwstr>_Toc380051841</vt:lpwstr>
      </vt:variant>
      <vt:variant>
        <vt:i4>1703998</vt:i4>
      </vt:variant>
      <vt:variant>
        <vt:i4>380</vt:i4>
      </vt:variant>
      <vt:variant>
        <vt:i4>0</vt:i4>
      </vt:variant>
      <vt:variant>
        <vt:i4>5</vt:i4>
      </vt:variant>
      <vt:variant>
        <vt:lpwstr/>
      </vt:variant>
      <vt:variant>
        <vt:lpwstr>_Toc380051840</vt:lpwstr>
      </vt:variant>
      <vt:variant>
        <vt:i4>1900606</vt:i4>
      </vt:variant>
      <vt:variant>
        <vt:i4>374</vt:i4>
      </vt:variant>
      <vt:variant>
        <vt:i4>0</vt:i4>
      </vt:variant>
      <vt:variant>
        <vt:i4>5</vt:i4>
      </vt:variant>
      <vt:variant>
        <vt:lpwstr/>
      </vt:variant>
      <vt:variant>
        <vt:lpwstr>_Toc380051839</vt:lpwstr>
      </vt:variant>
      <vt:variant>
        <vt:i4>1900606</vt:i4>
      </vt:variant>
      <vt:variant>
        <vt:i4>368</vt:i4>
      </vt:variant>
      <vt:variant>
        <vt:i4>0</vt:i4>
      </vt:variant>
      <vt:variant>
        <vt:i4>5</vt:i4>
      </vt:variant>
      <vt:variant>
        <vt:lpwstr/>
      </vt:variant>
      <vt:variant>
        <vt:lpwstr>_Toc380051838</vt:lpwstr>
      </vt:variant>
      <vt:variant>
        <vt:i4>1900606</vt:i4>
      </vt:variant>
      <vt:variant>
        <vt:i4>362</vt:i4>
      </vt:variant>
      <vt:variant>
        <vt:i4>0</vt:i4>
      </vt:variant>
      <vt:variant>
        <vt:i4>5</vt:i4>
      </vt:variant>
      <vt:variant>
        <vt:lpwstr/>
      </vt:variant>
      <vt:variant>
        <vt:lpwstr>_Toc380051837</vt:lpwstr>
      </vt:variant>
      <vt:variant>
        <vt:i4>1900606</vt:i4>
      </vt:variant>
      <vt:variant>
        <vt:i4>356</vt:i4>
      </vt:variant>
      <vt:variant>
        <vt:i4>0</vt:i4>
      </vt:variant>
      <vt:variant>
        <vt:i4>5</vt:i4>
      </vt:variant>
      <vt:variant>
        <vt:lpwstr/>
      </vt:variant>
      <vt:variant>
        <vt:lpwstr>_Toc380051836</vt:lpwstr>
      </vt:variant>
      <vt:variant>
        <vt:i4>1900606</vt:i4>
      </vt:variant>
      <vt:variant>
        <vt:i4>350</vt:i4>
      </vt:variant>
      <vt:variant>
        <vt:i4>0</vt:i4>
      </vt:variant>
      <vt:variant>
        <vt:i4>5</vt:i4>
      </vt:variant>
      <vt:variant>
        <vt:lpwstr/>
      </vt:variant>
      <vt:variant>
        <vt:lpwstr>_Toc380051835</vt:lpwstr>
      </vt:variant>
      <vt:variant>
        <vt:i4>1900606</vt:i4>
      </vt:variant>
      <vt:variant>
        <vt:i4>344</vt:i4>
      </vt:variant>
      <vt:variant>
        <vt:i4>0</vt:i4>
      </vt:variant>
      <vt:variant>
        <vt:i4>5</vt:i4>
      </vt:variant>
      <vt:variant>
        <vt:lpwstr/>
      </vt:variant>
      <vt:variant>
        <vt:lpwstr>_Toc380051834</vt:lpwstr>
      </vt:variant>
      <vt:variant>
        <vt:i4>1900606</vt:i4>
      </vt:variant>
      <vt:variant>
        <vt:i4>338</vt:i4>
      </vt:variant>
      <vt:variant>
        <vt:i4>0</vt:i4>
      </vt:variant>
      <vt:variant>
        <vt:i4>5</vt:i4>
      </vt:variant>
      <vt:variant>
        <vt:lpwstr/>
      </vt:variant>
      <vt:variant>
        <vt:lpwstr>_Toc380051833</vt:lpwstr>
      </vt:variant>
      <vt:variant>
        <vt:i4>1900606</vt:i4>
      </vt:variant>
      <vt:variant>
        <vt:i4>332</vt:i4>
      </vt:variant>
      <vt:variant>
        <vt:i4>0</vt:i4>
      </vt:variant>
      <vt:variant>
        <vt:i4>5</vt:i4>
      </vt:variant>
      <vt:variant>
        <vt:lpwstr/>
      </vt:variant>
      <vt:variant>
        <vt:lpwstr>_Toc380051832</vt:lpwstr>
      </vt:variant>
      <vt:variant>
        <vt:i4>1900606</vt:i4>
      </vt:variant>
      <vt:variant>
        <vt:i4>326</vt:i4>
      </vt:variant>
      <vt:variant>
        <vt:i4>0</vt:i4>
      </vt:variant>
      <vt:variant>
        <vt:i4>5</vt:i4>
      </vt:variant>
      <vt:variant>
        <vt:lpwstr/>
      </vt:variant>
      <vt:variant>
        <vt:lpwstr>_Toc380051831</vt:lpwstr>
      </vt:variant>
      <vt:variant>
        <vt:i4>1900606</vt:i4>
      </vt:variant>
      <vt:variant>
        <vt:i4>320</vt:i4>
      </vt:variant>
      <vt:variant>
        <vt:i4>0</vt:i4>
      </vt:variant>
      <vt:variant>
        <vt:i4>5</vt:i4>
      </vt:variant>
      <vt:variant>
        <vt:lpwstr/>
      </vt:variant>
      <vt:variant>
        <vt:lpwstr>_Toc380051830</vt:lpwstr>
      </vt:variant>
      <vt:variant>
        <vt:i4>1835070</vt:i4>
      </vt:variant>
      <vt:variant>
        <vt:i4>314</vt:i4>
      </vt:variant>
      <vt:variant>
        <vt:i4>0</vt:i4>
      </vt:variant>
      <vt:variant>
        <vt:i4>5</vt:i4>
      </vt:variant>
      <vt:variant>
        <vt:lpwstr/>
      </vt:variant>
      <vt:variant>
        <vt:lpwstr>_Toc380051829</vt:lpwstr>
      </vt:variant>
      <vt:variant>
        <vt:i4>1835070</vt:i4>
      </vt:variant>
      <vt:variant>
        <vt:i4>308</vt:i4>
      </vt:variant>
      <vt:variant>
        <vt:i4>0</vt:i4>
      </vt:variant>
      <vt:variant>
        <vt:i4>5</vt:i4>
      </vt:variant>
      <vt:variant>
        <vt:lpwstr/>
      </vt:variant>
      <vt:variant>
        <vt:lpwstr>_Toc380051828</vt:lpwstr>
      </vt:variant>
      <vt:variant>
        <vt:i4>1835070</vt:i4>
      </vt:variant>
      <vt:variant>
        <vt:i4>302</vt:i4>
      </vt:variant>
      <vt:variant>
        <vt:i4>0</vt:i4>
      </vt:variant>
      <vt:variant>
        <vt:i4>5</vt:i4>
      </vt:variant>
      <vt:variant>
        <vt:lpwstr/>
      </vt:variant>
      <vt:variant>
        <vt:lpwstr>_Toc380051827</vt:lpwstr>
      </vt:variant>
      <vt:variant>
        <vt:i4>1835070</vt:i4>
      </vt:variant>
      <vt:variant>
        <vt:i4>296</vt:i4>
      </vt:variant>
      <vt:variant>
        <vt:i4>0</vt:i4>
      </vt:variant>
      <vt:variant>
        <vt:i4>5</vt:i4>
      </vt:variant>
      <vt:variant>
        <vt:lpwstr/>
      </vt:variant>
      <vt:variant>
        <vt:lpwstr>_Toc380051826</vt:lpwstr>
      </vt:variant>
      <vt:variant>
        <vt:i4>1835070</vt:i4>
      </vt:variant>
      <vt:variant>
        <vt:i4>290</vt:i4>
      </vt:variant>
      <vt:variant>
        <vt:i4>0</vt:i4>
      </vt:variant>
      <vt:variant>
        <vt:i4>5</vt:i4>
      </vt:variant>
      <vt:variant>
        <vt:lpwstr/>
      </vt:variant>
      <vt:variant>
        <vt:lpwstr>_Toc380051825</vt:lpwstr>
      </vt:variant>
      <vt:variant>
        <vt:i4>1835070</vt:i4>
      </vt:variant>
      <vt:variant>
        <vt:i4>284</vt:i4>
      </vt:variant>
      <vt:variant>
        <vt:i4>0</vt:i4>
      </vt:variant>
      <vt:variant>
        <vt:i4>5</vt:i4>
      </vt:variant>
      <vt:variant>
        <vt:lpwstr/>
      </vt:variant>
      <vt:variant>
        <vt:lpwstr>_Toc380051824</vt:lpwstr>
      </vt:variant>
      <vt:variant>
        <vt:i4>1835070</vt:i4>
      </vt:variant>
      <vt:variant>
        <vt:i4>278</vt:i4>
      </vt:variant>
      <vt:variant>
        <vt:i4>0</vt:i4>
      </vt:variant>
      <vt:variant>
        <vt:i4>5</vt:i4>
      </vt:variant>
      <vt:variant>
        <vt:lpwstr/>
      </vt:variant>
      <vt:variant>
        <vt:lpwstr>_Toc380051823</vt:lpwstr>
      </vt:variant>
      <vt:variant>
        <vt:i4>1835070</vt:i4>
      </vt:variant>
      <vt:variant>
        <vt:i4>272</vt:i4>
      </vt:variant>
      <vt:variant>
        <vt:i4>0</vt:i4>
      </vt:variant>
      <vt:variant>
        <vt:i4>5</vt:i4>
      </vt:variant>
      <vt:variant>
        <vt:lpwstr/>
      </vt:variant>
      <vt:variant>
        <vt:lpwstr>_Toc380051822</vt:lpwstr>
      </vt:variant>
      <vt:variant>
        <vt:i4>1835070</vt:i4>
      </vt:variant>
      <vt:variant>
        <vt:i4>266</vt:i4>
      </vt:variant>
      <vt:variant>
        <vt:i4>0</vt:i4>
      </vt:variant>
      <vt:variant>
        <vt:i4>5</vt:i4>
      </vt:variant>
      <vt:variant>
        <vt:lpwstr/>
      </vt:variant>
      <vt:variant>
        <vt:lpwstr>_Toc380051821</vt:lpwstr>
      </vt:variant>
      <vt:variant>
        <vt:i4>1835070</vt:i4>
      </vt:variant>
      <vt:variant>
        <vt:i4>260</vt:i4>
      </vt:variant>
      <vt:variant>
        <vt:i4>0</vt:i4>
      </vt:variant>
      <vt:variant>
        <vt:i4>5</vt:i4>
      </vt:variant>
      <vt:variant>
        <vt:lpwstr/>
      </vt:variant>
      <vt:variant>
        <vt:lpwstr>_Toc380051820</vt:lpwstr>
      </vt:variant>
      <vt:variant>
        <vt:i4>2031678</vt:i4>
      </vt:variant>
      <vt:variant>
        <vt:i4>254</vt:i4>
      </vt:variant>
      <vt:variant>
        <vt:i4>0</vt:i4>
      </vt:variant>
      <vt:variant>
        <vt:i4>5</vt:i4>
      </vt:variant>
      <vt:variant>
        <vt:lpwstr/>
      </vt:variant>
      <vt:variant>
        <vt:lpwstr>_Toc380051819</vt:lpwstr>
      </vt:variant>
      <vt:variant>
        <vt:i4>2031678</vt:i4>
      </vt:variant>
      <vt:variant>
        <vt:i4>248</vt:i4>
      </vt:variant>
      <vt:variant>
        <vt:i4>0</vt:i4>
      </vt:variant>
      <vt:variant>
        <vt:i4>5</vt:i4>
      </vt:variant>
      <vt:variant>
        <vt:lpwstr/>
      </vt:variant>
      <vt:variant>
        <vt:lpwstr>_Toc380051818</vt:lpwstr>
      </vt:variant>
      <vt:variant>
        <vt:i4>2031678</vt:i4>
      </vt:variant>
      <vt:variant>
        <vt:i4>242</vt:i4>
      </vt:variant>
      <vt:variant>
        <vt:i4>0</vt:i4>
      </vt:variant>
      <vt:variant>
        <vt:i4>5</vt:i4>
      </vt:variant>
      <vt:variant>
        <vt:lpwstr/>
      </vt:variant>
      <vt:variant>
        <vt:lpwstr>_Toc380051817</vt:lpwstr>
      </vt:variant>
      <vt:variant>
        <vt:i4>2031678</vt:i4>
      </vt:variant>
      <vt:variant>
        <vt:i4>236</vt:i4>
      </vt:variant>
      <vt:variant>
        <vt:i4>0</vt:i4>
      </vt:variant>
      <vt:variant>
        <vt:i4>5</vt:i4>
      </vt:variant>
      <vt:variant>
        <vt:lpwstr/>
      </vt:variant>
      <vt:variant>
        <vt:lpwstr>_Toc380051816</vt:lpwstr>
      </vt:variant>
      <vt:variant>
        <vt:i4>2031678</vt:i4>
      </vt:variant>
      <vt:variant>
        <vt:i4>230</vt:i4>
      </vt:variant>
      <vt:variant>
        <vt:i4>0</vt:i4>
      </vt:variant>
      <vt:variant>
        <vt:i4>5</vt:i4>
      </vt:variant>
      <vt:variant>
        <vt:lpwstr/>
      </vt:variant>
      <vt:variant>
        <vt:lpwstr>_Toc380051815</vt:lpwstr>
      </vt:variant>
      <vt:variant>
        <vt:i4>2031678</vt:i4>
      </vt:variant>
      <vt:variant>
        <vt:i4>224</vt:i4>
      </vt:variant>
      <vt:variant>
        <vt:i4>0</vt:i4>
      </vt:variant>
      <vt:variant>
        <vt:i4>5</vt:i4>
      </vt:variant>
      <vt:variant>
        <vt:lpwstr/>
      </vt:variant>
      <vt:variant>
        <vt:lpwstr>_Toc380051814</vt:lpwstr>
      </vt:variant>
      <vt:variant>
        <vt:i4>2031678</vt:i4>
      </vt:variant>
      <vt:variant>
        <vt:i4>218</vt:i4>
      </vt:variant>
      <vt:variant>
        <vt:i4>0</vt:i4>
      </vt:variant>
      <vt:variant>
        <vt:i4>5</vt:i4>
      </vt:variant>
      <vt:variant>
        <vt:lpwstr/>
      </vt:variant>
      <vt:variant>
        <vt:lpwstr>_Toc380051813</vt:lpwstr>
      </vt:variant>
      <vt:variant>
        <vt:i4>2031678</vt:i4>
      </vt:variant>
      <vt:variant>
        <vt:i4>212</vt:i4>
      </vt:variant>
      <vt:variant>
        <vt:i4>0</vt:i4>
      </vt:variant>
      <vt:variant>
        <vt:i4>5</vt:i4>
      </vt:variant>
      <vt:variant>
        <vt:lpwstr/>
      </vt:variant>
      <vt:variant>
        <vt:lpwstr>_Toc380051812</vt:lpwstr>
      </vt:variant>
      <vt:variant>
        <vt:i4>2031678</vt:i4>
      </vt:variant>
      <vt:variant>
        <vt:i4>206</vt:i4>
      </vt:variant>
      <vt:variant>
        <vt:i4>0</vt:i4>
      </vt:variant>
      <vt:variant>
        <vt:i4>5</vt:i4>
      </vt:variant>
      <vt:variant>
        <vt:lpwstr/>
      </vt:variant>
      <vt:variant>
        <vt:lpwstr>_Toc380051811</vt:lpwstr>
      </vt:variant>
      <vt:variant>
        <vt:i4>2031678</vt:i4>
      </vt:variant>
      <vt:variant>
        <vt:i4>200</vt:i4>
      </vt:variant>
      <vt:variant>
        <vt:i4>0</vt:i4>
      </vt:variant>
      <vt:variant>
        <vt:i4>5</vt:i4>
      </vt:variant>
      <vt:variant>
        <vt:lpwstr/>
      </vt:variant>
      <vt:variant>
        <vt:lpwstr>_Toc380051810</vt:lpwstr>
      </vt:variant>
      <vt:variant>
        <vt:i4>1966142</vt:i4>
      </vt:variant>
      <vt:variant>
        <vt:i4>194</vt:i4>
      </vt:variant>
      <vt:variant>
        <vt:i4>0</vt:i4>
      </vt:variant>
      <vt:variant>
        <vt:i4>5</vt:i4>
      </vt:variant>
      <vt:variant>
        <vt:lpwstr/>
      </vt:variant>
      <vt:variant>
        <vt:lpwstr>_Toc380051809</vt:lpwstr>
      </vt:variant>
      <vt:variant>
        <vt:i4>1966142</vt:i4>
      </vt:variant>
      <vt:variant>
        <vt:i4>188</vt:i4>
      </vt:variant>
      <vt:variant>
        <vt:i4>0</vt:i4>
      </vt:variant>
      <vt:variant>
        <vt:i4>5</vt:i4>
      </vt:variant>
      <vt:variant>
        <vt:lpwstr/>
      </vt:variant>
      <vt:variant>
        <vt:lpwstr>_Toc380051808</vt:lpwstr>
      </vt:variant>
      <vt:variant>
        <vt:i4>1966142</vt:i4>
      </vt:variant>
      <vt:variant>
        <vt:i4>182</vt:i4>
      </vt:variant>
      <vt:variant>
        <vt:i4>0</vt:i4>
      </vt:variant>
      <vt:variant>
        <vt:i4>5</vt:i4>
      </vt:variant>
      <vt:variant>
        <vt:lpwstr/>
      </vt:variant>
      <vt:variant>
        <vt:lpwstr>_Toc380051807</vt:lpwstr>
      </vt:variant>
      <vt:variant>
        <vt:i4>1966142</vt:i4>
      </vt:variant>
      <vt:variant>
        <vt:i4>176</vt:i4>
      </vt:variant>
      <vt:variant>
        <vt:i4>0</vt:i4>
      </vt:variant>
      <vt:variant>
        <vt:i4>5</vt:i4>
      </vt:variant>
      <vt:variant>
        <vt:lpwstr/>
      </vt:variant>
      <vt:variant>
        <vt:lpwstr>_Toc380051806</vt:lpwstr>
      </vt:variant>
      <vt:variant>
        <vt:i4>1966142</vt:i4>
      </vt:variant>
      <vt:variant>
        <vt:i4>170</vt:i4>
      </vt:variant>
      <vt:variant>
        <vt:i4>0</vt:i4>
      </vt:variant>
      <vt:variant>
        <vt:i4>5</vt:i4>
      </vt:variant>
      <vt:variant>
        <vt:lpwstr/>
      </vt:variant>
      <vt:variant>
        <vt:lpwstr>_Toc380051805</vt:lpwstr>
      </vt:variant>
      <vt:variant>
        <vt:i4>1966142</vt:i4>
      </vt:variant>
      <vt:variant>
        <vt:i4>164</vt:i4>
      </vt:variant>
      <vt:variant>
        <vt:i4>0</vt:i4>
      </vt:variant>
      <vt:variant>
        <vt:i4>5</vt:i4>
      </vt:variant>
      <vt:variant>
        <vt:lpwstr/>
      </vt:variant>
      <vt:variant>
        <vt:lpwstr>_Toc380051804</vt:lpwstr>
      </vt:variant>
      <vt:variant>
        <vt:i4>1966142</vt:i4>
      </vt:variant>
      <vt:variant>
        <vt:i4>158</vt:i4>
      </vt:variant>
      <vt:variant>
        <vt:i4>0</vt:i4>
      </vt:variant>
      <vt:variant>
        <vt:i4>5</vt:i4>
      </vt:variant>
      <vt:variant>
        <vt:lpwstr/>
      </vt:variant>
      <vt:variant>
        <vt:lpwstr>_Toc380051803</vt:lpwstr>
      </vt:variant>
      <vt:variant>
        <vt:i4>1966142</vt:i4>
      </vt:variant>
      <vt:variant>
        <vt:i4>152</vt:i4>
      </vt:variant>
      <vt:variant>
        <vt:i4>0</vt:i4>
      </vt:variant>
      <vt:variant>
        <vt:i4>5</vt:i4>
      </vt:variant>
      <vt:variant>
        <vt:lpwstr/>
      </vt:variant>
      <vt:variant>
        <vt:lpwstr>_Toc380051802</vt:lpwstr>
      </vt:variant>
      <vt:variant>
        <vt:i4>1966142</vt:i4>
      </vt:variant>
      <vt:variant>
        <vt:i4>146</vt:i4>
      </vt:variant>
      <vt:variant>
        <vt:i4>0</vt:i4>
      </vt:variant>
      <vt:variant>
        <vt:i4>5</vt:i4>
      </vt:variant>
      <vt:variant>
        <vt:lpwstr/>
      </vt:variant>
      <vt:variant>
        <vt:lpwstr>_Toc380051801</vt:lpwstr>
      </vt:variant>
      <vt:variant>
        <vt:i4>1966142</vt:i4>
      </vt:variant>
      <vt:variant>
        <vt:i4>140</vt:i4>
      </vt:variant>
      <vt:variant>
        <vt:i4>0</vt:i4>
      </vt:variant>
      <vt:variant>
        <vt:i4>5</vt:i4>
      </vt:variant>
      <vt:variant>
        <vt:lpwstr/>
      </vt:variant>
      <vt:variant>
        <vt:lpwstr>_Toc380051800</vt:lpwstr>
      </vt:variant>
      <vt:variant>
        <vt:i4>1507377</vt:i4>
      </vt:variant>
      <vt:variant>
        <vt:i4>134</vt:i4>
      </vt:variant>
      <vt:variant>
        <vt:i4>0</vt:i4>
      </vt:variant>
      <vt:variant>
        <vt:i4>5</vt:i4>
      </vt:variant>
      <vt:variant>
        <vt:lpwstr/>
      </vt:variant>
      <vt:variant>
        <vt:lpwstr>_Toc380051799</vt:lpwstr>
      </vt:variant>
      <vt:variant>
        <vt:i4>1507377</vt:i4>
      </vt:variant>
      <vt:variant>
        <vt:i4>128</vt:i4>
      </vt:variant>
      <vt:variant>
        <vt:i4>0</vt:i4>
      </vt:variant>
      <vt:variant>
        <vt:i4>5</vt:i4>
      </vt:variant>
      <vt:variant>
        <vt:lpwstr/>
      </vt:variant>
      <vt:variant>
        <vt:lpwstr>_Toc380051798</vt:lpwstr>
      </vt:variant>
      <vt:variant>
        <vt:i4>1507377</vt:i4>
      </vt:variant>
      <vt:variant>
        <vt:i4>122</vt:i4>
      </vt:variant>
      <vt:variant>
        <vt:i4>0</vt:i4>
      </vt:variant>
      <vt:variant>
        <vt:i4>5</vt:i4>
      </vt:variant>
      <vt:variant>
        <vt:lpwstr/>
      </vt:variant>
      <vt:variant>
        <vt:lpwstr>_Toc380051797</vt:lpwstr>
      </vt:variant>
      <vt:variant>
        <vt:i4>1507377</vt:i4>
      </vt:variant>
      <vt:variant>
        <vt:i4>116</vt:i4>
      </vt:variant>
      <vt:variant>
        <vt:i4>0</vt:i4>
      </vt:variant>
      <vt:variant>
        <vt:i4>5</vt:i4>
      </vt:variant>
      <vt:variant>
        <vt:lpwstr/>
      </vt:variant>
      <vt:variant>
        <vt:lpwstr>_Toc380051796</vt:lpwstr>
      </vt:variant>
      <vt:variant>
        <vt:i4>1507377</vt:i4>
      </vt:variant>
      <vt:variant>
        <vt:i4>110</vt:i4>
      </vt:variant>
      <vt:variant>
        <vt:i4>0</vt:i4>
      </vt:variant>
      <vt:variant>
        <vt:i4>5</vt:i4>
      </vt:variant>
      <vt:variant>
        <vt:lpwstr/>
      </vt:variant>
      <vt:variant>
        <vt:lpwstr>_Toc380051795</vt:lpwstr>
      </vt:variant>
      <vt:variant>
        <vt:i4>1507377</vt:i4>
      </vt:variant>
      <vt:variant>
        <vt:i4>104</vt:i4>
      </vt:variant>
      <vt:variant>
        <vt:i4>0</vt:i4>
      </vt:variant>
      <vt:variant>
        <vt:i4>5</vt:i4>
      </vt:variant>
      <vt:variant>
        <vt:lpwstr/>
      </vt:variant>
      <vt:variant>
        <vt:lpwstr>_Toc380051794</vt:lpwstr>
      </vt:variant>
      <vt:variant>
        <vt:i4>1507377</vt:i4>
      </vt:variant>
      <vt:variant>
        <vt:i4>98</vt:i4>
      </vt:variant>
      <vt:variant>
        <vt:i4>0</vt:i4>
      </vt:variant>
      <vt:variant>
        <vt:i4>5</vt:i4>
      </vt:variant>
      <vt:variant>
        <vt:lpwstr/>
      </vt:variant>
      <vt:variant>
        <vt:lpwstr>_Toc380051793</vt:lpwstr>
      </vt:variant>
      <vt:variant>
        <vt:i4>1507377</vt:i4>
      </vt:variant>
      <vt:variant>
        <vt:i4>92</vt:i4>
      </vt:variant>
      <vt:variant>
        <vt:i4>0</vt:i4>
      </vt:variant>
      <vt:variant>
        <vt:i4>5</vt:i4>
      </vt:variant>
      <vt:variant>
        <vt:lpwstr/>
      </vt:variant>
      <vt:variant>
        <vt:lpwstr>_Toc380051792</vt:lpwstr>
      </vt:variant>
      <vt:variant>
        <vt:i4>1507377</vt:i4>
      </vt:variant>
      <vt:variant>
        <vt:i4>86</vt:i4>
      </vt:variant>
      <vt:variant>
        <vt:i4>0</vt:i4>
      </vt:variant>
      <vt:variant>
        <vt:i4>5</vt:i4>
      </vt:variant>
      <vt:variant>
        <vt:lpwstr/>
      </vt:variant>
      <vt:variant>
        <vt:lpwstr>_Toc380051791</vt:lpwstr>
      </vt:variant>
      <vt:variant>
        <vt:i4>1507377</vt:i4>
      </vt:variant>
      <vt:variant>
        <vt:i4>80</vt:i4>
      </vt:variant>
      <vt:variant>
        <vt:i4>0</vt:i4>
      </vt:variant>
      <vt:variant>
        <vt:i4>5</vt:i4>
      </vt:variant>
      <vt:variant>
        <vt:lpwstr/>
      </vt:variant>
      <vt:variant>
        <vt:lpwstr>_Toc380051790</vt:lpwstr>
      </vt:variant>
      <vt:variant>
        <vt:i4>1441841</vt:i4>
      </vt:variant>
      <vt:variant>
        <vt:i4>74</vt:i4>
      </vt:variant>
      <vt:variant>
        <vt:i4>0</vt:i4>
      </vt:variant>
      <vt:variant>
        <vt:i4>5</vt:i4>
      </vt:variant>
      <vt:variant>
        <vt:lpwstr/>
      </vt:variant>
      <vt:variant>
        <vt:lpwstr>_Toc380051789</vt:lpwstr>
      </vt:variant>
      <vt:variant>
        <vt:i4>1441841</vt:i4>
      </vt:variant>
      <vt:variant>
        <vt:i4>68</vt:i4>
      </vt:variant>
      <vt:variant>
        <vt:i4>0</vt:i4>
      </vt:variant>
      <vt:variant>
        <vt:i4>5</vt:i4>
      </vt:variant>
      <vt:variant>
        <vt:lpwstr/>
      </vt:variant>
      <vt:variant>
        <vt:lpwstr>_Toc380051788</vt:lpwstr>
      </vt:variant>
      <vt:variant>
        <vt:i4>1441841</vt:i4>
      </vt:variant>
      <vt:variant>
        <vt:i4>62</vt:i4>
      </vt:variant>
      <vt:variant>
        <vt:i4>0</vt:i4>
      </vt:variant>
      <vt:variant>
        <vt:i4>5</vt:i4>
      </vt:variant>
      <vt:variant>
        <vt:lpwstr/>
      </vt:variant>
      <vt:variant>
        <vt:lpwstr>_Toc380051787</vt:lpwstr>
      </vt:variant>
      <vt:variant>
        <vt:i4>1441841</vt:i4>
      </vt:variant>
      <vt:variant>
        <vt:i4>56</vt:i4>
      </vt:variant>
      <vt:variant>
        <vt:i4>0</vt:i4>
      </vt:variant>
      <vt:variant>
        <vt:i4>5</vt:i4>
      </vt:variant>
      <vt:variant>
        <vt:lpwstr/>
      </vt:variant>
      <vt:variant>
        <vt:lpwstr>_Toc380051786</vt:lpwstr>
      </vt:variant>
      <vt:variant>
        <vt:i4>1441841</vt:i4>
      </vt:variant>
      <vt:variant>
        <vt:i4>50</vt:i4>
      </vt:variant>
      <vt:variant>
        <vt:i4>0</vt:i4>
      </vt:variant>
      <vt:variant>
        <vt:i4>5</vt:i4>
      </vt:variant>
      <vt:variant>
        <vt:lpwstr/>
      </vt:variant>
      <vt:variant>
        <vt:lpwstr>_Toc380051785</vt:lpwstr>
      </vt:variant>
      <vt:variant>
        <vt:i4>1441841</vt:i4>
      </vt:variant>
      <vt:variant>
        <vt:i4>44</vt:i4>
      </vt:variant>
      <vt:variant>
        <vt:i4>0</vt:i4>
      </vt:variant>
      <vt:variant>
        <vt:i4>5</vt:i4>
      </vt:variant>
      <vt:variant>
        <vt:lpwstr/>
      </vt:variant>
      <vt:variant>
        <vt:lpwstr>_Toc380051784</vt:lpwstr>
      </vt:variant>
      <vt:variant>
        <vt:i4>1441841</vt:i4>
      </vt:variant>
      <vt:variant>
        <vt:i4>38</vt:i4>
      </vt:variant>
      <vt:variant>
        <vt:i4>0</vt:i4>
      </vt:variant>
      <vt:variant>
        <vt:i4>5</vt:i4>
      </vt:variant>
      <vt:variant>
        <vt:lpwstr/>
      </vt:variant>
      <vt:variant>
        <vt:lpwstr>_Toc380051783</vt:lpwstr>
      </vt:variant>
      <vt:variant>
        <vt:i4>1441841</vt:i4>
      </vt:variant>
      <vt:variant>
        <vt:i4>32</vt:i4>
      </vt:variant>
      <vt:variant>
        <vt:i4>0</vt:i4>
      </vt:variant>
      <vt:variant>
        <vt:i4>5</vt:i4>
      </vt:variant>
      <vt:variant>
        <vt:lpwstr/>
      </vt:variant>
      <vt:variant>
        <vt:lpwstr>_Toc380051782</vt:lpwstr>
      </vt:variant>
      <vt:variant>
        <vt:i4>1441841</vt:i4>
      </vt:variant>
      <vt:variant>
        <vt:i4>26</vt:i4>
      </vt:variant>
      <vt:variant>
        <vt:i4>0</vt:i4>
      </vt:variant>
      <vt:variant>
        <vt:i4>5</vt:i4>
      </vt:variant>
      <vt:variant>
        <vt:lpwstr/>
      </vt:variant>
      <vt:variant>
        <vt:lpwstr>_Toc380051781</vt:lpwstr>
      </vt:variant>
      <vt:variant>
        <vt:i4>1441841</vt:i4>
      </vt:variant>
      <vt:variant>
        <vt:i4>20</vt:i4>
      </vt:variant>
      <vt:variant>
        <vt:i4>0</vt:i4>
      </vt:variant>
      <vt:variant>
        <vt:i4>5</vt:i4>
      </vt:variant>
      <vt:variant>
        <vt:lpwstr/>
      </vt:variant>
      <vt:variant>
        <vt:lpwstr>_Toc380051780</vt:lpwstr>
      </vt:variant>
      <vt:variant>
        <vt:i4>1638449</vt:i4>
      </vt:variant>
      <vt:variant>
        <vt:i4>14</vt:i4>
      </vt:variant>
      <vt:variant>
        <vt:i4>0</vt:i4>
      </vt:variant>
      <vt:variant>
        <vt:i4>5</vt:i4>
      </vt:variant>
      <vt:variant>
        <vt:lpwstr/>
      </vt:variant>
      <vt:variant>
        <vt:lpwstr>_Toc380051779</vt:lpwstr>
      </vt:variant>
      <vt:variant>
        <vt:i4>1638449</vt:i4>
      </vt:variant>
      <vt:variant>
        <vt:i4>8</vt:i4>
      </vt:variant>
      <vt:variant>
        <vt:i4>0</vt:i4>
      </vt:variant>
      <vt:variant>
        <vt:i4>5</vt:i4>
      </vt:variant>
      <vt:variant>
        <vt:lpwstr/>
      </vt:variant>
      <vt:variant>
        <vt:lpwstr>_Toc380051778</vt:lpwstr>
      </vt:variant>
      <vt:variant>
        <vt:i4>1638449</vt:i4>
      </vt:variant>
      <vt:variant>
        <vt:i4>2</vt:i4>
      </vt:variant>
      <vt:variant>
        <vt:i4>0</vt:i4>
      </vt:variant>
      <vt:variant>
        <vt:i4>5</vt:i4>
      </vt:variant>
      <vt:variant>
        <vt:lpwstr/>
      </vt:variant>
      <vt:variant>
        <vt:lpwstr>_Toc380051777</vt:lpwstr>
      </vt:variant>
      <vt:variant>
        <vt:i4>4325417</vt:i4>
      </vt:variant>
      <vt:variant>
        <vt:i4>0</vt:i4>
      </vt:variant>
      <vt:variant>
        <vt:i4>0</vt:i4>
      </vt:variant>
      <vt:variant>
        <vt:i4>5</vt:i4>
      </vt:variant>
      <vt:variant>
        <vt:lpwstr>http://en.wikipedia.org/wiki/Heat_index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Hansen</dc:creator>
  <cp:keywords/>
  <dc:description/>
  <cp:lastModifiedBy>Dan Hansen</cp:lastModifiedBy>
  <cp:revision>5</cp:revision>
  <cp:lastPrinted>2016-02-21T20:41:00Z</cp:lastPrinted>
  <dcterms:created xsi:type="dcterms:W3CDTF">2018-03-28T19:25:00Z</dcterms:created>
  <dcterms:modified xsi:type="dcterms:W3CDTF">2018-03-29T17:49:00Z</dcterms:modified>
</cp:coreProperties>
</file>